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1D0D2" w14:textId="22F139FF" w:rsidR="00A21464" w:rsidRDefault="009564D6" w:rsidP="003F778D">
      <w:pPr>
        <w:pStyle w:val="TofCHeading"/>
        <w:tabs>
          <w:tab w:val="left" w:pos="1205"/>
        </w:tabs>
        <w:spacing w:after="120"/>
        <w:jc w:val="left"/>
        <w:outlineLvl w:val="9"/>
        <w:rPr>
          <w:rFonts w:asciiTheme="minorHAnsi" w:hAnsiTheme="minorHAnsi"/>
          <w:color w:val="1E6A9A" w:themeColor="text2"/>
          <w:szCs w:val="36"/>
        </w:rPr>
      </w:pPr>
      <w:bookmarkStart w:id="0" w:name="_Toc490322986"/>
      <w:bookmarkStart w:id="1" w:name="_Toc334600987"/>
      <w:bookmarkStart w:id="2" w:name="_Toc365440961"/>
      <w:bookmarkStart w:id="3" w:name="_Toc229739377"/>
      <w:bookmarkStart w:id="4" w:name="_Toc231197071"/>
      <w:r>
        <w:rPr>
          <w:rFonts w:ascii="Calibri" w:hAnsi="Calibri" w:cs="OpenSans-Bold"/>
          <w:b w:val="0"/>
          <w:bCs w:val="0"/>
          <w:noProof/>
          <w:color w:val="3D484C"/>
          <w:sz w:val="80"/>
          <w:szCs w:val="80"/>
        </w:rPr>
        <w:drawing>
          <wp:anchor distT="0" distB="0" distL="114300" distR="114300" simplePos="0" relativeHeight="251716608" behindDoc="1" locked="0" layoutInCell="1" allowOverlap="1" wp14:anchorId="05B4FFE0" wp14:editId="0BC8F98A">
            <wp:simplePos x="0" y="0"/>
            <wp:positionH relativeFrom="page">
              <wp:posOffset>-40640</wp:posOffset>
            </wp:positionH>
            <wp:positionV relativeFrom="page">
              <wp:posOffset>28612</wp:posOffset>
            </wp:positionV>
            <wp:extent cx="7772400" cy="10058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D40E04">
        <w:rPr>
          <w:rFonts w:ascii="Calibri" w:hAnsi="Calibri" w:cs="OpenSans-Bold"/>
          <w:b w:val="0"/>
          <w:bCs w:val="0"/>
          <w:noProof/>
          <w:color w:val="3D484C"/>
          <w:sz w:val="80"/>
          <w:szCs w:val="80"/>
        </w:rPr>
        <w:drawing>
          <wp:anchor distT="0" distB="0" distL="114300" distR="114300" simplePos="0" relativeHeight="251710464" behindDoc="1" locked="0" layoutInCell="1" allowOverlap="1" wp14:anchorId="3819C959" wp14:editId="504E273C">
            <wp:simplePos x="0" y="0"/>
            <wp:positionH relativeFrom="page">
              <wp:posOffset>-191347</wp:posOffset>
            </wp:positionH>
            <wp:positionV relativeFrom="page">
              <wp:posOffset>-134620</wp:posOffset>
            </wp:positionV>
            <wp:extent cx="7772400" cy="100584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bookmarkEnd w:id="0"/>
      <w:r w:rsidR="003F778D">
        <w:rPr>
          <w:rFonts w:asciiTheme="minorHAnsi" w:hAnsiTheme="minorHAnsi"/>
          <w:color w:val="1E6A9A" w:themeColor="text2"/>
          <w:szCs w:val="36"/>
        </w:rPr>
        <w:tab/>
      </w:r>
    </w:p>
    <w:p w14:paraId="0DD4D58B" w14:textId="77777777" w:rsidR="00282EC7" w:rsidRPr="00C51028" w:rsidRDefault="00282EC7" w:rsidP="00AF4BED">
      <w:pPr>
        <w:pStyle w:val="TofCHeading"/>
        <w:spacing w:after="120"/>
        <w:jc w:val="left"/>
        <w:outlineLvl w:val="9"/>
        <w:rPr>
          <w:rFonts w:asciiTheme="minorHAnsi" w:hAnsiTheme="minorHAnsi"/>
          <w:color w:val="1E6A9A" w:themeColor="text2"/>
          <w:szCs w:val="36"/>
        </w:rPr>
      </w:pPr>
      <w:bookmarkStart w:id="5" w:name="_Toc262722601"/>
      <w:bookmarkStart w:id="6" w:name="_Toc267323565"/>
      <w:bookmarkStart w:id="7" w:name="_Toc271552445"/>
      <w:bookmarkStart w:id="8" w:name="_Toc271632192"/>
      <w:bookmarkStart w:id="9" w:name="_Toc293243687"/>
      <w:bookmarkStart w:id="10" w:name="_Toc293929164"/>
      <w:bookmarkStart w:id="11" w:name="_Toc294097106"/>
      <w:bookmarkStart w:id="12" w:name="_Toc298257107"/>
      <w:bookmarkStart w:id="13" w:name="_Toc299027429"/>
      <w:bookmarkEnd w:id="1"/>
      <w:bookmarkEnd w:id="2"/>
    </w:p>
    <w:p w14:paraId="3910F363" w14:textId="77777777" w:rsidR="00B0316B" w:rsidRDefault="00B0316B" w:rsidP="00B0316B">
      <w:pPr>
        <w:pStyle w:val="TofCHeading"/>
        <w:spacing w:after="120"/>
        <w:jc w:val="left"/>
        <w:outlineLvl w:val="9"/>
        <w:rPr>
          <w:rFonts w:asciiTheme="minorHAnsi" w:hAnsiTheme="minorHAnsi"/>
          <w:color w:val="1E6A9A" w:themeColor="text2"/>
          <w:szCs w:val="36"/>
        </w:rPr>
      </w:pPr>
    </w:p>
    <w:p w14:paraId="5A55F827" w14:textId="77777777" w:rsidR="00A35E2B" w:rsidRDefault="00A35E2B" w:rsidP="00B0316B">
      <w:pPr>
        <w:pStyle w:val="TofCHeading"/>
        <w:spacing w:after="120"/>
        <w:jc w:val="left"/>
        <w:outlineLvl w:val="9"/>
        <w:rPr>
          <w:rFonts w:asciiTheme="minorHAnsi" w:hAnsiTheme="minorHAnsi"/>
          <w:color w:val="1E6A9A" w:themeColor="text2"/>
          <w:szCs w:val="36"/>
        </w:rPr>
        <w:sectPr w:rsidR="00A35E2B" w:rsidSect="00AD71F0">
          <w:pgSz w:w="12240" w:h="15840"/>
          <w:pgMar w:top="1440" w:right="1440" w:bottom="1440" w:left="1800" w:header="720" w:footer="720" w:gutter="0"/>
          <w:pgNumType w:fmt="lowerRoman" w:start="1"/>
          <w:cols w:space="720"/>
          <w:docGrid w:linePitch="360"/>
        </w:sectPr>
      </w:pPr>
    </w:p>
    <w:p w14:paraId="2F1DCC2E" w14:textId="77777777" w:rsidR="00B0316B" w:rsidRDefault="00B0316B" w:rsidP="00B0316B">
      <w:pPr>
        <w:pStyle w:val="TofCHeading"/>
        <w:spacing w:after="120"/>
        <w:jc w:val="left"/>
        <w:outlineLvl w:val="9"/>
        <w:rPr>
          <w:rFonts w:asciiTheme="minorHAnsi" w:hAnsiTheme="minorHAnsi"/>
          <w:color w:val="1E6A9A" w:themeColor="text2"/>
          <w:szCs w:val="36"/>
        </w:rPr>
      </w:pPr>
    </w:p>
    <w:p w14:paraId="252EDCA6" w14:textId="77777777" w:rsidR="00F53B24" w:rsidRDefault="00D40E04" w:rsidP="00B0316B">
      <w:pPr>
        <w:pStyle w:val="TofCHeading"/>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mc:AlternateContent>
          <mc:Choice Requires="wps">
            <w:drawing>
              <wp:anchor distT="0" distB="0" distL="114300" distR="114300" simplePos="0" relativeHeight="251712512" behindDoc="0" locked="0" layoutInCell="1" allowOverlap="1" wp14:anchorId="614402B6" wp14:editId="0928D8C3">
                <wp:simplePos x="0" y="0"/>
                <wp:positionH relativeFrom="column">
                  <wp:posOffset>52705</wp:posOffset>
                </wp:positionH>
                <wp:positionV relativeFrom="paragraph">
                  <wp:posOffset>351790</wp:posOffset>
                </wp:positionV>
                <wp:extent cx="6163310" cy="2926080"/>
                <wp:effectExtent l="0" t="0" r="0" b="381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624F" w14:textId="2165CB6D" w:rsidR="00E231DA" w:rsidRDefault="00E231DA"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14:paraId="6D245E64" w14:textId="77777777" w:rsidR="00E231DA" w:rsidRPr="005F45D9" w:rsidRDefault="00E231DA" w:rsidP="00D40E04">
                            <w:pPr>
                              <w:spacing w:after="120" w:line="192" w:lineRule="auto"/>
                              <w:rPr>
                                <w:rFonts w:asciiTheme="minorHAnsi" w:hAnsiTheme="minorHAnsi" w:cs="Arial"/>
                                <w:b/>
                                <w:color w:val="62777F"/>
                                <w:sz w:val="56"/>
                                <w:szCs w:val="56"/>
                              </w:rPr>
                            </w:pPr>
                          </w:p>
                          <w:p w14:paraId="27461F89" w14:textId="35100A07" w:rsidR="00E231DA" w:rsidRPr="003A1975" w:rsidRDefault="00E231DA"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sidR="00BD24FC">
                              <w:rPr>
                                <w:rFonts w:asciiTheme="minorHAnsi" w:hAnsiTheme="minorHAnsi" w:cs="OpenSans-Bold"/>
                                <w:b/>
                                <w:bCs/>
                                <w:caps/>
                                <w:color w:val="62777F"/>
                                <w:sz w:val="24"/>
                                <w:szCs w:val="24"/>
                              </w:rPr>
                              <w:t xml:space="preserve">October </w:t>
                            </w:r>
                            <w:r w:rsidR="0037409E">
                              <w:rPr>
                                <w:rFonts w:asciiTheme="minorHAnsi" w:hAnsiTheme="minorHAnsi" w:cs="OpenSans-Bold"/>
                                <w:b/>
                                <w:bCs/>
                                <w:caps/>
                                <w:color w:val="62777F"/>
                                <w:sz w:val="24"/>
                                <w:szCs w:val="24"/>
                              </w:rPr>
                              <w:t>31</w:t>
                            </w:r>
                            <w:r w:rsidRPr="00E353DF">
                              <w:rPr>
                                <w:rFonts w:asciiTheme="minorHAnsi" w:hAnsiTheme="minorHAnsi" w:cs="OpenSans-Bold"/>
                                <w:b/>
                                <w:bCs/>
                                <w:caps/>
                                <w:color w:val="62777F"/>
                                <w:sz w:val="24"/>
                                <w:szCs w:val="24"/>
                              </w:rPr>
                              <w:t>, 2019</w:t>
                            </w:r>
                          </w:p>
                          <w:p w14:paraId="48349253" w14:textId="77777777" w:rsidR="00E231DA" w:rsidRPr="003A1975" w:rsidRDefault="00E231DA" w:rsidP="00D40E04">
                            <w:pPr>
                              <w:spacing w:after="0"/>
                              <w:rPr>
                                <w:rFonts w:asciiTheme="minorHAnsi" w:hAnsiTheme="minorHAnsi" w:cs="OpenSans-Bold"/>
                                <w:b/>
                                <w:bCs/>
                                <w:caps/>
                                <w:color w:val="62777F"/>
                                <w:sz w:val="24"/>
                                <w:szCs w:val="24"/>
                              </w:rPr>
                            </w:pPr>
                          </w:p>
                          <w:p w14:paraId="23DE65E7" w14:textId="77777777" w:rsidR="00E231DA" w:rsidRPr="00716539" w:rsidRDefault="00E231DA" w:rsidP="00D40E04">
                            <w:pPr>
                              <w:spacing w:after="0"/>
                              <w:rPr>
                                <w:color w:val="62777F"/>
                              </w:rPr>
                            </w:pPr>
                          </w:p>
                          <w:p w14:paraId="25F80A0A" w14:textId="77777777" w:rsidR="00E231DA" w:rsidRDefault="00E231D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14402B6" id="_x0000_t202" coordsize="21600,21600" o:spt="202" path="m,l,21600r21600,l21600,xe">
                <v:stroke joinstyle="miter"/>
                <v:path gradientshapeok="t" o:connecttype="rect"/>
              </v:shapetype>
              <v:shape id="Text Box 3" o:spid="_x0000_s1026" type="#_x0000_t202" style="position:absolute;margin-left:4.15pt;margin-top:27.7pt;width:485.3pt;height:230.4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MQtgIAALs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" filled="f" stroked="f">
                <v:textbox style="mso-fit-shape-to-text:t">
                  <w:txbxContent>
                    <w:p w14:paraId="630C624F" w14:textId="2165CB6D" w:rsidR="00E231DA" w:rsidRDefault="00E231DA" w:rsidP="00D40E04">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2019</w:t>
                      </w:r>
                      <w:r w:rsidRPr="00904E0B">
                        <w:rPr>
                          <w:rFonts w:asciiTheme="minorHAnsi" w:hAnsiTheme="minorHAnsi" w:cs="Arial"/>
                          <w:b/>
                          <w:color w:val="62777F"/>
                          <w:sz w:val="80"/>
                          <w:szCs w:val="80"/>
                        </w:rPr>
                        <w:t xml:space="preserve"> Regional System Plan</w:t>
                      </w:r>
                    </w:p>
                    <w:p w14:paraId="6D245E64" w14:textId="77777777" w:rsidR="00E231DA" w:rsidRPr="005F45D9" w:rsidRDefault="00E231DA" w:rsidP="00D40E04">
                      <w:pPr>
                        <w:spacing w:after="120" w:line="192" w:lineRule="auto"/>
                        <w:rPr>
                          <w:rFonts w:asciiTheme="minorHAnsi" w:hAnsiTheme="minorHAnsi" w:cs="Arial"/>
                          <w:b/>
                          <w:color w:val="62777F"/>
                          <w:sz w:val="56"/>
                          <w:szCs w:val="56"/>
                        </w:rPr>
                      </w:pPr>
                    </w:p>
                    <w:p w14:paraId="27461F89" w14:textId="35100A07" w:rsidR="00E231DA" w:rsidRPr="003A1975" w:rsidRDefault="00E231DA" w:rsidP="00D40E04">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r w:rsidRPr="00E257A6">
                        <w:rPr>
                          <w:rFonts w:asciiTheme="minorHAnsi" w:hAnsiTheme="minorHAnsi" w:cs="OpenSans-Bold"/>
                          <w:b/>
                          <w:bCs/>
                          <w:color w:val="62777F"/>
                          <w:spacing w:val="-2"/>
                          <w:sz w:val="32"/>
                          <w:szCs w:val="32"/>
                        </w:rPr>
                        <w:br/>
                      </w:r>
                      <w:r w:rsidR="00BD24FC">
                        <w:rPr>
                          <w:rFonts w:asciiTheme="minorHAnsi" w:hAnsiTheme="minorHAnsi" w:cs="OpenSans-Bold"/>
                          <w:b/>
                          <w:bCs/>
                          <w:caps/>
                          <w:color w:val="62777F"/>
                          <w:sz w:val="24"/>
                          <w:szCs w:val="24"/>
                        </w:rPr>
                        <w:t xml:space="preserve">October </w:t>
                      </w:r>
                      <w:r w:rsidR="0037409E">
                        <w:rPr>
                          <w:rFonts w:asciiTheme="minorHAnsi" w:hAnsiTheme="minorHAnsi" w:cs="OpenSans-Bold"/>
                          <w:b/>
                          <w:bCs/>
                          <w:caps/>
                          <w:color w:val="62777F"/>
                          <w:sz w:val="24"/>
                          <w:szCs w:val="24"/>
                        </w:rPr>
                        <w:t>31</w:t>
                      </w:r>
                      <w:r w:rsidRPr="00E353DF">
                        <w:rPr>
                          <w:rFonts w:asciiTheme="minorHAnsi" w:hAnsiTheme="minorHAnsi" w:cs="OpenSans-Bold"/>
                          <w:b/>
                          <w:bCs/>
                          <w:caps/>
                          <w:color w:val="62777F"/>
                          <w:sz w:val="24"/>
                          <w:szCs w:val="24"/>
                        </w:rPr>
                        <w:t>, 2019</w:t>
                      </w:r>
                    </w:p>
                    <w:p w14:paraId="48349253" w14:textId="77777777" w:rsidR="00E231DA" w:rsidRPr="003A1975" w:rsidRDefault="00E231DA" w:rsidP="00D40E04">
                      <w:pPr>
                        <w:spacing w:after="0"/>
                        <w:rPr>
                          <w:rFonts w:asciiTheme="minorHAnsi" w:hAnsiTheme="minorHAnsi" w:cs="OpenSans-Bold"/>
                          <w:b/>
                          <w:bCs/>
                          <w:caps/>
                          <w:color w:val="62777F"/>
                          <w:sz w:val="24"/>
                          <w:szCs w:val="24"/>
                        </w:rPr>
                      </w:pPr>
                    </w:p>
                    <w:p w14:paraId="23DE65E7" w14:textId="77777777" w:rsidR="00E231DA" w:rsidRPr="00716539" w:rsidRDefault="00E231DA" w:rsidP="00D40E04">
                      <w:pPr>
                        <w:spacing w:after="0"/>
                        <w:rPr>
                          <w:color w:val="62777F"/>
                        </w:rPr>
                      </w:pPr>
                    </w:p>
                    <w:p w14:paraId="25F80A0A" w14:textId="77777777" w:rsidR="00E231DA" w:rsidRDefault="00E231DA"/>
                  </w:txbxContent>
                </v:textbox>
              </v:shape>
            </w:pict>
          </mc:Fallback>
        </mc:AlternateContent>
      </w:r>
      <w:r>
        <w:rPr>
          <w:rFonts w:ascii="Calibri" w:hAnsi="Calibri" w:cs="OpenSans-Bold"/>
          <w:b w:val="0"/>
          <w:bCs w:val="0"/>
          <w:noProof/>
          <w:color w:val="3D484C"/>
          <w:sz w:val="80"/>
          <w:szCs w:val="80"/>
        </w:rPr>
        <mc:AlternateContent>
          <mc:Choice Requires="wps">
            <w:drawing>
              <wp:anchor distT="0" distB="0" distL="114300" distR="114300" simplePos="0" relativeHeight="251714560" behindDoc="0" locked="0" layoutInCell="1" allowOverlap="1" wp14:anchorId="7F105FBE" wp14:editId="3235F0FD">
                <wp:simplePos x="0" y="0"/>
                <wp:positionH relativeFrom="column">
                  <wp:posOffset>-915035</wp:posOffset>
                </wp:positionH>
                <wp:positionV relativeFrom="paragraph">
                  <wp:posOffset>4832350</wp:posOffset>
                </wp:positionV>
                <wp:extent cx="7315200" cy="309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098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1BC3005" w14:textId="07C04B7E" w:rsidR="00E231DA" w:rsidRPr="00716539" w:rsidRDefault="00E231DA"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50CAC">
                              <w:rPr>
                                <w:rFonts w:ascii="Calibri" w:hAnsi="Calibri" w:cs="OpenSans-Bold"/>
                                <w:b/>
                                <w:bCs/>
                                <w:caps/>
                                <w:color w:val="62777F"/>
                                <w:sz w:val="14"/>
                                <w:szCs w:val="14"/>
                              </w:rPr>
                              <w:t xml:space="preserve">ISO-NE </w:t>
                            </w:r>
                            <w:r w:rsidR="00BD24FC">
                              <w:rPr>
                                <w:rFonts w:ascii="Calibri" w:hAnsi="Calibri" w:cs="OpenSans-Bold"/>
                                <w:b/>
                                <w:bCs/>
                                <w:caps/>
                                <w:color w:val="62777F"/>
                                <w:sz w:val="14"/>
                                <w:szCs w:val="14"/>
                              </w:rPr>
                              <w:t>PUBLIC</w:t>
                            </w:r>
                          </w:p>
                          <w:p w14:paraId="5B8B2441" w14:textId="77777777" w:rsidR="00E231DA" w:rsidRPr="004759C4" w:rsidRDefault="00E231DA" w:rsidP="009D1B23">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105FBE" id="Text Box 29" o:spid="_x0000_s1027" type="#_x0000_t202" style="position:absolute;margin-left:-72.05pt;margin-top:380.5pt;width:8in;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" filled="f" stroked="f">
                <v:path arrowok="t"/>
                <v:textbox>
                  <w:txbxContent>
                    <w:p w14:paraId="71BC3005" w14:textId="07C04B7E" w:rsidR="00E231DA" w:rsidRPr="00716539" w:rsidRDefault="00E231DA" w:rsidP="009D1B23">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50CAC">
                        <w:rPr>
                          <w:rFonts w:ascii="Calibri" w:hAnsi="Calibri" w:cs="OpenSans-Bold"/>
                          <w:b/>
                          <w:bCs/>
                          <w:caps/>
                          <w:color w:val="62777F"/>
                          <w:sz w:val="14"/>
                          <w:szCs w:val="14"/>
                        </w:rPr>
                        <w:t xml:space="preserve">ISO-NE </w:t>
                      </w:r>
                      <w:r w:rsidR="00BD24FC">
                        <w:rPr>
                          <w:rFonts w:ascii="Calibri" w:hAnsi="Calibri" w:cs="OpenSans-Bold"/>
                          <w:b/>
                          <w:bCs/>
                          <w:caps/>
                          <w:color w:val="62777F"/>
                          <w:sz w:val="14"/>
                          <w:szCs w:val="14"/>
                        </w:rPr>
                        <w:t>PUBLIC</w:t>
                      </w:r>
                    </w:p>
                    <w:p w14:paraId="5B8B2441" w14:textId="77777777" w:rsidR="00E231DA" w:rsidRPr="004759C4" w:rsidRDefault="00E231DA" w:rsidP="009D1B23">
                      <w:pPr>
                        <w:rPr>
                          <w:rFonts w:ascii="Calibri" w:hAnsi="Calibri"/>
                          <w:color w:val="787B7F"/>
                          <w:sz w:val="14"/>
                          <w:szCs w:val="14"/>
                        </w:rPr>
                      </w:pPr>
                    </w:p>
                  </w:txbxContent>
                </v:textbox>
                <w10:wrap type="square"/>
              </v:shape>
            </w:pict>
          </mc:Fallback>
        </mc:AlternateContent>
      </w:r>
    </w:p>
    <w:p w14:paraId="11D3A147" w14:textId="77777777" w:rsidR="00F53B24" w:rsidRPr="00DA4E63" w:rsidRDefault="00F53B24" w:rsidP="00B0316B">
      <w:pPr>
        <w:pStyle w:val="TofCHeading"/>
        <w:spacing w:after="120"/>
        <w:jc w:val="left"/>
        <w:outlineLvl w:val="9"/>
        <w:rPr>
          <w:rFonts w:asciiTheme="minorHAnsi" w:hAnsiTheme="minorHAnsi"/>
          <w:b w:val="0"/>
          <w:color w:val="1E6A9A" w:themeColor="text2"/>
          <w:sz w:val="20"/>
          <w:szCs w:val="20"/>
        </w:rPr>
        <w:sectPr w:rsidR="00F53B24" w:rsidRPr="00DA4E63" w:rsidSect="00A35E2B">
          <w:type w:val="continuous"/>
          <w:pgSz w:w="12240" w:h="15840"/>
          <w:pgMar w:top="1440" w:right="1440" w:bottom="1440" w:left="1800" w:header="720" w:footer="720" w:gutter="0"/>
          <w:pgNumType w:fmt="lowerRoman" w:start="1"/>
          <w:cols w:space="720"/>
          <w:docGrid w:linePitch="360"/>
        </w:sectPr>
      </w:pPr>
      <w:bookmarkStart w:id="14" w:name="_GoBack"/>
      <w:bookmarkEnd w:id="14"/>
    </w:p>
    <w:p w14:paraId="7EDED384" w14:textId="77777777" w:rsidR="00945B03" w:rsidRDefault="00945B03" w:rsidP="00BC0DD2">
      <w:pPr>
        <w:pStyle w:val="TofCHeading"/>
        <w:spacing w:after="120"/>
        <w:jc w:val="left"/>
        <w:outlineLvl w:val="9"/>
        <w:rPr>
          <w:rFonts w:asciiTheme="minorHAnsi" w:hAnsiTheme="minorHAnsi"/>
          <w:color w:val="0C95D2"/>
          <w:szCs w:val="36"/>
        </w:rPr>
      </w:pPr>
    </w:p>
    <w:p w14:paraId="45656E08" w14:textId="77777777" w:rsidR="004C610F" w:rsidRDefault="004C610F">
      <w:pPr>
        <w:spacing w:after="120"/>
        <w:rPr>
          <w:rFonts w:asciiTheme="minorHAnsi" w:hAnsiTheme="minorHAnsi"/>
          <w:color w:val="0C95D2"/>
          <w:szCs w:val="36"/>
        </w:rPr>
        <w:sectPr w:rsidR="004C610F" w:rsidSect="001567F0">
          <w:headerReference w:type="default" r:id="rId11"/>
          <w:footerReference w:type="default" r:id="rId12"/>
          <w:pgSz w:w="12240" w:h="15840"/>
          <w:pgMar w:top="1440" w:right="1440" w:bottom="1440" w:left="1800" w:header="720" w:footer="720" w:gutter="0"/>
          <w:pgNumType w:fmt="lowerRoman"/>
          <w:cols w:space="720"/>
          <w:docGrid w:linePitch="360"/>
        </w:sectPr>
      </w:pPr>
    </w:p>
    <w:p w14:paraId="5F3B0524" w14:textId="77777777" w:rsidR="004C610F" w:rsidRDefault="004C610F">
      <w:pPr>
        <w:spacing w:after="120"/>
        <w:rPr>
          <w:rFonts w:asciiTheme="minorHAnsi" w:hAnsiTheme="minorHAnsi"/>
          <w:color w:val="0C95D2"/>
          <w:szCs w:val="36"/>
        </w:rPr>
        <w:sectPr w:rsidR="004C610F" w:rsidSect="004C610F">
          <w:type w:val="continuous"/>
          <w:pgSz w:w="12240" w:h="15840"/>
          <w:pgMar w:top="1440" w:right="1440" w:bottom="1440" w:left="1800" w:header="720" w:footer="720" w:gutter="0"/>
          <w:pgNumType w:fmt="lowerRoman"/>
          <w:cols w:space="720"/>
          <w:docGrid w:linePitch="360"/>
        </w:sectPr>
      </w:pPr>
    </w:p>
    <w:p w14:paraId="764126EB" w14:textId="77777777" w:rsidR="00850C02" w:rsidRPr="00B04315" w:rsidRDefault="002418DE" w:rsidP="00850C02">
      <w:pPr>
        <w:pStyle w:val="TofCHeading"/>
        <w:spacing w:after="120"/>
        <w:jc w:val="left"/>
        <w:rPr>
          <w:rFonts w:asciiTheme="minorHAnsi" w:hAnsiTheme="minorHAnsi"/>
          <w:color w:val="1795D2" w:themeColor="accent1"/>
          <w:sz w:val="20"/>
          <w:szCs w:val="20"/>
        </w:rPr>
      </w:pPr>
      <w:bookmarkStart w:id="15" w:name="_Toc12795129"/>
      <w:r w:rsidRPr="00B04315">
        <w:rPr>
          <w:rFonts w:asciiTheme="minorHAnsi" w:hAnsiTheme="minorHAnsi"/>
          <w:color w:val="1795D2" w:themeColor="accent1"/>
          <w:szCs w:val="36"/>
        </w:rPr>
        <w:lastRenderedPageBreak/>
        <w:t>Prefa</w:t>
      </w:r>
      <w:r w:rsidR="00CF4AEA" w:rsidRPr="00B04315">
        <w:rPr>
          <w:rFonts w:asciiTheme="minorHAnsi" w:hAnsiTheme="minorHAnsi"/>
          <w:color w:val="1795D2" w:themeColor="accent1"/>
          <w:szCs w:val="36"/>
        </w:rPr>
        <w:t>ce</w:t>
      </w:r>
      <w:bookmarkEnd w:id="15"/>
    </w:p>
    <w:p w14:paraId="3C7EF457" w14:textId="77777777" w:rsidR="00BB27C3" w:rsidRPr="003C4E05" w:rsidRDefault="00BB27C3" w:rsidP="00BB27C3">
      <w:r w:rsidRPr="001C3362">
        <w:t>ISO New England Inc. (ISO)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w:t>
      </w:r>
      <w:r>
        <w:t xml:space="preserve">periodic </w:t>
      </w:r>
      <w:r w:rsidRPr="003C4E05">
        <w:t xml:space="preserve">preparation of a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w:t>
      </w:r>
      <w:r>
        <w:t xml:space="preserve">n (FERC). Regional System Plans </w:t>
      </w:r>
      <w:r w:rsidRPr="003C4E05">
        <w:t>meet the tariff requirements</w:t>
      </w:r>
      <w:r>
        <w:t xml:space="preserve"> </w:t>
      </w:r>
      <w:r w:rsidRPr="003C4E05">
        <w:t xml:space="preserve">by </w:t>
      </w:r>
      <w:r>
        <w:t xml:space="preserve">summarizing planning activities that </w:t>
      </w:r>
      <w:r w:rsidRPr="003C4E05">
        <w:t>includ</w:t>
      </w:r>
      <w:r>
        <w:t>e</w:t>
      </w:r>
      <w:r w:rsidRPr="003C4E05">
        <w:t xml:space="preserve"> the following:</w:t>
      </w:r>
    </w:p>
    <w:p w14:paraId="6D7087E4" w14:textId="77777777" w:rsidR="00BB27C3" w:rsidRPr="0043615A" w:rsidRDefault="00BB27C3" w:rsidP="00BB27C3">
      <w:pPr>
        <w:numPr>
          <w:ilvl w:val="0"/>
          <w:numId w:val="21"/>
        </w:numPr>
        <w:spacing w:after="120"/>
        <w:rPr>
          <w:color w:val="000000"/>
        </w:rPr>
      </w:pPr>
      <w:r w:rsidRPr="0043615A">
        <w:rPr>
          <w:color w:val="000000"/>
        </w:rPr>
        <w:t>Forecasts of annual energy use and peak loads (i.e., the demand for electricity) for a 10-year planning horizon and the need for resources (i.e., capacity)</w:t>
      </w:r>
    </w:p>
    <w:p w14:paraId="111A3150" w14:textId="77777777" w:rsidR="00BB27C3" w:rsidRPr="0043615A" w:rsidRDefault="00BB27C3" w:rsidP="00BB27C3">
      <w:pPr>
        <w:numPr>
          <w:ilvl w:val="0"/>
          <w:numId w:val="21"/>
        </w:numPr>
        <w:spacing w:after="120"/>
        <w:rPr>
          <w:color w:val="000000"/>
        </w:rPr>
      </w:pPr>
      <w:r w:rsidRPr="0043615A">
        <w:rPr>
          <w:color w:val="000000"/>
        </w:rPr>
        <w:t xml:space="preserve">Information about the amounts, locations, and characteristics of market responses (e.g., </w:t>
      </w:r>
      <w:r w:rsidRPr="00B0316B">
        <w:rPr>
          <w:color w:val="000000"/>
        </w:rPr>
        <w:t>generation or demand resources or elective transmission upgrades) that can meet the</w:t>
      </w:r>
      <w:r w:rsidRPr="0043615A">
        <w:rPr>
          <w:color w:val="000000"/>
        </w:rPr>
        <w:t xml:space="preserve"> defined system needs—systemwide and in specific areas </w:t>
      </w:r>
    </w:p>
    <w:p w14:paraId="34E28ABA" w14:textId="77777777" w:rsidR="00BB27C3" w:rsidRPr="0043615A" w:rsidRDefault="00BB27C3" w:rsidP="00BB27C3">
      <w:pPr>
        <w:numPr>
          <w:ilvl w:val="0"/>
          <w:numId w:val="21"/>
        </w:numPr>
        <w:rPr>
          <w:color w:val="000000"/>
        </w:rPr>
      </w:pPr>
      <w:r w:rsidRPr="0043615A">
        <w:rPr>
          <w:color w:val="000000"/>
        </w:rPr>
        <w:t xml:space="preserve">Descriptions of transmission projects for the region that meet the identified needs, as summarized in an </w:t>
      </w:r>
      <w:r w:rsidRPr="0043615A">
        <w:rPr>
          <w:i/>
          <w:color w:val="000000"/>
        </w:rPr>
        <w:t>RSP Project List</w:t>
      </w:r>
      <w:r w:rsidRPr="0043615A">
        <w:rPr>
          <w:color w:val="000000"/>
        </w:rPr>
        <w:t>, which includes information on project status and cost estimates and is updated several times each year.</w:t>
      </w:r>
    </w:p>
    <w:p w14:paraId="71F0D20A" w14:textId="77777777" w:rsidR="00BB27C3" w:rsidRPr="003C4E05" w:rsidRDefault="00BB27C3" w:rsidP="00BB27C3">
      <w:r w:rsidRPr="003C4E05">
        <w:t>RSPs also must summarize the ISO’s coordination of its system plans with those of neighboring systems, the results of economic studies of the New England power system, and information that can be used for improving the design of the regional wholesale electricity markets. In addition to these requirements, RSPs identify other actions taken by the ISO, state officials, regional policymakers, participating transmission owners (PTOs), New England Power Pool (NEPOOL) members, market participants, and other stakeholders to meet or modify the needs of the system.</w:t>
      </w:r>
    </w:p>
    <w:p w14:paraId="3EB6CCFC" w14:textId="77777777" w:rsidR="00BB27C3" w:rsidRPr="003C4E05" w:rsidRDefault="00BB27C3" w:rsidP="00BB27C3">
      <w:r w:rsidRPr="003C4E05">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14:paraId="05E2A310" w14:textId="409FA435" w:rsidR="00BB27C3" w:rsidRDefault="00BB27C3" w:rsidP="00BB27C3">
      <w:r w:rsidRPr="003C4E05">
        <w:t xml:space="preserve">The </w:t>
      </w:r>
      <w:r w:rsidRPr="003C4E05">
        <w:rPr>
          <w:i/>
        </w:rPr>
        <w:t>201</w:t>
      </w:r>
      <w:r>
        <w:rPr>
          <w:i/>
        </w:rPr>
        <w:t>9</w:t>
      </w:r>
      <w:r w:rsidRPr="003C4E05">
        <w:rPr>
          <w:i/>
        </w:rPr>
        <w:t xml:space="preserve"> Regional System Plan</w:t>
      </w:r>
      <w:r>
        <w:t xml:space="preserve"> (RSP19</w:t>
      </w:r>
      <w:r w:rsidRPr="003C4E05">
        <w:t>) and the regional system planning process identify the region’s electricity needs and plans for meeting these needs for 201</w:t>
      </w:r>
      <w:r>
        <w:t>9</w:t>
      </w:r>
      <w:r w:rsidRPr="003C4E05">
        <w:t xml:space="preserve"> through 202</w:t>
      </w:r>
      <w:r>
        <w:t>8</w:t>
      </w:r>
      <w:r w:rsidRPr="003C4E05">
        <w:t xml:space="preserve">. </w:t>
      </w:r>
      <w:r>
        <w:t>RSP19 updates the RSP17 report by discussing s</w:t>
      </w:r>
      <w:r w:rsidRPr="003C4E05">
        <w:t>tudy proposals, scopes of work, ass</w:t>
      </w:r>
      <w:r>
        <w:t xml:space="preserve">umptions, draft and final study </w:t>
      </w:r>
      <w:r w:rsidRPr="003C4E05">
        <w:t>results, and other materials</w:t>
      </w:r>
      <w:r>
        <w:t xml:space="preserve">. RSP19 also identifies key electric power system issues </w:t>
      </w:r>
      <w:r w:rsidR="00A364CB">
        <w:t xml:space="preserve">the region </w:t>
      </w:r>
      <w:r>
        <w:t>face</w:t>
      </w:r>
      <w:r w:rsidR="00A364CB">
        <w:t xml:space="preserve">s </w:t>
      </w:r>
      <w:r>
        <w:t xml:space="preserve">and how they can be addressed. </w:t>
      </w:r>
      <w:r w:rsidRPr="003C4E05">
        <w:t>RSP1</w:t>
      </w:r>
      <w:r>
        <w:t>9</w:t>
      </w:r>
      <w:r w:rsidRPr="003C4E05">
        <w:t xml:space="preserve"> </w:t>
      </w:r>
      <w:r>
        <w:t xml:space="preserve">planning activities </w:t>
      </w:r>
      <w:r w:rsidRPr="003C4E05">
        <w:t xml:space="preserve">were </w:t>
      </w:r>
      <w:r>
        <w:t>reviewed</w:t>
      </w:r>
      <w:r w:rsidRPr="003C4E05">
        <w:t xml:space="preserve"> </w:t>
      </w:r>
      <w:r>
        <w:t>at</w:t>
      </w:r>
      <w:r w:rsidRPr="003C4E05">
        <w:t xml:space="preserve"> PAC meetings held from September 201</w:t>
      </w:r>
      <w:r>
        <w:t>7</w:t>
      </w:r>
      <w:r w:rsidRPr="003C4E05">
        <w:t xml:space="preserve"> </w:t>
      </w:r>
      <w:r>
        <w:t>through</w:t>
      </w:r>
      <w:r w:rsidRPr="003C4E05">
        <w:t xml:space="preserve"> August 201</w:t>
      </w:r>
      <w:r>
        <w:t>9</w:t>
      </w:r>
      <w:r w:rsidRPr="003C4E05">
        <w:t xml:space="preserve">. The ISO also posted to its website PAC presentations, meeting minutes, reports, </w:t>
      </w:r>
      <w:r>
        <w:t xml:space="preserve">study base cases, </w:t>
      </w:r>
      <w:r w:rsidRPr="003C4E05">
        <w:t>databases, and other materials for stakeholder review</w:t>
      </w:r>
      <w:r>
        <w:t xml:space="preserve"> and use</w:t>
      </w:r>
      <w:r w:rsidRPr="003C4E05">
        <w:t xml:space="preserve">. On August </w:t>
      </w:r>
      <w:r>
        <w:t>8</w:t>
      </w:r>
      <w:r w:rsidRPr="008E3117">
        <w:t>, 201</w:t>
      </w:r>
      <w:r>
        <w:t>9</w:t>
      </w:r>
      <w:r w:rsidRPr="003C4E05">
        <w:t>, the ISO and the PAC discussed stakeholder comments on an earlier draft of RSP1</w:t>
      </w:r>
      <w:r>
        <w:t>9</w:t>
      </w:r>
      <w:r w:rsidRPr="003C4E05">
        <w:t xml:space="preserve">, </w:t>
      </w:r>
      <w:r w:rsidRPr="00BC0DD2">
        <w:t xml:space="preserve">and the ISO held a public meeting on </w:t>
      </w:r>
      <w:r w:rsidRPr="00B31FEF">
        <w:t>September 12, 2019</w:t>
      </w:r>
      <w:r w:rsidRPr="00E96E1F">
        <w:t>,</w:t>
      </w:r>
      <w:r w:rsidRPr="00BC0DD2">
        <w:t xml:space="preserve"> to discuss RSP1</w:t>
      </w:r>
      <w:r>
        <w:t>9</w:t>
      </w:r>
      <w:r w:rsidRPr="00BC0DD2">
        <w:t xml:space="preserve"> and other planning issues facing the New England region.</w:t>
      </w:r>
      <w:r>
        <w:t xml:space="preserve"> </w:t>
      </w:r>
    </w:p>
    <w:p w14:paraId="6296432D" w14:textId="55D85376" w:rsidR="00BB27C3" w:rsidRDefault="00BB27C3" w:rsidP="00BB27C3">
      <w:pPr>
        <w:rPr>
          <w:color w:val="211D1E"/>
        </w:rPr>
      </w:pPr>
      <w:r>
        <w:t>Through the planning process, the ISO demonstrates compliance with all planning criteria and regulatory requirements</w:t>
      </w:r>
      <w:r w:rsidRPr="00BC0DD2">
        <w:t>.</w:t>
      </w:r>
      <w:r w:rsidRPr="00BC0DD2">
        <w:rPr>
          <w:color w:val="211D1E"/>
        </w:rPr>
        <w:t xml:space="preserve"> </w:t>
      </w:r>
      <w:r w:rsidRPr="00B31FEF">
        <w:rPr>
          <w:color w:val="211D1E"/>
        </w:rPr>
        <w:t xml:space="preserve">As required by the OATT Attachment K, the ISO New England Board of Directors has approved the </w:t>
      </w:r>
      <w:r w:rsidRPr="00B31FEF">
        <w:rPr>
          <w:i/>
          <w:color w:val="211D1E"/>
        </w:rPr>
        <w:t>2019 Regional System Plan.</w:t>
      </w:r>
    </w:p>
    <w:p w14:paraId="399BEF30" w14:textId="77777777" w:rsidR="00867811" w:rsidRDefault="00867811" w:rsidP="00D24A34">
      <w:pPr>
        <w:rPr>
          <w:color w:val="211D1E"/>
        </w:rPr>
        <w:sectPr w:rsidR="00867811" w:rsidSect="001567F0">
          <w:headerReference w:type="default" r:id="rId13"/>
          <w:footerReference w:type="default" r:id="rId14"/>
          <w:pgSz w:w="12240" w:h="15840"/>
          <w:pgMar w:top="1440" w:right="1440" w:bottom="1440" w:left="1800" w:header="720" w:footer="720" w:gutter="0"/>
          <w:pgNumType w:fmt="lowerRoman"/>
          <w:cols w:space="720"/>
          <w:docGrid w:linePitch="360"/>
        </w:sectPr>
      </w:pPr>
    </w:p>
    <w:p w14:paraId="2E33D61C" w14:textId="77777777" w:rsidR="00475411" w:rsidRPr="008D5E64" w:rsidRDefault="00475411" w:rsidP="00D24A34">
      <w:pPr>
        <w:rPr>
          <w:color w:val="211D1E"/>
        </w:rPr>
        <w:sectPr w:rsidR="00475411" w:rsidRPr="008D5E64" w:rsidSect="001567F0">
          <w:headerReference w:type="default" r:id="rId15"/>
          <w:footerReference w:type="default" r:id="rId16"/>
          <w:pgSz w:w="12240" w:h="15840"/>
          <w:pgMar w:top="1440" w:right="1440" w:bottom="1440" w:left="1800" w:header="720" w:footer="720" w:gutter="0"/>
          <w:pgNumType w:fmt="lowerRoman"/>
          <w:cols w:space="720"/>
          <w:docGrid w:linePitch="360"/>
        </w:sectPr>
      </w:pPr>
    </w:p>
    <w:p w14:paraId="15A9C990" w14:textId="77777777" w:rsidR="00EF1A1F" w:rsidRPr="00EF1A1F" w:rsidRDefault="006229A8" w:rsidP="00D945E2">
      <w:pPr>
        <w:pStyle w:val="Heading1"/>
        <w:numPr>
          <w:ilvl w:val="0"/>
          <w:numId w:val="0"/>
        </w:numPr>
      </w:pPr>
      <w:bookmarkStart w:id="16" w:name="_Toc422904494"/>
      <w:bookmarkStart w:id="17" w:name="_Toc428516333"/>
      <w:bookmarkStart w:id="18" w:name="_Toc429063348"/>
      <w:bookmarkStart w:id="19" w:name="_Toc481676744"/>
      <w:bookmarkStart w:id="20" w:name="_Toc482013887"/>
      <w:bookmarkStart w:id="21" w:name="_Toc484101683"/>
      <w:bookmarkStart w:id="22" w:name="_Toc484355998"/>
      <w:bookmarkStart w:id="23" w:name="_Toc485656662"/>
      <w:bookmarkStart w:id="24" w:name="_Toc485803787"/>
      <w:bookmarkStart w:id="25" w:name="_Toc486321215"/>
      <w:bookmarkStart w:id="26" w:name="_Toc490322988"/>
      <w:bookmarkStart w:id="27" w:name="_Toc8926909"/>
      <w:bookmarkStart w:id="28" w:name="_Toc12214944"/>
      <w:bookmarkStart w:id="29" w:name="_Toc12795130"/>
      <w:r w:rsidRPr="00312B9F">
        <w:lastRenderedPageBreak/>
        <w:t>C</w:t>
      </w:r>
      <w:r w:rsidRPr="00CF2B8B">
        <w:t>ontents</w:t>
      </w:r>
      <w:bookmarkEnd w:id="5"/>
      <w:bookmarkEnd w:id="6"/>
      <w:bookmarkEnd w:id="7"/>
      <w:bookmarkEnd w:id="8"/>
      <w:bookmarkEnd w:id="9"/>
      <w:bookmarkEnd w:id="10"/>
      <w:bookmarkEnd w:id="11"/>
      <w:bookmarkEnd w:id="12"/>
      <w:bookmarkEnd w:id="13"/>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DA6678A" w14:textId="569524C8" w:rsidR="001E471C" w:rsidRPr="001E471C" w:rsidRDefault="00D945E2" w:rsidP="00312B9F">
      <w:pPr>
        <w:pStyle w:val="TOC1"/>
        <w:rPr>
          <w:rFonts w:asciiTheme="minorHAnsi" w:eastAsiaTheme="minorEastAsia" w:hAnsiTheme="minorHAnsi" w:cstheme="minorBidi"/>
          <w:b w:val="0"/>
          <w:sz w:val="22"/>
          <w:szCs w:val="22"/>
        </w:rPr>
      </w:pPr>
      <w:r w:rsidRPr="005A4357">
        <w:rPr>
          <w:rFonts w:eastAsia="Times New Roman"/>
        </w:rPr>
        <w:fldChar w:fldCharType="begin"/>
      </w:r>
      <w:r w:rsidRPr="005A4357">
        <w:rPr>
          <w:rFonts w:eastAsia="Times New Roman"/>
        </w:rPr>
        <w:instrText xml:space="preserve"> TOC \o "1-3" \h \z \u </w:instrText>
      </w:r>
      <w:r w:rsidRPr="005A4357">
        <w:rPr>
          <w:rFonts w:eastAsia="Times New Roman"/>
        </w:rPr>
        <w:fldChar w:fldCharType="separate"/>
      </w:r>
      <w:hyperlink w:anchor="_Toc12795129" w:history="1">
        <w:r w:rsidR="001E471C" w:rsidRPr="001E471C">
          <w:rPr>
            <w:rStyle w:val="Hyperlink"/>
          </w:rPr>
          <w:t>Preface</w:t>
        </w:r>
        <w:r w:rsidR="001E471C" w:rsidRPr="001E471C">
          <w:rPr>
            <w:webHidden/>
          </w:rPr>
          <w:tab/>
        </w:r>
        <w:r w:rsidR="001E471C" w:rsidRPr="001E471C">
          <w:rPr>
            <w:webHidden/>
          </w:rPr>
          <w:fldChar w:fldCharType="begin"/>
        </w:r>
        <w:r w:rsidR="001E471C" w:rsidRPr="001E471C">
          <w:rPr>
            <w:webHidden/>
          </w:rPr>
          <w:instrText xml:space="preserve"> PAGEREF _Toc12795129 \h </w:instrText>
        </w:r>
        <w:r w:rsidR="001E471C" w:rsidRPr="001E471C">
          <w:rPr>
            <w:webHidden/>
          </w:rPr>
        </w:r>
        <w:r w:rsidR="001E471C" w:rsidRPr="001E471C">
          <w:rPr>
            <w:webHidden/>
          </w:rPr>
          <w:fldChar w:fldCharType="separate"/>
        </w:r>
        <w:r w:rsidR="00E353DF">
          <w:rPr>
            <w:webHidden/>
          </w:rPr>
          <w:t>iii</w:t>
        </w:r>
        <w:r w:rsidR="001E471C" w:rsidRPr="001E471C">
          <w:rPr>
            <w:webHidden/>
          </w:rPr>
          <w:fldChar w:fldCharType="end"/>
        </w:r>
      </w:hyperlink>
    </w:p>
    <w:p w14:paraId="63DEE4E2" w14:textId="6FB2D78E" w:rsidR="001E471C" w:rsidRPr="001E471C" w:rsidRDefault="009D7B65" w:rsidP="00312B9F">
      <w:pPr>
        <w:pStyle w:val="TOC1"/>
        <w:rPr>
          <w:rFonts w:asciiTheme="minorHAnsi" w:eastAsiaTheme="minorEastAsia" w:hAnsiTheme="minorHAnsi" w:cstheme="minorBidi"/>
          <w:b w:val="0"/>
          <w:sz w:val="22"/>
          <w:szCs w:val="22"/>
        </w:rPr>
      </w:pPr>
      <w:hyperlink w:anchor="_Toc12795131" w:history="1">
        <w:r w:rsidR="001E471C" w:rsidRPr="001E471C">
          <w:rPr>
            <w:rStyle w:val="Hyperlink"/>
          </w:rPr>
          <w:t>Figures</w:t>
        </w:r>
        <w:r w:rsidR="001E471C" w:rsidRPr="001E471C">
          <w:rPr>
            <w:webHidden/>
          </w:rPr>
          <w:tab/>
        </w:r>
        <w:r w:rsidR="001E471C" w:rsidRPr="001E471C">
          <w:rPr>
            <w:webHidden/>
          </w:rPr>
          <w:fldChar w:fldCharType="begin"/>
        </w:r>
        <w:r w:rsidR="001E471C" w:rsidRPr="001E471C">
          <w:rPr>
            <w:webHidden/>
          </w:rPr>
          <w:instrText xml:space="preserve"> PAGEREF _Toc12795131 \h </w:instrText>
        </w:r>
        <w:r w:rsidR="001E471C" w:rsidRPr="001E471C">
          <w:rPr>
            <w:webHidden/>
          </w:rPr>
        </w:r>
        <w:r w:rsidR="001E471C" w:rsidRPr="001E471C">
          <w:rPr>
            <w:webHidden/>
          </w:rPr>
          <w:fldChar w:fldCharType="separate"/>
        </w:r>
        <w:r w:rsidR="00E353DF">
          <w:rPr>
            <w:webHidden/>
          </w:rPr>
          <w:t>x</w:t>
        </w:r>
        <w:r w:rsidR="001E471C" w:rsidRPr="001E471C">
          <w:rPr>
            <w:webHidden/>
          </w:rPr>
          <w:fldChar w:fldCharType="end"/>
        </w:r>
      </w:hyperlink>
    </w:p>
    <w:p w14:paraId="78FFA470" w14:textId="068DA802" w:rsidR="001E471C" w:rsidRDefault="009D7B65" w:rsidP="00312B9F">
      <w:pPr>
        <w:pStyle w:val="TOC1"/>
        <w:rPr>
          <w:rFonts w:asciiTheme="minorHAnsi" w:eastAsiaTheme="minorEastAsia" w:hAnsiTheme="minorHAnsi" w:cstheme="minorBidi"/>
          <w:b w:val="0"/>
          <w:sz w:val="22"/>
          <w:szCs w:val="22"/>
        </w:rPr>
      </w:pPr>
      <w:hyperlink w:anchor="_Toc12795132" w:history="1">
        <w:r w:rsidR="001E471C" w:rsidRPr="001E471C">
          <w:rPr>
            <w:rStyle w:val="Hyperlink"/>
          </w:rPr>
          <w:t>Tables</w:t>
        </w:r>
        <w:r w:rsidR="001E471C" w:rsidRPr="001E471C">
          <w:rPr>
            <w:webHidden/>
          </w:rPr>
          <w:tab/>
        </w:r>
        <w:r w:rsidR="001E471C" w:rsidRPr="001E471C">
          <w:rPr>
            <w:webHidden/>
          </w:rPr>
          <w:fldChar w:fldCharType="begin"/>
        </w:r>
        <w:r w:rsidR="001E471C" w:rsidRPr="001E471C">
          <w:rPr>
            <w:webHidden/>
          </w:rPr>
          <w:instrText xml:space="preserve"> PAGEREF _Toc12795132 \h </w:instrText>
        </w:r>
        <w:r w:rsidR="001E471C" w:rsidRPr="001E471C">
          <w:rPr>
            <w:webHidden/>
          </w:rPr>
        </w:r>
        <w:r w:rsidR="001E471C" w:rsidRPr="001E471C">
          <w:rPr>
            <w:webHidden/>
          </w:rPr>
          <w:fldChar w:fldCharType="separate"/>
        </w:r>
        <w:r w:rsidR="00E353DF">
          <w:rPr>
            <w:webHidden/>
          </w:rPr>
          <w:t>xii</w:t>
        </w:r>
        <w:r w:rsidR="001E471C" w:rsidRPr="001E471C">
          <w:rPr>
            <w:webHidden/>
          </w:rPr>
          <w:fldChar w:fldCharType="end"/>
        </w:r>
      </w:hyperlink>
    </w:p>
    <w:p w14:paraId="025463F0" w14:textId="6BA768AC" w:rsidR="001E471C" w:rsidRDefault="009D7B65" w:rsidP="00312B9F">
      <w:pPr>
        <w:pStyle w:val="TOC1"/>
        <w:rPr>
          <w:rFonts w:asciiTheme="minorHAnsi" w:eastAsiaTheme="minorEastAsia" w:hAnsiTheme="minorHAnsi" w:cstheme="minorBidi"/>
          <w:b w:val="0"/>
          <w:sz w:val="22"/>
          <w:szCs w:val="22"/>
        </w:rPr>
      </w:pPr>
      <w:hyperlink w:anchor="_Toc12795133" w:history="1">
        <w:r w:rsidR="001E471C" w:rsidRPr="00E97DC8">
          <w:rPr>
            <w:rStyle w:val="Hyperlink"/>
          </w:rPr>
          <w:t>Section 1</w:t>
        </w:r>
        <w:r w:rsidR="001E471C">
          <w:rPr>
            <w:rStyle w:val="Hyperlink"/>
          </w:rPr>
          <w:br/>
        </w:r>
        <w:r w:rsidR="001E471C" w:rsidRPr="00E97DC8">
          <w:rPr>
            <w:rStyle w:val="Hyperlink"/>
          </w:rPr>
          <w:t>Executive Summary</w:t>
        </w:r>
        <w:r w:rsidR="001E471C">
          <w:rPr>
            <w:webHidden/>
          </w:rPr>
          <w:tab/>
        </w:r>
        <w:r w:rsidR="001E471C">
          <w:rPr>
            <w:webHidden/>
          </w:rPr>
          <w:fldChar w:fldCharType="begin"/>
        </w:r>
        <w:r w:rsidR="001E471C">
          <w:rPr>
            <w:webHidden/>
          </w:rPr>
          <w:instrText xml:space="preserve"> PAGEREF _Toc12795133 \h </w:instrText>
        </w:r>
        <w:r w:rsidR="001E471C">
          <w:rPr>
            <w:webHidden/>
          </w:rPr>
        </w:r>
        <w:r w:rsidR="001E471C">
          <w:rPr>
            <w:webHidden/>
          </w:rPr>
          <w:fldChar w:fldCharType="separate"/>
        </w:r>
        <w:r w:rsidR="00E353DF">
          <w:rPr>
            <w:webHidden/>
          </w:rPr>
          <w:t>1</w:t>
        </w:r>
        <w:r w:rsidR="001E471C">
          <w:rPr>
            <w:webHidden/>
          </w:rPr>
          <w:fldChar w:fldCharType="end"/>
        </w:r>
      </w:hyperlink>
    </w:p>
    <w:p w14:paraId="7A8A9C6A" w14:textId="40E20C9A" w:rsidR="001E471C" w:rsidRPr="001E471C" w:rsidRDefault="009D7B65" w:rsidP="00312B9F">
      <w:pPr>
        <w:pStyle w:val="TOC2"/>
        <w:rPr>
          <w:rFonts w:asciiTheme="minorHAnsi" w:eastAsiaTheme="minorEastAsia" w:hAnsiTheme="minorHAnsi" w:cstheme="minorBidi"/>
          <w:sz w:val="22"/>
          <w:szCs w:val="22"/>
        </w:rPr>
      </w:pPr>
      <w:hyperlink w:anchor="_Toc12795134" w:history="1">
        <w:r w:rsidR="001E471C" w:rsidRPr="001E471C">
          <w:rPr>
            <w:rStyle w:val="Hyperlink"/>
            <w:rFonts w:eastAsiaTheme="majorEastAsia"/>
          </w:rPr>
          <w:t>1.1 Highlights and Key Results of the Regional System Plan</w:t>
        </w:r>
        <w:r w:rsidR="001E471C" w:rsidRPr="001E471C">
          <w:rPr>
            <w:webHidden/>
          </w:rPr>
          <w:tab/>
        </w:r>
        <w:r w:rsidR="001E471C" w:rsidRPr="001E471C">
          <w:rPr>
            <w:webHidden/>
          </w:rPr>
          <w:fldChar w:fldCharType="begin"/>
        </w:r>
        <w:r w:rsidR="001E471C" w:rsidRPr="001E471C">
          <w:rPr>
            <w:webHidden/>
          </w:rPr>
          <w:instrText xml:space="preserve"> PAGEREF _Toc12795134 \h </w:instrText>
        </w:r>
        <w:r w:rsidR="001E471C" w:rsidRPr="001E471C">
          <w:rPr>
            <w:webHidden/>
          </w:rPr>
        </w:r>
        <w:r w:rsidR="001E471C" w:rsidRPr="001E471C">
          <w:rPr>
            <w:webHidden/>
          </w:rPr>
          <w:fldChar w:fldCharType="separate"/>
        </w:r>
        <w:r w:rsidR="00E353DF">
          <w:rPr>
            <w:webHidden/>
          </w:rPr>
          <w:t>3</w:t>
        </w:r>
        <w:r w:rsidR="001E471C" w:rsidRPr="001E471C">
          <w:rPr>
            <w:webHidden/>
          </w:rPr>
          <w:fldChar w:fldCharType="end"/>
        </w:r>
      </w:hyperlink>
    </w:p>
    <w:p w14:paraId="329F917C" w14:textId="5AA805E2"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35" w:history="1">
        <w:r w:rsidR="001E471C" w:rsidRPr="001E471C">
          <w:rPr>
            <w:rStyle w:val="Hyperlink"/>
            <w:rFonts w:eastAsiaTheme="majorEastAsia"/>
            <w:b w:val="0"/>
          </w:rPr>
          <w:t>1.1.1</w:t>
        </w:r>
        <w:r w:rsidR="001E471C" w:rsidRPr="001E471C">
          <w:rPr>
            <w:rStyle w:val="Hyperlink"/>
            <w:rFonts w:eastAsiaTheme="majorEastAsia"/>
            <w:b w:val="0"/>
            <w:bCs/>
          </w:rPr>
          <w:t xml:space="preserve"> Forecasts of the Annual and Peak Use of Electric Energy, Energy Efficiency,</w:t>
        </w:r>
        <w:r w:rsidR="00AC01DD">
          <w:rPr>
            <w:rStyle w:val="Hyperlink"/>
            <w:rFonts w:eastAsiaTheme="majorEastAsia"/>
            <w:b w:val="0"/>
            <w:bCs/>
          </w:rPr>
          <w:br/>
        </w:r>
        <w:r w:rsidR="001E471C" w:rsidRPr="001E471C">
          <w:rPr>
            <w:rStyle w:val="Hyperlink"/>
            <w:rFonts w:eastAsiaTheme="majorEastAsia"/>
            <w:b w:val="0"/>
            <w:bCs/>
          </w:rPr>
          <w:t>and Photovoltaic Capacity and Energy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_Toc12795135 \h </w:instrText>
        </w:r>
        <w:r w:rsidR="001E471C" w:rsidRPr="001E471C">
          <w:rPr>
            <w:b w:val="0"/>
            <w:webHidden/>
          </w:rPr>
        </w:r>
        <w:r w:rsidR="001E471C" w:rsidRPr="001E471C">
          <w:rPr>
            <w:b w:val="0"/>
            <w:webHidden/>
          </w:rPr>
          <w:fldChar w:fldCharType="separate"/>
        </w:r>
        <w:r w:rsidR="00E353DF">
          <w:rPr>
            <w:b w:val="0"/>
            <w:webHidden/>
          </w:rPr>
          <w:t>3</w:t>
        </w:r>
        <w:r w:rsidR="001E471C" w:rsidRPr="001E471C">
          <w:rPr>
            <w:b w:val="0"/>
            <w:webHidden/>
          </w:rPr>
          <w:fldChar w:fldCharType="end"/>
        </w:r>
      </w:hyperlink>
    </w:p>
    <w:p w14:paraId="2E9D2015" w14:textId="6864D41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36" w:history="1">
        <w:r w:rsidR="001E471C" w:rsidRPr="001E471C">
          <w:rPr>
            <w:rStyle w:val="Hyperlink"/>
            <w:rFonts w:eastAsiaTheme="majorEastAsia"/>
            <w:b w:val="0"/>
          </w:rPr>
          <w:t>1.1.2</w:t>
        </w:r>
        <w:r w:rsidR="001E471C" w:rsidRPr="001E471C">
          <w:rPr>
            <w:rStyle w:val="Hyperlink"/>
            <w:rFonts w:eastAsiaTheme="majorEastAsia"/>
            <w:b w:val="0"/>
            <w:bCs/>
          </w:rPr>
          <w:t xml:space="preserve"> Projections of the Systemwide Need for Capacity and Operating Reserves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_Toc12795136 \h </w:instrText>
        </w:r>
        <w:r w:rsidR="001E471C" w:rsidRPr="001E471C">
          <w:rPr>
            <w:b w:val="0"/>
            <w:webHidden/>
          </w:rPr>
        </w:r>
        <w:r w:rsidR="001E471C" w:rsidRPr="001E471C">
          <w:rPr>
            <w:b w:val="0"/>
            <w:webHidden/>
          </w:rPr>
          <w:fldChar w:fldCharType="separate"/>
        </w:r>
        <w:r w:rsidR="00E353DF">
          <w:rPr>
            <w:b w:val="0"/>
            <w:webHidden/>
          </w:rPr>
          <w:t>4</w:t>
        </w:r>
        <w:r w:rsidR="001E471C" w:rsidRPr="001E471C">
          <w:rPr>
            <w:b w:val="0"/>
            <w:webHidden/>
          </w:rPr>
          <w:fldChar w:fldCharType="end"/>
        </w:r>
      </w:hyperlink>
    </w:p>
    <w:p w14:paraId="5CE49DE5" w14:textId="1D5C795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37" w:history="1">
        <w:r w:rsidR="001E471C" w:rsidRPr="001E471C">
          <w:rPr>
            <w:rStyle w:val="Hyperlink"/>
            <w:rFonts w:eastAsiaTheme="majorEastAsia"/>
            <w:b w:val="0"/>
          </w:rPr>
          <w:t>1.1.3</w:t>
        </w:r>
        <w:r w:rsidR="001E471C" w:rsidRPr="001E471C">
          <w:rPr>
            <w:rStyle w:val="Hyperlink"/>
            <w:rFonts w:eastAsiaTheme="majorEastAsia"/>
            <w:b w:val="0"/>
            <w:bCs/>
          </w:rPr>
          <w:t xml:space="preserve"> Transmission System Needs, Solutions, and Cost Considerations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_Toc12795137 \h </w:instrText>
        </w:r>
        <w:r w:rsidR="001E471C" w:rsidRPr="001E471C">
          <w:rPr>
            <w:b w:val="0"/>
            <w:webHidden/>
          </w:rPr>
        </w:r>
        <w:r w:rsidR="001E471C" w:rsidRPr="001E471C">
          <w:rPr>
            <w:b w:val="0"/>
            <w:webHidden/>
          </w:rPr>
          <w:fldChar w:fldCharType="separate"/>
        </w:r>
        <w:r w:rsidR="00E353DF">
          <w:rPr>
            <w:b w:val="0"/>
            <w:webHidden/>
          </w:rPr>
          <w:t>6</w:t>
        </w:r>
        <w:r w:rsidR="001E471C" w:rsidRPr="001E471C">
          <w:rPr>
            <w:b w:val="0"/>
            <w:webHidden/>
          </w:rPr>
          <w:fldChar w:fldCharType="end"/>
        </w:r>
      </w:hyperlink>
    </w:p>
    <w:p w14:paraId="498A32FB" w14:textId="6DD58B6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38" w:history="1">
        <w:r w:rsidR="001E471C" w:rsidRPr="001E471C">
          <w:rPr>
            <w:rStyle w:val="Hyperlink"/>
            <w:rFonts w:eastAsiaTheme="majorEastAsia"/>
            <w:b w:val="0"/>
          </w:rPr>
          <w:t>1.1.4</w:t>
        </w:r>
        <w:r w:rsidR="001E471C" w:rsidRPr="001E471C">
          <w:rPr>
            <w:rStyle w:val="Hyperlink"/>
            <w:rFonts w:eastAsiaTheme="majorEastAsia"/>
            <w:b w:val="0"/>
            <w:bCs/>
          </w:rPr>
          <w:t xml:space="preserve"> Interregional Planning Requirements and Activities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_Toc12795138 \h </w:instrText>
        </w:r>
        <w:r w:rsidR="001E471C" w:rsidRPr="001E471C">
          <w:rPr>
            <w:b w:val="0"/>
            <w:webHidden/>
          </w:rPr>
        </w:r>
        <w:r w:rsidR="001E471C" w:rsidRPr="001E471C">
          <w:rPr>
            <w:b w:val="0"/>
            <w:webHidden/>
          </w:rPr>
          <w:fldChar w:fldCharType="separate"/>
        </w:r>
        <w:r w:rsidR="00E353DF">
          <w:rPr>
            <w:b w:val="0"/>
            <w:webHidden/>
          </w:rPr>
          <w:t>9</w:t>
        </w:r>
        <w:r w:rsidR="001E471C" w:rsidRPr="001E471C">
          <w:rPr>
            <w:b w:val="0"/>
            <w:webHidden/>
          </w:rPr>
          <w:fldChar w:fldCharType="end"/>
        </w:r>
      </w:hyperlink>
    </w:p>
    <w:p w14:paraId="55D2AA63" w14:textId="0B969BFE"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39" w:history="1">
        <w:r w:rsidR="001E471C" w:rsidRPr="001E471C">
          <w:rPr>
            <w:rStyle w:val="Hyperlink"/>
            <w:rFonts w:eastAsiaTheme="majorEastAsia"/>
            <w:b w:val="0"/>
          </w:rPr>
          <w:t>1.1.5</w:t>
        </w:r>
        <w:r w:rsidR="001E471C" w:rsidRPr="001E471C">
          <w:rPr>
            <w:rStyle w:val="Hyperlink"/>
            <w:rFonts w:eastAsiaTheme="majorEastAsia"/>
            <w:b w:val="0"/>
            <w:bCs/>
          </w:rPr>
          <w:t xml:space="preserve"> Energy-Security-Related Risks to System Reliability and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_Toc12795139 \h </w:instrText>
        </w:r>
        <w:r w:rsidR="001E471C" w:rsidRPr="001E471C">
          <w:rPr>
            <w:b w:val="0"/>
            <w:webHidden/>
          </w:rPr>
        </w:r>
        <w:r w:rsidR="001E471C" w:rsidRPr="001E471C">
          <w:rPr>
            <w:b w:val="0"/>
            <w:webHidden/>
          </w:rPr>
          <w:fldChar w:fldCharType="separate"/>
        </w:r>
        <w:r w:rsidR="00E353DF">
          <w:rPr>
            <w:b w:val="0"/>
            <w:webHidden/>
          </w:rPr>
          <w:t>10</w:t>
        </w:r>
        <w:r w:rsidR="001E471C" w:rsidRPr="001E471C">
          <w:rPr>
            <w:b w:val="0"/>
            <w:webHidden/>
          </w:rPr>
          <w:fldChar w:fldCharType="end"/>
        </w:r>
      </w:hyperlink>
    </w:p>
    <w:p w14:paraId="0DDF84B0" w14:textId="2AF3605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0" w:history="1">
        <w:r w:rsidR="001E471C" w:rsidRPr="001E471C">
          <w:rPr>
            <w:rStyle w:val="Hyperlink"/>
            <w:rFonts w:eastAsiaTheme="majorEastAsia"/>
            <w:b w:val="0"/>
          </w:rPr>
          <w:t>1.1.6</w:t>
        </w:r>
        <w:r w:rsidR="001E471C" w:rsidRPr="001E471C">
          <w:rPr>
            <w:rStyle w:val="Hyperlink"/>
            <w:rFonts w:eastAsiaTheme="majorEastAsia"/>
            <w:b w:val="0"/>
            <w:bCs/>
          </w:rPr>
          <w:t xml:space="preserve"> Existing and Pending Environmental Regulations, Emissions Analyses, and Other Studies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_Toc12795140 \h </w:instrText>
        </w:r>
        <w:r w:rsidR="001E471C" w:rsidRPr="001E471C">
          <w:rPr>
            <w:b w:val="0"/>
            <w:webHidden/>
          </w:rPr>
        </w:r>
        <w:r w:rsidR="001E471C" w:rsidRPr="001E471C">
          <w:rPr>
            <w:b w:val="0"/>
            <w:webHidden/>
          </w:rPr>
          <w:fldChar w:fldCharType="separate"/>
        </w:r>
        <w:r w:rsidR="00E353DF">
          <w:rPr>
            <w:b w:val="0"/>
            <w:webHidden/>
          </w:rPr>
          <w:t>12</w:t>
        </w:r>
        <w:r w:rsidR="001E471C" w:rsidRPr="001E471C">
          <w:rPr>
            <w:b w:val="0"/>
            <w:webHidden/>
          </w:rPr>
          <w:fldChar w:fldCharType="end"/>
        </w:r>
      </w:hyperlink>
    </w:p>
    <w:p w14:paraId="52F21CEB" w14:textId="43A505D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1" w:history="1">
        <w:r w:rsidR="001E471C" w:rsidRPr="001E471C">
          <w:rPr>
            <w:rStyle w:val="Hyperlink"/>
            <w:rFonts w:eastAsiaTheme="majorEastAsia"/>
            <w:b w:val="0"/>
          </w:rPr>
          <w:t>1.1.7</w:t>
        </w:r>
        <w:r w:rsidR="001E471C" w:rsidRPr="001E471C">
          <w:rPr>
            <w:rStyle w:val="Hyperlink"/>
            <w:rFonts w:eastAsiaTheme="majorEastAsia"/>
            <w:b w:val="0"/>
            <w:bCs/>
          </w:rPr>
          <w:t xml:space="preser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_Toc12795141 \h </w:instrText>
        </w:r>
        <w:r w:rsidR="001E471C" w:rsidRPr="001E471C">
          <w:rPr>
            <w:b w:val="0"/>
            <w:webHidden/>
          </w:rPr>
        </w:r>
        <w:r w:rsidR="001E471C" w:rsidRPr="001E471C">
          <w:rPr>
            <w:b w:val="0"/>
            <w:webHidden/>
          </w:rPr>
          <w:fldChar w:fldCharType="separate"/>
        </w:r>
        <w:r w:rsidR="00E353DF">
          <w:rPr>
            <w:b w:val="0"/>
            <w:webHidden/>
          </w:rPr>
          <w:t>13</w:t>
        </w:r>
        <w:r w:rsidR="001E471C" w:rsidRPr="001E471C">
          <w:rPr>
            <w:b w:val="0"/>
            <w:webHidden/>
          </w:rPr>
          <w:fldChar w:fldCharType="end"/>
        </w:r>
      </w:hyperlink>
    </w:p>
    <w:p w14:paraId="2D4C3A11" w14:textId="7B2FA622"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2" w:history="1">
        <w:r w:rsidR="001E471C" w:rsidRPr="001E471C">
          <w:rPr>
            <w:rStyle w:val="Hyperlink"/>
            <w:rFonts w:eastAsiaTheme="majorEastAsia"/>
            <w:b w:val="0"/>
          </w:rPr>
          <w:t>1.1.8</w:t>
        </w:r>
        <w:r w:rsidR="001E471C" w:rsidRPr="001E471C">
          <w:rPr>
            <w:rStyle w:val="Hyperlink"/>
            <w:rFonts w:eastAsiaTheme="majorEastAsia"/>
            <w:b w:val="0"/>
            <w:bCs/>
          </w:rPr>
          <w:t xml:space="preserve"> Multistate and State Initiatives that Affect System Planning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_Toc12795142 \h </w:instrText>
        </w:r>
        <w:r w:rsidR="001E471C" w:rsidRPr="001E471C">
          <w:rPr>
            <w:b w:val="0"/>
            <w:webHidden/>
          </w:rPr>
        </w:r>
        <w:r w:rsidR="001E471C" w:rsidRPr="001E471C">
          <w:rPr>
            <w:b w:val="0"/>
            <w:webHidden/>
          </w:rPr>
          <w:fldChar w:fldCharType="separate"/>
        </w:r>
        <w:r w:rsidR="00E353DF">
          <w:rPr>
            <w:b w:val="0"/>
            <w:webHidden/>
          </w:rPr>
          <w:t>16</w:t>
        </w:r>
        <w:r w:rsidR="001E471C" w:rsidRPr="001E471C">
          <w:rPr>
            <w:b w:val="0"/>
            <w:webHidden/>
          </w:rPr>
          <w:fldChar w:fldCharType="end"/>
        </w:r>
      </w:hyperlink>
    </w:p>
    <w:p w14:paraId="605C57B8" w14:textId="68D912C0" w:rsidR="001E471C" w:rsidRPr="001E471C" w:rsidRDefault="009D7B65" w:rsidP="00356FAA">
      <w:pPr>
        <w:pStyle w:val="TOC2"/>
        <w:rPr>
          <w:rFonts w:asciiTheme="minorHAnsi" w:eastAsiaTheme="minorEastAsia" w:hAnsiTheme="minorHAnsi" w:cstheme="minorBidi"/>
          <w:sz w:val="22"/>
          <w:szCs w:val="22"/>
        </w:rPr>
      </w:pPr>
      <w:hyperlink w:anchor="_Toc12795143" w:history="1">
        <w:r w:rsidR="001E471C" w:rsidRPr="001E471C">
          <w:rPr>
            <w:rStyle w:val="Hyperlink"/>
            <w:rFonts w:eastAsiaTheme="majorEastAsia"/>
          </w:rPr>
          <w:t>1.2 Key Findings and Conclusions</w:t>
        </w:r>
        <w:r w:rsidR="001E471C" w:rsidRPr="001E471C">
          <w:rPr>
            <w:webHidden/>
          </w:rPr>
          <w:tab/>
        </w:r>
        <w:r w:rsidR="001E471C" w:rsidRPr="001E471C">
          <w:rPr>
            <w:webHidden/>
          </w:rPr>
          <w:fldChar w:fldCharType="begin"/>
        </w:r>
        <w:r w:rsidR="001E471C" w:rsidRPr="001E471C">
          <w:rPr>
            <w:webHidden/>
          </w:rPr>
          <w:instrText xml:space="preserve"> PAGEREF _Toc12795143 \h </w:instrText>
        </w:r>
        <w:r w:rsidR="001E471C" w:rsidRPr="001E471C">
          <w:rPr>
            <w:webHidden/>
          </w:rPr>
        </w:r>
        <w:r w:rsidR="001E471C" w:rsidRPr="001E471C">
          <w:rPr>
            <w:webHidden/>
          </w:rPr>
          <w:fldChar w:fldCharType="separate"/>
        </w:r>
        <w:r w:rsidR="00E353DF">
          <w:rPr>
            <w:webHidden/>
          </w:rPr>
          <w:t>17</w:t>
        </w:r>
        <w:r w:rsidR="001E471C" w:rsidRPr="001E471C">
          <w:rPr>
            <w:webHidden/>
          </w:rPr>
          <w:fldChar w:fldCharType="end"/>
        </w:r>
      </w:hyperlink>
    </w:p>
    <w:p w14:paraId="519E1ADD" w14:textId="0DA5BE70" w:rsidR="001E471C" w:rsidRDefault="009D7B65" w:rsidP="00356FAA">
      <w:pPr>
        <w:pStyle w:val="TOC1"/>
        <w:rPr>
          <w:rFonts w:asciiTheme="minorHAnsi" w:eastAsiaTheme="minorEastAsia" w:hAnsiTheme="minorHAnsi" w:cstheme="minorBidi"/>
          <w:b w:val="0"/>
          <w:sz w:val="22"/>
          <w:szCs w:val="22"/>
        </w:rPr>
      </w:pPr>
      <w:hyperlink w:anchor="_Toc12795144" w:history="1">
        <w:r w:rsidR="001E471C" w:rsidRPr="00E97DC8">
          <w:rPr>
            <w:rStyle w:val="Hyperlink"/>
          </w:rPr>
          <w:t>Section 2</w:t>
        </w:r>
        <w:r w:rsidR="001E471C">
          <w:rPr>
            <w:rStyle w:val="Hyperlink"/>
          </w:rPr>
          <w:br/>
        </w:r>
        <w:r w:rsidR="001E471C" w:rsidRPr="00E97DC8">
          <w:rPr>
            <w:rStyle w:val="Hyperlink"/>
          </w:rPr>
          <w:t>Overview of RSP19, the Power System, and Regional System Planning</w:t>
        </w:r>
        <w:r w:rsidR="001E471C">
          <w:rPr>
            <w:webHidden/>
          </w:rPr>
          <w:tab/>
        </w:r>
        <w:r w:rsidR="001E471C">
          <w:rPr>
            <w:webHidden/>
          </w:rPr>
          <w:fldChar w:fldCharType="begin"/>
        </w:r>
        <w:r w:rsidR="001E471C">
          <w:rPr>
            <w:webHidden/>
          </w:rPr>
          <w:instrText xml:space="preserve"> PAGEREF _Toc12795144 \h </w:instrText>
        </w:r>
        <w:r w:rsidR="001E471C">
          <w:rPr>
            <w:webHidden/>
          </w:rPr>
        </w:r>
        <w:r w:rsidR="001E471C">
          <w:rPr>
            <w:webHidden/>
          </w:rPr>
          <w:fldChar w:fldCharType="separate"/>
        </w:r>
        <w:r w:rsidR="00E353DF">
          <w:rPr>
            <w:webHidden/>
          </w:rPr>
          <w:t>19</w:t>
        </w:r>
        <w:r w:rsidR="001E471C">
          <w:rPr>
            <w:webHidden/>
          </w:rPr>
          <w:fldChar w:fldCharType="end"/>
        </w:r>
      </w:hyperlink>
    </w:p>
    <w:p w14:paraId="39797524" w14:textId="1A79CFBD" w:rsidR="001E471C" w:rsidRPr="001E471C" w:rsidRDefault="009D7B65" w:rsidP="00356FAA">
      <w:pPr>
        <w:pStyle w:val="TOC2"/>
        <w:rPr>
          <w:rFonts w:asciiTheme="minorHAnsi" w:eastAsiaTheme="minorEastAsia" w:hAnsiTheme="minorHAnsi" w:cstheme="minorBidi"/>
          <w:sz w:val="22"/>
          <w:szCs w:val="22"/>
        </w:rPr>
      </w:pPr>
      <w:hyperlink w:anchor="_Toc12795145" w:history="1">
        <w:r w:rsidR="001E471C" w:rsidRPr="001E471C">
          <w:rPr>
            <w:rStyle w:val="Hyperlink"/>
            <w:rFonts w:eastAsiaTheme="majorEastAsia"/>
          </w:rPr>
          <w:t>2.1 Overview of the System Planning Process and RSP19</w:t>
        </w:r>
        <w:r w:rsidR="001E471C" w:rsidRPr="001E471C">
          <w:rPr>
            <w:webHidden/>
          </w:rPr>
          <w:tab/>
        </w:r>
        <w:r w:rsidR="001E471C" w:rsidRPr="001E471C">
          <w:rPr>
            <w:webHidden/>
          </w:rPr>
          <w:fldChar w:fldCharType="begin"/>
        </w:r>
        <w:r w:rsidR="001E471C" w:rsidRPr="001E471C">
          <w:rPr>
            <w:webHidden/>
          </w:rPr>
          <w:instrText xml:space="preserve"> PAGEREF _Toc12795145 \h </w:instrText>
        </w:r>
        <w:r w:rsidR="001E471C" w:rsidRPr="001E471C">
          <w:rPr>
            <w:webHidden/>
          </w:rPr>
        </w:r>
        <w:r w:rsidR="001E471C" w:rsidRPr="001E471C">
          <w:rPr>
            <w:webHidden/>
          </w:rPr>
          <w:fldChar w:fldCharType="separate"/>
        </w:r>
        <w:r w:rsidR="00E353DF">
          <w:rPr>
            <w:webHidden/>
          </w:rPr>
          <w:t>19</w:t>
        </w:r>
        <w:r w:rsidR="001E471C" w:rsidRPr="001E471C">
          <w:rPr>
            <w:webHidden/>
          </w:rPr>
          <w:fldChar w:fldCharType="end"/>
        </w:r>
      </w:hyperlink>
    </w:p>
    <w:p w14:paraId="038FAC4A" w14:textId="1F93D8B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6" w:history="1">
        <w:r w:rsidR="001E471C" w:rsidRPr="001E471C">
          <w:rPr>
            <w:rStyle w:val="Hyperlink"/>
            <w:rFonts w:eastAsiaTheme="majorEastAsia"/>
            <w:b w:val="0"/>
          </w:rPr>
          <w:t>2.1.1</w:t>
        </w:r>
        <w:r w:rsidR="001E471C" w:rsidRPr="001E471C">
          <w:rPr>
            <w:rStyle w:val="Hyperlink"/>
            <w:rFonts w:eastAsiaTheme="majorEastAsia"/>
            <w:b w:val="0"/>
            <w:bCs/>
          </w:rPr>
          <w:t xml:space="preserve"> Types of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_Toc12795146 \h </w:instrText>
        </w:r>
        <w:r w:rsidR="001E471C" w:rsidRPr="001E471C">
          <w:rPr>
            <w:b w:val="0"/>
            <w:webHidden/>
          </w:rPr>
        </w:r>
        <w:r w:rsidR="001E471C" w:rsidRPr="001E471C">
          <w:rPr>
            <w:b w:val="0"/>
            <w:webHidden/>
          </w:rPr>
          <w:fldChar w:fldCharType="separate"/>
        </w:r>
        <w:r w:rsidR="00E353DF">
          <w:rPr>
            <w:b w:val="0"/>
            <w:webHidden/>
          </w:rPr>
          <w:t>20</w:t>
        </w:r>
        <w:r w:rsidR="001E471C" w:rsidRPr="001E471C">
          <w:rPr>
            <w:b w:val="0"/>
            <w:webHidden/>
          </w:rPr>
          <w:fldChar w:fldCharType="end"/>
        </w:r>
      </w:hyperlink>
    </w:p>
    <w:p w14:paraId="39D14DED" w14:textId="0AE921C4"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7" w:history="1">
        <w:r w:rsidR="001E471C" w:rsidRPr="001E471C">
          <w:rPr>
            <w:rStyle w:val="Hyperlink"/>
            <w:rFonts w:eastAsiaTheme="majorEastAsia"/>
            <w:b w:val="0"/>
          </w:rPr>
          <w:t>2.1.2</w:t>
        </w:r>
        <w:r w:rsidR="001E471C" w:rsidRPr="001E471C">
          <w:rPr>
            <w:rStyle w:val="Hyperlink"/>
            <w:rFonts w:eastAsiaTheme="majorEastAsia"/>
            <w:b w:val="0"/>
            <w:bCs/>
          </w:rPr>
          <w:t xml:space="preserve"> Transmission Planning Guides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_Toc12795147 \h </w:instrText>
        </w:r>
        <w:r w:rsidR="001E471C" w:rsidRPr="001E471C">
          <w:rPr>
            <w:b w:val="0"/>
            <w:webHidden/>
          </w:rPr>
        </w:r>
        <w:r w:rsidR="001E471C" w:rsidRPr="001E471C">
          <w:rPr>
            <w:b w:val="0"/>
            <w:webHidden/>
          </w:rPr>
          <w:fldChar w:fldCharType="separate"/>
        </w:r>
        <w:r w:rsidR="00E353DF">
          <w:rPr>
            <w:b w:val="0"/>
            <w:webHidden/>
          </w:rPr>
          <w:t>22</w:t>
        </w:r>
        <w:r w:rsidR="001E471C" w:rsidRPr="001E471C">
          <w:rPr>
            <w:b w:val="0"/>
            <w:webHidden/>
          </w:rPr>
          <w:fldChar w:fldCharType="end"/>
        </w:r>
      </w:hyperlink>
    </w:p>
    <w:p w14:paraId="2DA75C09" w14:textId="151AA64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8" w:history="1">
        <w:r w:rsidR="001E471C" w:rsidRPr="001E471C">
          <w:rPr>
            <w:rStyle w:val="Hyperlink"/>
            <w:rFonts w:eastAsiaTheme="majorEastAsia"/>
            <w:b w:val="0"/>
          </w:rPr>
          <w:t>2.1.3</w:t>
        </w:r>
        <w:r w:rsidR="001E471C" w:rsidRPr="001E471C">
          <w:rPr>
            <w:rStyle w:val="Hyperlink"/>
            <w:rFonts w:eastAsiaTheme="majorEastAsia"/>
            <w:b w:val="0"/>
            <w:bCs/>
          </w:rPr>
          <w:t xml:space="preserve"> Planning Studies Conducted for and Summarized in RSP19</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_Toc12795148 \h </w:instrText>
        </w:r>
        <w:r w:rsidR="001E471C" w:rsidRPr="001E471C">
          <w:rPr>
            <w:b w:val="0"/>
            <w:webHidden/>
          </w:rPr>
        </w:r>
        <w:r w:rsidR="001E471C" w:rsidRPr="001E471C">
          <w:rPr>
            <w:b w:val="0"/>
            <w:webHidden/>
          </w:rPr>
          <w:fldChar w:fldCharType="separate"/>
        </w:r>
        <w:r w:rsidR="00E353DF">
          <w:rPr>
            <w:b w:val="0"/>
            <w:webHidden/>
          </w:rPr>
          <w:t>23</w:t>
        </w:r>
        <w:r w:rsidR="001E471C" w:rsidRPr="001E471C">
          <w:rPr>
            <w:b w:val="0"/>
            <w:webHidden/>
          </w:rPr>
          <w:fldChar w:fldCharType="end"/>
        </w:r>
      </w:hyperlink>
    </w:p>
    <w:p w14:paraId="08827E12" w14:textId="5EBB0732"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49" w:history="1">
        <w:r w:rsidR="001E471C" w:rsidRPr="001E471C">
          <w:rPr>
            <w:rStyle w:val="Hyperlink"/>
            <w:rFonts w:eastAsiaTheme="majorEastAsia"/>
            <w:b w:val="0"/>
          </w:rPr>
          <w:t>2.1.4</w:t>
        </w:r>
        <w:r w:rsidR="001E471C" w:rsidRPr="001E471C">
          <w:rPr>
            <w:rStyle w:val="Hyperlink"/>
            <w:rFonts w:eastAsiaTheme="majorEastAsia"/>
            <w:b w:val="0"/>
            <w:bCs/>
          </w:rPr>
          <w:t xml:space="preserve"> Accounting for Uncertainty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_Toc12795149 \h </w:instrText>
        </w:r>
        <w:r w:rsidR="001E471C" w:rsidRPr="001E471C">
          <w:rPr>
            <w:b w:val="0"/>
            <w:webHidden/>
          </w:rPr>
        </w:r>
        <w:r w:rsidR="001E471C" w:rsidRPr="001E471C">
          <w:rPr>
            <w:b w:val="0"/>
            <w:webHidden/>
          </w:rPr>
          <w:fldChar w:fldCharType="separate"/>
        </w:r>
        <w:r w:rsidR="00E353DF">
          <w:rPr>
            <w:b w:val="0"/>
            <w:webHidden/>
          </w:rPr>
          <w:t>24</w:t>
        </w:r>
        <w:r w:rsidR="001E471C" w:rsidRPr="001E471C">
          <w:rPr>
            <w:b w:val="0"/>
            <w:webHidden/>
          </w:rPr>
          <w:fldChar w:fldCharType="end"/>
        </w:r>
      </w:hyperlink>
    </w:p>
    <w:p w14:paraId="112B1FE1" w14:textId="36FD7EB0"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50" w:history="1">
        <w:r w:rsidR="001E471C" w:rsidRPr="001E471C">
          <w:rPr>
            <w:rStyle w:val="Hyperlink"/>
            <w:rFonts w:eastAsiaTheme="majorEastAsia"/>
            <w:b w:val="0"/>
          </w:rPr>
          <w:t>2.1.5</w:t>
        </w:r>
        <w:r w:rsidR="001E471C" w:rsidRPr="001E471C">
          <w:rPr>
            <w:rStyle w:val="Hyperlink"/>
            <w:rFonts w:eastAsiaTheme="majorEastAsia"/>
            <w:b w:val="0"/>
            <w:bCs/>
          </w:rPr>
          <w:t xml:space="preserve"> Working with the Planning Advisory Committee and Other Committees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_Toc12795150 \h </w:instrText>
        </w:r>
        <w:r w:rsidR="001E471C" w:rsidRPr="001E471C">
          <w:rPr>
            <w:b w:val="0"/>
            <w:webHidden/>
          </w:rPr>
        </w:r>
        <w:r w:rsidR="001E471C" w:rsidRPr="001E471C">
          <w:rPr>
            <w:b w:val="0"/>
            <w:webHidden/>
          </w:rPr>
          <w:fldChar w:fldCharType="separate"/>
        </w:r>
        <w:r w:rsidR="00E353DF">
          <w:rPr>
            <w:b w:val="0"/>
            <w:webHidden/>
          </w:rPr>
          <w:t>25</w:t>
        </w:r>
        <w:r w:rsidR="001E471C" w:rsidRPr="001E471C">
          <w:rPr>
            <w:b w:val="0"/>
            <w:webHidden/>
          </w:rPr>
          <w:fldChar w:fldCharType="end"/>
        </w:r>
      </w:hyperlink>
    </w:p>
    <w:p w14:paraId="3E72BC14" w14:textId="4813D33C"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51" w:history="1">
        <w:r w:rsidR="001E471C" w:rsidRPr="001E471C">
          <w:rPr>
            <w:rStyle w:val="Hyperlink"/>
            <w:rFonts w:eastAsiaTheme="majorEastAsia"/>
            <w:b w:val="0"/>
          </w:rPr>
          <w:t>2.1.6</w:t>
        </w:r>
        <w:r w:rsidR="001E471C" w:rsidRPr="001E471C">
          <w:rPr>
            <w:rStyle w:val="Hyperlink"/>
            <w:rFonts w:eastAsiaTheme="majorEastAsia"/>
            <w:b w:val="0"/>
            <w:bCs/>
          </w:rPr>
          <w:t xml:space="preserve"> Providing Information to Stakeholders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_Toc12795151 \h </w:instrText>
        </w:r>
        <w:r w:rsidR="001E471C" w:rsidRPr="001E471C">
          <w:rPr>
            <w:b w:val="0"/>
            <w:webHidden/>
          </w:rPr>
        </w:r>
        <w:r w:rsidR="001E471C" w:rsidRPr="001E471C">
          <w:rPr>
            <w:b w:val="0"/>
            <w:webHidden/>
          </w:rPr>
          <w:fldChar w:fldCharType="separate"/>
        </w:r>
        <w:r w:rsidR="00E353DF">
          <w:rPr>
            <w:b w:val="0"/>
            <w:webHidden/>
          </w:rPr>
          <w:t>26</w:t>
        </w:r>
        <w:r w:rsidR="001E471C" w:rsidRPr="001E471C">
          <w:rPr>
            <w:b w:val="0"/>
            <w:webHidden/>
          </w:rPr>
          <w:fldChar w:fldCharType="end"/>
        </w:r>
      </w:hyperlink>
    </w:p>
    <w:p w14:paraId="52A60DBA" w14:textId="5139155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52" w:history="1">
        <w:r w:rsidR="001E471C" w:rsidRPr="001E471C">
          <w:rPr>
            <w:rStyle w:val="Hyperlink"/>
            <w:rFonts w:eastAsiaTheme="majorEastAsia"/>
            <w:b w:val="0"/>
          </w:rPr>
          <w:t>2.1.7</w:t>
        </w:r>
        <w:r w:rsidR="001E471C" w:rsidRPr="001E471C">
          <w:rPr>
            <w:rStyle w:val="Hyperlink"/>
            <w:rFonts w:eastAsiaTheme="majorEastAsia"/>
            <w:b w:val="0"/>
            <w:bCs/>
          </w:rPr>
          <w:t xml:space="preserve"> Meeting All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_Toc12795152 \h </w:instrText>
        </w:r>
        <w:r w:rsidR="001E471C" w:rsidRPr="001E471C">
          <w:rPr>
            <w:b w:val="0"/>
            <w:webHidden/>
          </w:rPr>
        </w:r>
        <w:r w:rsidR="001E471C" w:rsidRPr="001E471C">
          <w:rPr>
            <w:b w:val="0"/>
            <w:webHidden/>
          </w:rPr>
          <w:fldChar w:fldCharType="separate"/>
        </w:r>
        <w:r w:rsidR="00E353DF">
          <w:rPr>
            <w:b w:val="0"/>
            <w:webHidden/>
          </w:rPr>
          <w:t>27</w:t>
        </w:r>
        <w:r w:rsidR="001E471C" w:rsidRPr="001E471C">
          <w:rPr>
            <w:b w:val="0"/>
            <w:webHidden/>
          </w:rPr>
          <w:fldChar w:fldCharType="end"/>
        </w:r>
      </w:hyperlink>
    </w:p>
    <w:p w14:paraId="476976D4" w14:textId="265188E7" w:rsidR="001E471C" w:rsidRPr="001E471C" w:rsidRDefault="009D7B65" w:rsidP="00356FAA">
      <w:pPr>
        <w:pStyle w:val="TOC2"/>
        <w:rPr>
          <w:rFonts w:asciiTheme="minorHAnsi" w:eastAsiaTheme="minorEastAsia" w:hAnsiTheme="minorHAnsi" w:cstheme="minorBidi"/>
          <w:sz w:val="22"/>
          <w:szCs w:val="22"/>
        </w:rPr>
      </w:pPr>
      <w:hyperlink w:anchor="_Toc12795153" w:history="1">
        <w:r w:rsidR="001E471C" w:rsidRPr="001E471C">
          <w:rPr>
            <w:rStyle w:val="Hyperlink"/>
            <w:rFonts w:eastAsiaTheme="majorEastAsia"/>
          </w:rPr>
          <w:t>2.2 Overview of the New England Electric Power System</w:t>
        </w:r>
        <w:r w:rsidR="001E471C" w:rsidRPr="001E471C">
          <w:rPr>
            <w:webHidden/>
          </w:rPr>
          <w:tab/>
        </w:r>
        <w:r w:rsidR="001E471C" w:rsidRPr="001E471C">
          <w:rPr>
            <w:webHidden/>
          </w:rPr>
          <w:fldChar w:fldCharType="begin"/>
        </w:r>
        <w:r w:rsidR="001E471C" w:rsidRPr="001E471C">
          <w:rPr>
            <w:webHidden/>
          </w:rPr>
          <w:instrText xml:space="preserve"> PAGEREF _Toc12795153 \h </w:instrText>
        </w:r>
        <w:r w:rsidR="001E471C" w:rsidRPr="001E471C">
          <w:rPr>
            <w:webHidden/>
          </w:rPr>
        </w:r>
        <w:r w:rsidR="001E471C" w:rsidRPr="001E471C">
          <w:rPr>
            <w:webHidden/>
          </w:rPr>
          <w:fldChar w:fldCharType="separate"/>
        </w:r>
        <w:r w:rsidR="00E353DF">
          <w:rPr>
            <w:webHidden/>
          </w:rPr>
          <w:t>27</w:t>
        </w:r>
        <w:r w:rsidR="001E471C" w:rsidRPr="001E471C">
          <w:rPr>
            <w:webHidden/>
          </w:rPr>
          <w:fldChar w:fldCharType="end"/>
        </w:r>
      </w:hyperlink>
    </w:p>
    <w:p w14:paraId="34009030" w14:textId="324A0B30" w:rsidR="001E471C" w:rsidRPr="001E471C" w:rsidRDefault="009D7B65" w:rsidP="00356FAA">
      <w:pPr>
        <w:pStyle w:val="TOC2"/>
        <w:rPr>
          <w:rFonts w:asciiTheme="minorHAnsi" w:eastAsiaTheme="minorEastAsia" w:hAnsiTheme="minorHAnsi" w:cstheme="minorBidi"/>
          <w:sz w:val="22"/>
          <w:szCs w:val="22"/>
        </w:rPr>
      </w:pPr>
      <w:hyperlink w:anchor="_Toc12795154" w:history="1">
        <w:r w:rsidR="001E471C" w:rsidRPr="001E471C">
          <w:rPr>
            <w:rStyle w:val="Hyperlink"/>
            <w:rFonts w:eastAsiaTheme="majorEastAsia"/>
          </w:rPr>
          <w:t>2.3 Overview of the New England Wholesale Electricity Market Structure</w:t>
        </w:r>
        <w:r w:rsidR="001E471C" w:rsidRPr="001E471C">
          <w:rPr>
            <w:webHidden/>
          </w:rPr>
          <w:tab/>
        </w:r>
        <w:r w:rsidR="001E471C" w:rsidRPr="001E471C">
          <w:rPr>
            <w:webHidden/>
          </w:rPr>
          <w:fldChar w:fldCharType="begin"/>
        </w:r>
        <w:r w:rsidR="001E471C" w:rsidRPr="001E471C">
          <w:rPr>
            <w:webHidden/>
          </w:rPr>
          <w:instrText xml:space="preserve"> PAGEREF _Toc12795154 \h </w:instrText>
        </w:r>
        <w:r w:rsidR="001E471C" w:rsidRPr="001E471C">
          <w:rPr>
            <w:webHidden/>
          </w:rPr>
        </w:r>
        <w:r w:rsidR="001E471C" w:rsidRPr="001E471C">
          <w:rPr>
            <w:webHidden/>
          </w:rPr>
          <w:fldChar w:fldCharType="separate"/>
        </w:r>
        <w:r w:rsidR="00E353DF">
          <w:rPr>
            <w:webHidden/>
          </w:rPr>
          <w:t>29</w:t>
        </w:r>
        <w:r w:rsidR="001E471C" w:rsidRPr="001E471C">
          <w:rPr>
            <w:webHidden/>
          </w:rPr>
          <w:fldChar w:fldCharType="end"/>
        </w:r>
      </w:hyperlink>
    </w:p>
    <w:p w14:paraId="14A84DDE" w14:textId="63E06591" w:rsidR="001E471C" w:rsidRPr="001E471C" w:rsidRDefault="009D7B65" w:rsidP="00356FAA">
      <w:pPr>
        <w:pStyle w:val="TOC2"/>
        <w:rPr>
          <w:rFonts w:asciiTheme="minorHAnsi" w:eastAsiaTheme="minorEastAsia" w:hAnsiTheme="minorHAnsi" w:cstheme="minorBidi"/>
          <w:sz w:val="22"/>
          <w:szCs w:val="22"/>
        </w:rPr>
      </w:pPr>
      <w:hyperlink w:anchor="_Toc12795155" w:history="1">
        <w:r w:rsidR="001E471C" w:rsidRPr="001E471C">
          <w:rPr>
            <w:rStyle w:val="Hyperlink"/>
            <w:rFonts w:eastAsiaTheme="majorEastAsia"/>
          </w:rPr>
          <w:t>2.4 Overview of System Subdivisions Used for Analyzing and Planning the System</w:t>
        </w:r>
        <w:r w:rsidR="001E471C" w:rsidRPr="001E471C">
          <w:rPr>
            <w:webHidden/>
          </w:rPr>
          <w:tab/>
        </w:r>
        <w:r w:rsidR="001E471C" w:rsidRPr="001E471C">
          <w:rPr>
            <w:webHidden/>
          </w:rPr>
          <w:fldChar w:fldCharType="begin"/>
        </w:r>
        <w:r w:rsidR="001E471C" w:rsidRPr="001E471C">
          <w:rPr>
            <w:webHidden/>
          </w:rPr>
          <w:instrText xml:space="preserve"> PAGEREF _Toc12795155 \h </w:instrText>
        </w:r>
        <w:r w:rsidR="001E471C" w:rsidRPr="001E471C">
          <w:rPr>
            <w:webHidden/>
          </w:rPr>
        </w:r>
        <w:r w:rsidR="001E471C" w:rsidRPr="001E471C">
          <w:rPr>
            <w:webHidden/>
          </w:rPr>
          <w:fldChar w:fldCharType="separate"/>
        </w:r>
        <w:r w:rsidR="00E353DF">
          <w:rPr>
            <w:webHidden/>
          </w:rPr>
          <w:t>31</w:t>
        </w:r>
        <w:r w:rsidR="001E471C" w:rsidRPr="001E471C">
          <w:rPr>
            <w:webHidden/>
          </w:rPr>
          <w:fldChar w:fldCharType="end"/>
        </w:r>
      </w:hyperlink>
    </w:p>
    <w:p w14:paraId="17BFFB9E" w14:textId="6545D43F" w:rsidR="001E471C" w:rsidRDefault="009D7B65" w:rsidP="00356FAA">
      <w:pPr>
        <w:pStyle w:val="TOC1"/>
        <w:rPr>
          <w:rFonts w:asciiTheme="minorHAnsi" w:eastAsiaTheme="minorEastAsia" w:hAnsiTheme="minorHAnsi" w:cstheme="minorBidi"/>
          <w:b w:val="0"/>
          <w:sz w:val="22"/>
          <w:szCs w:val="22"/>
        </w:rPr>
      </w:pPr>
      <w:hyperlink w:anchor="_Toc12795156" w:history="1">
        <w:r w:rsidR="001E471C" w:rsidRPr="00E97DC8">
          <w:rPr>
            <w:rStyle w:val="Hyperlink"/>
          </w:rPr>
          <w:t>Section 3</w:t>
        </w:r>
        <w:r w:rsidR="001E471C">
          <w:rPr>
            <w:rStyle w:val="Hyperlink"/>
          </w:rPr>
          <w:br/>
        </w:r>
        <w:r w:rsidR="001E471C" w:rsidRPr="00E97DC8">
          <w:rPr>
            <w:rStyle w:val="Hyperlink"/>
          </w:rPr>
          <w:t>Forecasts of New England’s Peak Demand, Annual Use of Electric Energy, Energy Efficiency,</w:t>
        </w:r>
        <w:r w:rsidR="001E471C">
          <w:rPr>
            <w:rStyle w:val="Hyperlink"/>
          </w:rPr>
          <w:br/>
        </w:r>
        <w:r w:rsidR="001E471C" w:rsidRPr="00E97DC8">
          <w:rPr>
            <w:rStyle w:val="Hyperlink"/>
          </w:rPr>
          <w:t>and Distributed Generation</w:t>
        </w:r>
        <w:r w:rsidR="001E471C">
          <w:rPr>
            <w:webHidden/>
          </w:rPr>
          <w:tab/>
        </w:r>
        <w:r w:rsidR="001E471C">
          <w:rPr>
            <w:webHidden/>
          </w:rPr>
          <w:fldChar w:fldCharType="begin"/>
        </w:r>
        <w:r w:rsidR="001E471C">
          <w:rPr>
            <w:webHidden/>
          </w:rPr>
          <w:instrText xml:space="preserve"> PAGEREF _Toc12795156 \h </w:instrText>
        </w:r>
        <w:r w:rsidR="001E471C">
          <w:rPr>
            <w:webHidden/>
          </w:rPr>
        </w:r>
        <w:r w:rsidR="001E471C">
          <w:rPr>
            <w:webHidden/>
          </w:rPr>
          <w:fldChar w:fldCharType="separate"/>
        </w:r>
        <w:r w:rsidR="00E353DF">
          <w:rPr>
            <w:webHidden/>
          </w:rPr>
          <w:t>36</w:t>
        </w:r>
        <w:r w:rsidR="001E471C">
          <w:rPr>
            <w:webHidden/>
          </w:rPr>
          <w:fldChar w:fldCharType="end"/>
        </w:r>
      </w:hyperlink>
    </w:p>
    <w:p w14:paraId="3B249831" w14:textId="78827379" w:rsidR="001E471C" w:rsidRPr="001E471C" w:rsidRDefault="009D7B65" w:rsidP="00356FAA">
      <w:pPr>
        <w:pStyle w:val="TOC2"/>
        <w:rPr>
          <w:rFonts w:asciiTheme="minorHAnsi" w:eastAsiaTheme="minorEastAsia" w:hAnsiTheme="minorHAnsi" w:cstheme="minorBidi"/>
          <w:sz w:val="22"/>
          <w:szCs w:val="22"/>
        </w:rPr>
      </w:pPr>
      <w:hyperlink w:anchor="_Toc12795157" w:history="1">
        <w:r w:rsidR="001E471C" w:rsidRPr="001E471C">
          <w:rPr>
            <w:rStyle w:val="Hyperlink"/>
            <w:rFonts w:eastAsiaTheme="majorEastAsia"/>
          </w:rPr>
          <w:t>3.1 ISO New England Gross Demand Forecasts</w:t>
        </w:r>
        <w:r w:rsidR="001E471C" w:rsidRPr="001E471C">
          <w:rPr>
            <w:webHidden/>
          </w:rPr>
          <w:tab/>
        </w:r>
        <w:r w:rsidR="001E471C" w:rsidRPr="001E471C">
          <w:rPr>
            <w:webHidden/>
          </w:rPr>
          <w:fldChar w:fldCharType="begin"/>
        </w:r>
        <w:r w:rsidR="001E471C" w:rsidRPr="001E471C">
          <w:rPr>
            <w:webHidden/>
          </w:rPr>
          <w:instrText xml:space="preserve"> PAGEREF _Toc12795157 \h </w:instrText>
        </w:r>
        <w:r w:rsidR="001E471C" w:rsidRPr="001E471C">
          <w:rPr>
            <w:webHidden/>
          </w:rPr>
        </w:r>
        <w:r w:rsidR="001E471C" w:rsidRPr="001E471C">
          <w:rPr>
            <w:webHidden/>
          </w:rPr>
          <w:fldChar w:fldCharType="separate"/>
        </w:r>
        <w:r w:rsidR="00E353DF">
          <w:rPr>
            <w:webHidden/>
          </w:rPr>
          <w:t>37</w:t>
        </w:r>
        <w:r w:rsidR="001E471C" w:rsidRPr="001E471C">
          <w:rPr>
            <w:webHidden/>
          </w:rPr>
          <w:fldChar w:fldCharType="end"/>
        </w:r>
      </w:hyperlink>
    </w:p>
    <w:p w14:paraId="05EF67B2" w14:textId="4B34F50A" w:rsidR="001E471C" w:rsidRPr="001E471C" w:rsidRDefault="009D7B65" w:rsidP="00356FAA">
      <w:pPr>
        <w:pStyle w:val="TOC2"/>
        <w:rPr>
          <w:rFonts w:asciiTheme="minorHAnsi" w:eastAsiaTheme="minorEastAsia" w:hAnsiTheme="minorHAnsi" w:cstheme="minorBidi"/>
          <w:sz w:val="22"/>
          <w:szCs w:val="22"/>
        </w:rPr>
      </w:pPr>
      <w:hyperlink w:anchor="_Toc12795158" w:history="1">
        <w:r w:rsidR="001E471C" w:rsidRPr="001E471C">
          <w:rPr>
            <w:rStyle w:val="Hyperlink"/>
            <w:rFonts w:eastAsiaTheme="majorEastAsia"/>
          </w:rPr>
          <w:t>3.2 Energy-Efficiency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_Toc12795158 \h </w:instrText>
        </w:r>
        <w:r w:rsidR="001E471C" w:rsidRPr="001E471C">
          <w:rPr>
            <w:webHidden/>
          </w:rPr>
        </w:r>
        <w:r w:rsidR="001E471C" w:rsidRPr="001E471C">
          <w:rPr>
            <w:webHidden/>
          </w:rPr>
          <w:fldChar w:fldCharType="separate"/>
        </w:r>
        <w:r w:rsidR="00E353DF">
          <w:rPr>
            <w:webHidden/>
          </w:rPr>
          <w:t>40</w:t>
        </w:r>
        <w:r w:rsidR="001E471C" w:rsidRPr="001E471C">
          <w:rPr>
            <w:webHidden/>
          </w:rPr>
          <w:fldChar w:fldCharType="end"/>
        </w:r>
      </w:hyperlink>
    </w:p>
    <w:p w14:paraId="4C69CD9D" w14:textId="5029B30F" w:rsidR="001E471C" w:rsidRPr="001E471C" w:rsidRDefault="009D7B65" w:rsidP="00356FAA">
      <w:pPr>
        <w:pStyle w:val="TOC2"/>
        <w:rPr>
          <w:rFonts w:asciiTheme="minorHAnsi" w:eastAsiaTheme="minorEastAsia" w:hAnsiTheme="minorHAnsi" w:cstheme="minorBidi"/>
          <w:sz w:val="22"/>
          <w:szCs w:val="22"/>
        </w:rPr>
      </w:pPr>
      <w:hyperlink w:anchor="_Toc12795159" w:history="1">
        <w:r w:rsidR="001E471C" w:rsidRPr="001E471C">
          <w:rPr>
            <w:rStyle w:val="Hyperlink"/>
            <w:rFonts w:eastAsiaTheme="majorEastAsia"/>
          </w:rPr>
          <w:t>3.3 Distributed Photovoltaic Generation Forecast for New England</w:t>
        </w:r>
        <w:r w:rsidR="001E471C" w:rsidRPr="001E471C">
          <w:rPr>
            <w:webHidden/>
          </w:rPr>
          <w:tab/>
        </w:r>
        <w:r w:rsidR="001E471C" w:rsidRPr="001E471C">
          <w:rPr>
            <w:webHidden/>
          </w:rPr>
          <w:fldChar w:fldCharType="begin"/>
        </w:r>
        <w:r w:rsidR="001E471C" w:rsidRPr="001E471C">
          <w:rPr>
            <w:webHidden/>
          </w:rPr>
          <w:instrText xml:space="preserve"> PAGEREF _Toc12795159 \h </w:instrText>
        </w:r>
        <w:r w:rsidR="001E471C" w:rsidRPr="001E471C">
          <w:rPr>
            <w:webHidden/>
          </w:rPr>
        </w:r>
        <w:r w:rsidR="001E471C" w:rsidRPr="001E471C">
          <w:rPr>
            <w:webHidden/>
          </w:rPr>
          <w:fldChar w:fldCharType="separate"/>
        </w:r>
        <w:r w:rsidR="00E353DF">
          <w:rPr>
            <w:webHidden/>
          </w:rPr>
          <w:t>41</w:t>
        </w:r>
        <w:r w:rsidR="001E471C" w:rsidRPr="001E471C">
          <w:rPr>
            <w:webHidden/>
          </w:rPr>
          <w:fldChar w:fldCharType="end"/>
        </w:r>
      </w:hyperlink>
    </w:p>
    <w:p w14:paraId="1201D17C" w14:textId="37FB4EC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60" w:history="1">
        <w:r w:rsidR="001E471C" w:rsidRPr="001E471C">
          <w:rPr>
            <w:rStyle w:val="Hyperlink"/>
            <w:rFonts w:eastAsiaTheme="majorEastAsia"/>
            <w:b w:val="0"/>
          </w:rPr>
          <w:t>3.3.1</w:t>
        </w:r>
        <w:r w:rsidR="001E471C" w:rsidRPr="001E471C">
          <w:rPr>
            <w:rStyle w:val="Hyperlink"/>
            <w:rFonts w:eastAsiaTheme="majorEastAsia"/>
            <w:b w:val="0"/>
            <w:bCs/>
          </w:rPr>
          <w:t xml:space="preserve"> PV Nameplate Capacity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_Toc12795160 \h </w:instrText>
        </w:r>
        <w:r w:rsidR="001E471C" w:rsidRPr="001E471C">
          <w:rPr>
            <w:b w:val="0"/>
            <w:webHidden/>
          </w:rPr>
        </w:r>
        <w:r w:rsidR="001E471C" w:rsidRPr="001E471C">
          <w:rPr>
            <w:b w:val="0"/>
            <w:webHidden/>
          </w:rPr>
          <w:fldChar w:fldCharType="separate"/>
        </w:r>
        <w:r w:rsidR="00E353DF">
          <w:rPr>
            <w:b w:val="0"/>
            <w:webHidden/>
          </w:rPr>
          <w:t>42</w:t>
        </w:r>
        <w:r w:rsidR="001E471C" w:rsidRPr="001E471C">
          <w:rPr>
            <w:b w:val="0"/>
            <w:webHidden/>
          </w:rPr>
          <w:fldChar w:fldCharType="end"/>
        </w:r>
      </w:hyperlink>
    </w:p>
    <w:p w14:paraId="6ACE4687" w14:textId="61EB953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61" w:history="1">
        <w:r w:rsidR="001E471C" w:rsidRPr="001E471C">
          <w:rPr>
            <w:rStyle w:val="Hyperlink"/>
            <w:rFonts w:eastAsiaTheme="majorEastAsia"/>
            <w:b w:val="0"/>
          </w:rPr>
          <w:t>3.3.2</w:t>
        </w:r>
        <w:r w:rsidR="001E471C" w:rsidRPr="001E471C">
          <w:rPr>
            <w:rStyle w:val="Hyperlink"/>
            <w:rFonts w:eastAsiaTheme="majorEastAsia"/>
            <w:b w:val="0"/>
            <w:bCs/>
          </w:rPr>
          <w:t xml:space="preserve"> PV Energy Forecast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_Toc12795161 \h </w:instrText>
        </w:r>
        <w:r w:rsidR="001E471C" w:rsidRPr="001E471C">
          <w:rPr>
            <w:b w:val="0"/>
            <w:webHidden/>
          </w:rPr>
        </w:r>
        <w:r w:rsidR="001E471C" w:rsidRPr="001E471C">
          <w:rPr>
            <w:b w:val="0"/>
            <w:webHidden/>
          </w:rPr>
          <w:fldChar w:fldCharType="separate"/>
        </w:r>
        <w:r w:rsidR="00E353DF">
          <w:rPr>
            <w:b w:val="0"/>
            <w:webHidden/>
          </w:rPr>
          <w:t>44</w:t>
        </w:r>
        <w:r w:rsidR="001E471C" w:rsidRPr="001E471C">
          <w:rPr>
            <w:b w:val="0"/>
            <w:webHidden/>
          </w:rPr>
          <w:fldChar w:fldCharType="end"/>
        </w:r>
      </w:hyperlink>
    </w:p>
    <w:p w14:paraId="0674AA00" w14:textId="6FD17796" w:rsidR="001E471C" w:rsidRPr="001E471C" w:rsidRDefault="009D7B65" w:rsidP="00356FAA">
      <w:pPr>
        <w:pStyle w:val="TOC2"/>
        <w:rPr>
          <w:rFonts w:asciiTheme="minorHAnsi" w:eastAsiaTheme="minorEastAsia" w:hAnsiTheme="minorHAnsi" w:cstheme="minorBidi"/>
          <w:sz w:val="22"/>
          <w:szCs w:val="22"/>
        </w:rPr>
      </w:pPr>
      <w:hyperlink w:anchor="_Toc12795162" w:history="1">
        <w:r w:rsidR="001E471C" w:rsidRPr="001E471C">
          <w:rPr>
            <w:rStyle w:val="Hyperlink"/>
            <w:rFonts w:eastAsiaTheme="majorEastAsia"/>
          </w:rPr>
          <w:t>3.4 The Net Demand Forecast</w:t>
        </w:r>
        <w:r w:rsidR="001E471C" w:rsidRPr="001E471C">
          <w:rPr>
            <w:webHidden/>
          </w:rPr>
          <w:tab/>
        </w:r>
        <w:r w:rsidR="001E471C" w:rsidRPr="001E471C">
          <w:rPr>
            <w:webHidden/>
          </w:rPr>
          <w:fldChar w:fldCharType="begin"/>
        </w:r>
        <w:r w:rsidR="001E471C" w:rsidRPr="001E471C">
          <w:rPr>
            <w:webHidden/>
          </w:rPr>
          <w:instrText xml:space="preserve"> PAGEREF _Toc12795162 \h </w:instrText>
        </w:r>
        <w:r w:rsidR="001E471C" w:rsidRPr="001E471C">
          <w:rPr>
            <w:webHidden/>
          </w:rPr>
        </w:r>
        <w:r w:rsidR="001E471C" w:rsidRPr="001E471C">
          <w:rPr>
            <w:webHidden/>
          </w:rPr>
          <w:fldChar w:fldCharType="separate"/>
        </w:r>
        <w:r w:rsidR="00E353DF">
          <w:rPr>
            <w:webHidden/>
          </w:rPr>
          <w:t>44</w:t>
        </w:r>
        <w:r w:rsidR="001E471C" w:rsidRPr="001E471C">
          <w:rPr>
            <w:webHidden/>
          </w:rPr>
          <w:fldChar w:fldCharType="end"/>
        </w:r>
      </w:hyperlink>
    </w:p>
    <w:p w14:paraId="44AA6657" w14:textId="73FAECF5" w:rsidR="001E471C" w:rsidRPr="001E471C" w:rsidRDefault="009D7B65" w:rsidP="00356FAA">
      <w:pPr>
        <w:pStyle w:val="TOC2"/>
        <w:rPr>
          <w:rFonts w:asciiTheme="minorHAnsi" w:eastAsiaTheme="minorEastAsia" w:hAnsiTheme="minorHAnsi" w:cstheme="minorBidi"/>
          <w:sz w:val="22"/>
          <w:szCs w:val="22"/>
        </w:rPr>
      </w:pPr>
      <w:hyperlink w:anchor="_Toc12795163" w:history="1">
        <w:r w:rsidR="001E471C" w:rsidRPr="001E471C">
          <w:rPr>
            <w:rStyle w:val="Hyperlink"/>
            <w:rFonts w:eastAsiaTheme="majorEastAsia"/>
          </w:rPr>
          <w:t>3.5 Summary of Key Findings of the Demand, Energy-Efficiency, and PV Forecasts</w:t>
        </w:r>
        <w:r w:rsidR="001E471C" w:rsidRPr="001E471C">
          <w:rPr>
            <w:webHidden/>
          </w:rPr>
          <w:tab/>
        </w:r>
        <w:r w:rsidR="001E471C" w:rsidRPr="001E471C">
          <w:rPr>
            <w:webHidden/>
          </w:rPr>
          <w:fldChar w:fldCharType="begin"/>
        </w:r>
        <w:r w:rsidR="001E471C" w:rsidRPr="001E471C">
          <w:rPr>
            <w:webHidden/>
          </w:rPr>
          <w:instrText xml:space="preserve"> PAGEREF _Toc12795163 \h </w:instrText>
        </w:r>
        <w:r w:rsidR="001E471C" w:rsidRPr="001E471C">
          <w:rPr>
            <w:webHidden/>
          </w:rPr>
        </w:r>
        <w:r w:rsidR="001E471C" w:rsidRPr="001E471C">
          <w:rPr>
            <w:webHidden/>
          </w:rPr>
          <w:fldChar w:fldCharType="separate"/>
        </w:r>
        <w:r w:rsidR="00E353DF">
          <w:rPr>
            <w:webHidden/>
          </w:rPr>
          <w:t>48</w:t>
        </w:r>
        <w:r w:rsidR="001E471C" w:rsidRPr="001E471C">
          <w:rPr>
            <w:webHidden/>
          </w:rPr>
          <w:fldChar w:fldCharType="end"/>
        </w:r>
      </w:hyperlink>
    </w:p>
    <w:p w14:paraId="5824F51D" w14:textId="0DD7A0BE" w:rsidR="001E471C" w:rsidRDefault="009D7B65" w:rsidP="00356FAA">
      <w:pPr>
        <w:pStyle w:val="TOC1"/>
        <w:rPr>
          <w:rFonts w:asciiTheme="minorHAnsi" w:eastAsiaTheme="minorEastAsia" w:hAnsiTheme="minorHAnsi" w:cstheme="minorBidi"/>
          <w:b w:val="0"/>
          <w:sz w:val="22"/>
          <w:szCs w:val="22"/>
        </w:rPr>
      </w:pPr>
      <w:hyperlink w:anchor="_Toc12795164" w:history="1">
        <w:r w:rsidR="001E471C" w:rsidRPr="00E97DC8">
          <w:rPr>
            <w:rStyle w:val="Hyperlink"/>
          </w:rPr>
          <w:t>Section 4</w:t>
        </w:r>
        <w:r w:rsidR="001E471C">
          <w:rPr>
            <w:rStyle w:val="Hyperlink"/>
          </w:rPr>
          <w:br/>
        </w:r>
        <w:r w:rsidR="001E471C" w:rsidRPr="00E97DC8">
          <w:rPr>
            <w:rStyle w:val="Hyperlink"/>
          </w:rPr>
          <w:t>Resource Adequacy—Resources, Capacity, and Reserves</w:t>
        </w:r>
        <w:r w:rsidR="001E471C">
          <w:rPr>
            <w:webHidden/>
          </w:rPr>
          <w:tab/>
        </w:r>
        <w:r w:rsidR="001E471C">
          <w:rPr>
            <w:webHidden/>
          </w:rPr>
          <w:fldChar w:fldCharType="begin"/>
        </w:r>
        <w:r w:rsidR="001E471C">
          <w:rPr>
            <w:webHidden/>
          </w:rPr>
          <w:instrText xml:space="preserve"> PAGEREF _Toc12795164 \h </w:instrText>
        </w:r>
        <w:r w:rsidR="001E471C">
          <w:rPr>
            <w:webHidden/>
          </w:rPr>
        </w:r>
        <w:r w:rsidR="001E471C">
          <w:rPr>
            <w:webHidden/>
          </w:rPr>
          <w:fldChar w:fldCharType="separate"/>
        </w:r>
        <w:r w:rsidR="00E353DF">
          <w:rPr>
            <w:webHidden/>
          </w:rPr>
          <w:t>50</w:t>
        </w:r>
        <w:r w:rsidR="001E471C">
          <w:rPr>
            <w:webHidden/>
          </w:rPr>
          <w:fldChar w:fldCharType="end"/>
        </w:r>
      </w:hyperlink>
    </w:p>
    <w:p w14:paraId="1CDC4DC0" w14:textId="2FA45FBB" w:rsidR="001E471C" w:rsidRPr="001E471C" w:rsidRDefault="009D7B65" w:rsidP="00356FAA">
      <w:pPr>
        <w:pStyle w:val="TOC2"/>
        <w:rPr>
          <w:rFonts w:asciiTheme="minorHAnsi" w:eastAsiaTheme="minorEastAsia" w:hAnsiTheme="minorHAnsi" w:cstheme="minorBidi"/>
          <w:sz w:val="22"/>
          <w:szCs w:val="22"/>
        </w:rPr>
      </w:pPr>
      <w:hyperlink w:anchor="_Toc12795165" w:history="1">
        <w:r w:rsidR="001E471C" w:rsidRPr="001E471C">
          <w:rPr>
            <w:rStyle w:val="Hyperlink"/>
            <w:rFonts w:eastAsiaTheme="majorEastAsia"/>
          </w:rPr>
          <w:t>4.1 Determining Systemwide and Local-Area Capacity Needs</w:t>
        </w:r>
        <w:r w:rsidR="001E471C" w:rsidRPr="001E471C">
          <w:rPr>
            <w:webHidden/>
          </w:rPr>
          <w:tab/>
        </w:r>
        <w:r w:rsidR="001E471C" w:rsidRPr="001E471C">
          <w:rPr>
            <w:webHidden/>
          </w:rPr>
          <w:fldChar w:fldCharType="begin"/>
        </w:r>
        <w:r w:rsidR="001E471C" w:rsidRPr="001E471C">
          <w:rPr>
            <w:webHidden/>
          </w:rPr>
          <w:instrText xml:space="preserve"> PAGEREF _Toc12795165 \h </w:instrText>
        </w:r>
        <w:r w:rsidR="001E471C" w:rsidRPr="001E471C">
          <w:rPr>
            <w:webHidden/>
          </w:rPr>
        </w:r>
        <w:r w:rsidR="001E471C" w:rsidRPr="001E471C">
          <w:rPr>
            <w:webHidden/>
          </w:rPr>
          <w:fldChar w:fldCharType="separate"/>
        </w:r>
        <w:r w:rsidR="00E353DF">
          <w:rPr>
            <w:webHidden/>
          </w:rPr>
          <w:t>50</w:t>
        </w:r>
        <w:r w:rsidR="001E471C" w:rsidRPr="001E471C">
          <w:rPr>
            <w:webHidden/>
          </w:rPr>
          <w:fldChar w:fldCharType="end"/>
        </w:r>
      </w:hyperlink>
    </w:p>
    <w:p w14:paraId="4A9F8E06" w14:textId="35133F14"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66" w:history="1">
        <w:r w:rsidR="001E471C" w:rsidRPr="001E471C">
          <w:rPr>
            <w:rStyle w:val="Hyperlink"/>
            <w:rFonts w:eastAsiaTheme="majorEastAsia"/>
            <w:b w:val="0"/>
          </w:rPr>
          <w:t>4.1.1 Systemwide Installed Capacity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_Toc12795166 \h </w:instrText>
        </w:r>
        <w:r w:rsidR="001E471C" w:rsidRPr="001E471C">
          <w:rPr>
            <w:b w:val="0"/>
            <w:webHidden/>
          </w:rPr>
        </w:r>
        <w:r w:rsidR="001E471C" w:rsidRPr="001E471C">
          <w:rPr>
            <w:b w:val="0"/>
            <w:webHidden/>
          </w:rPr>
          <w:fldChar w:fldCharType="separate"/>
        </w:r>
        <w:r w:rsidR="00E353DF">
          <w:rPr>
            <w:b w:val="0"/>
            <w:webHidden/>
          </w:rPr>
          <w:t>51</w:t>
        </w:r>
        <w:r w:rsidR="001E471C" w:rsidRPr="001E471C">
          <w:rPr>
            <w:b w:val="0"/>
            <w:webHidden/>
          </w:rPr>
          <w:fldChar w:fldCharType="end"/>
        </w:r>
      </w:hyperlink>
    </w:p>
    <w:p w14:paraId="66185CC3" w14:textId="214371C6"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67" w:history="1">
        <w:r w:rsidR="001E471C" w:rsidRPr="001E471C">
          <w:rPr>
            <w:rStyle w:val="Hyperlink"/>
            <w:rFonts w:eastAsiaTheme="majorEastAsia"/>
            <w:b w:val="0"/>
          </w:rPr>
          <w:t>4.1.2 Local Resource Requirements and Limits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_Toc12795167 \h </w:instrText>
        </w:r>
        <w:r w:rsidR="001E471C" w:rsidRPr="001E471C">
          <w:rPr>
            <w:b w:val="0"/>
            <w:webHidden/>
          </w:rPr>
        </w:r>
        <w:r w:rsidR="001E471C" w:rsidRPr="001E471C">
          <w:rPr>
            <w:b w:val="0"/>
            <w:webHidden/>
          </w:rPr>
          <w:fldChar w:fldCharType="separate"/>
        </w:r>
        <w:r w:rsidR="00E353DF">
          <w:rPr>
            <w:b w:val="0"/>
            <w:webHidden/>
          </w:rPr>
          <w:t>53</w:t>
        </w:r>
        <w:r w:rsidR="001E471C" w:rsidRPr="001E471C">
          <w:rPr>
            <w:b w:val="0"/>
            <w:webHidden/>
          </w:rPr>
          <w:fldChar w:fldCharType="end"/>
        </w:r>
      </w:hyperlink>
    </w:p>
    <w:p w14:paraId="4FAB83D9" w14:textId="2A943D00"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68" w:history="1">
        <w:r w:rsidR="001E471C" w:rsidRPr="001E471C">
          <w:rPr>
            <w:rStyle w:val="Hyperlink"/>
            <w:rFonts w:eastAsiaTheme="majorEastAsia"/>
            <w:b w:val="0"/>
          </w:rPr>
          <w:t>4.1.3 Capacity Supply Obligations from the Forward Capacity Auctions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_Toc12795168 \h </w:instrText>
        </w:r>
        <w:r w:rsidR="001E471C" w:rsidRPr="001E471C">
          <w:rPr>
            <w:b w:val="0"/>
            <w:webHidden/>
          </w:rPr>
        </w:r>
        <w:r w:rsidR="001E471C" w:rsidRPr="001E471C">
          <w:rPr>
            <w:b w:val="0"/>
            <w:webHidden/>
          </w:rPr>
          <w:fldChar w:fldCharType="separate"/>
        </w:r>
        <w:r w:rsidR="00E353DF">
          <w:rPr>
            <w:b w:val="0"/>
            <w:webHidden/>
          </w:rPr>
          <w:t>54</w:t>
        </w:r>
        <w:r w:rsidR="001E471C" w:rsidRPr="001E471C">
          <w:rPr>
            <w:b w:val="0"/>
            <w:webHidden/>
          </w:rPr>
          <w:fldChar w:fldCharType="end"/>
        </w:r>
      </w:hyperlink>
    </w:p>
    <w:p w14:paraId="01EE01F7" w14:textId="069AC3DF" w:rsidR="001E471C" w:rsidRPr="001E471C" w:rsidRDefault="009D7B65" w:rsidP="00356FAA">
      <w:pPr>
        <w:pStyle w:val="TOC2"/>
        <w:rPr>
          <w:rFonts w:asciiTheme="minorHAnsi" w:eastAsiaTheme="minorEastAsia" w:hAnsiTheme="minorHAnsi" w:cstheme="minorBidi"/>
          <w:sz w:val="22"/>
          <w:szCs w:val="22"/>
        </w:rPr>
      </w:pPr>
      <w:hyperlink w:anchor="_Toc12795169" w:history="1">
        <w:r w:rsidR="001E471C" w:rsidRPr="001E471C">
          <w:rPr>
            <w:rStyle w:val="Hyperlink"/>
            <w:rFonts w:eastAsiaTheme="majorEastAsia"/>
          </w:rPr>
          <w:t>4.2 Determining FCM Capacity Zones</w:t>
        </w:r>
        <w:r w:rsidR="001E471C" w:rsidRPr="001E471C">
          <w:rPr>
            <w:webHidden/>
          </w:rPr>
          <w:tab/>
        </w:r>
        <w:r w:rsidR="001E471C" w:rsidRPr="001E471C">
          <w:rPr>
            <w:webHidden/>
          </w:rPr>
          <w:fldChar w:fldCharType="begin"/>
        </w:r>
        <w:r w:rsidR="001E471C" w:rsidRPr="001E471C">
          <w:rPr>
            <w:webHidden/>
          </w:rPr>
          <w:instrText xml:space="preserve"> PAGEREF _Toc12795169 \h </w:instrText>
        </w:r>
        <w:r w:rsidR="001E471C" w:rsidRPr="001E471C">
          <w:rPr>
            <w:webHidden/>
          </w:rPr>
        </w:r>
        <w:r w:rsidR="001E471C" w:rsidRPr="001E471C">
          <w:rPr>
            <w:webHidden/>
          </w:rPr>
          <w:fldChar w:fldCharType="separate"/>
        </w:r>
        <w:r w:rsidR="00E353DF">
          <w:rPr>
            <w:webHidden/>
          </w:rPr>
          <w:t>60</w:t>
        </w:r>
        <w:r w:rsidR="001E471C" w:rsidRPr="001E471C">
          <w:rPr>
            <w:webHidden/>
          </w:rPr>
          <w:fldChar w:fldCharType="end"/>
        </w:r>
      </w:hyperlink>
    </w:p>
    <w:p w14:paraId="22CE03F3" w14:textId="08D985FC" w:rsidR="001E471C" w:rsidRPr="001E471C" w:rsidRDefault="009D7B65" w:rsidP="00356FAA">
      <w:pPr>
        <w:pStyle w:val="TOC2"/>
        <w:rPr>
          <w:rFonts w:asciiTheme="minorHAnsi" w:eastAsiaTheme="minorEastAsia" w:hAnsiTheme="minorHAnsi" w:cstheme="minorBidi"/>
          <w:sz w:val="22"/>
          <w:szCs w:val="22"/>
        </w:rPr>
      </w:pPr>
      <w:hyperlink w:anchor="_Toc12795170" w:history="1">
        <w:r w:rsidR="001E471C" w:rsidRPr="001E471C">
          <w:rPr>
            <w:rStyle w:val="Hyperlink"/>
          </w:rPr>
          <w:t>4.3 Analyzing Operable Capacity</w:t>
        </w:r>
        <w:r w:rsidR="001E471C" w:rsidRPr="001E471C">
          <w:rPr>
            <w:webHidden/>
          </w:rPr>
          <w:tab/>
        </w:r>
        <w:r w:rsidR="001E471C" w:rsidRPr="001E471C">
          <w:rPr>
            <w:webHidden/>
          </w:rPr>
          <w:fldChar w:fldCharType="begin"/>
        </w:r>
        <w:r w:rsidR="001E471C" w:rsidRPr="001E471C">
          <w:rPr>
            <w:webHidden/>
          </w:rPr>
          <w:instrText xml:space="preserve"> PAGEREF _Toc12795170 \h </w:instrText>
        </w:r>
        <w:r w:rsidR="001E471C" w:rsidRPr="001E471C">
          <w:rPr>
            <w:webHidden/>
          </w:rPr>
        </w:r>
        <w:r w:rsidR="001E471C" w:rsidRPr="001E471C">
          <w:rPr>
            <w:webHidden/>
          </w:rPr>
          <w:fldChar w:fldCharType="separate"/>
        </w:r>
        <w:r w:rsidR="00E353DF">
          <w:rPr>
            <w:webHidden/>
          </w:rPr>
          <w:t>61</w:t>
        </w:r>
        <w:r w:rsidR="001E471C" w:rsidRPr="001E471C">
          <w:rPr>
            <w:webHidden/>
          </w:rPr>
          <w:fldChar w:fldCharType="end"/>
        </w:r>
      </w:hyperlink>
    </w:p>
    <w:p w14:paraId="547A42FE" w14:textId="4016DED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1" w:history="1">
        <w:r w:rsidR="001E471C" w:rsidRPr="001E471C">
          <w:rPr>
            <w:rStyle w:val="Hyperlink"/>
            <w:rFonts w:eastAsiaTheme="majorEastAsia"/>
            <w:b w:val="0"/>
          </w:rPr>
          <w:t>4.3.1 Summer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_Toc12795171 \h </w:instrText>
        </w:r>
        <w:r w:rsidR="001E471C" w:rsidRPr="001E471C">
          <w:rPr>
            <w:b w:val="0"/>
            <w:webHidden/>
          </w:rPr>
        </w:r>
        <w:r w:rsidR="001E471C" w:rsidRPr="001E471C">
          <w:rPr>
            <w:b w:val="0"/>
            <w:webHidden/>
          </w:rPr>
          <w:fldChar w:fldCharType="separate"/>
        </w:r>
        <w:r w:rsidR="00E353DF">
          <w:rPr>
            <w:b w:val="0"/>
            <w:webHidden/>
          </w:rPr>
          <w:t>61</w:t>
        </w:r>
        <w:r w:rsidR="001E471C" w:rsidRPr="001E471C">
          <w:rPr>
            <w:b w:val="0"/>
            <w:webHidden/>
          </w:rPr>
          <w:fldChar w:fldCharType="end"/>
        </w:r>
      </w:hyperlink>
    </w:p>
    <w:p w14:paraId="7168E037" w14:textId="66CBD2E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2" w:history="1">
        <w:r w:rsidR="001E471C" w:rsidRPr="001E471C">
          <w:rPr>
            <w:rStyle w:val="Hyperlink"/>
            <w:rFonts w:eastAsiaTheme="majorEastAsia"/>
            <w:b w:val="0"/>
          </w:rPr>
          <w:t>4.3.2 Winter Operable Capacity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_Toc12795172 \h </w:instrText>
        </w:r>
        <w:r w:rsidR="001E471C" w:rsidRPr="001E471C">
          <w:rPr>
            <w:b w:val="0"/>
            <w:webHidden/>
          </w:rPr>
        </w:r>
        <w:r w:rsidR="001E471C" w:rsidRPr="001E471C">
          <w:rPr>
            <w:b w:val="0"/>
            <w:webHidden/>
          </w:rPr>
          <w:fldChar w:fldCharType="separate"/>
        </w:r>
        <w:r w:rsidR="00E353DF">
          <w:rPr>
            <w:b w:val="0"/>
            <w:webHidden/>
          </w:rPr>
          <w:t>63</w:t>
        </w:r>
        <w:r w:rsidR="001E471C" w:rsidRPr="001E471C">
          <w:rPr>
            <w:b w:val="0"/>
            <w:webHidden/>
          </w:rPr>
          <w:fldChar w:fldCharType="end"/>
        </w:r>
      </w:hyperlink>
    </w:p>
    <w:p w14:paraId="5F6E84EE" w14:textId="0175CEE9" w:rsidR="001E471C" w:rsidRPr="001E471C" w:rsidRDefault="009D7B65" w:rsidP="00356FAA">
      <w:pPr>
        <w:pStyle w:val="TOC2"/>
        <w:rPr>
          <w:rFonts w:asciiTheme="minorHAnsi" w:eastAsiaTheme="minorEastAsia" w:hAnsiTheme="minorHAnsi" w:cstheme="minorBidi"/>
          <w:sz w:val="22"/>
          <w:szCs w:val="22"/>
        </w:rPr>
      </w:pPr>
      <w:hyperlink w:anchor="_Toc12795173" w:history="1">
        <w:r w:rsidR="001E471C" w:rsidRPr="001E471C">
          <w:rPr>
            <w:rStyle w:val="Hyperlink"/>
            <w:rFonts w:eastAsiaTheme="majorEastAsia"/>
          </w:rPr>
          <w:t>4.4 Determining Operating Reserves and Regulation</w:t>
        </w:r>
        <w:r w:rsidR="001E471C" w:rsidRPr="001E471C">
          <w:rPr>
            <w:webHidden/>
          </w:rPr>
          <w:tab/>
        </w:r>
        <w:r w:rsidR="001E471C" w:rsidRPr="001E471C">
          <w:rPr>
            <w:webHidden/>
          </w:rPr>
          <w:fldChar w:fldCharType="begin"/>
        </w:r>
        <w:r w:rsidR="001E471C" w:rsidRPr="001E471C">
          <w:rPr>
            <w:webHidden/>
          </w:rPr>
          <w:instrText xml:space="preserve"> PAGEREF _Toc12795173 \h </w:instrText>
        </w:r>
        <w:r w:rsidR="001E471C" w:rsidRPr="001E471C">
          <w:rPr>
            <w:webHidden/>
          </w:rPr>
        </w:r>
        <w:r w:rsidR="001E471C" w:rsidRPr="001E471C">
          <w:rPr>
            <w:webHidden/>
          </w:rPr>
          <w:fldChar w:fldCharType="separate"/>
        </w:r>
        <w:r w:rsidR="00E353DF">
          <w:rPr>
            <w:webHidden/>
          </w:rPr>
          <w:t>65</w:t>
        </w:r>
        <w:r w:rsidR="001E471C" w:rsidRPr="001E471C">
          <w:rPr>
            <w:webHidden/>
          </w:rPr>
          <w:fldChar w:fldCharType="end"/>
        </w:r>
      </w:hyperlink>
    </w:p>
    <w:p w14:paraId="2DEE8E7B" w14:textId="5C5C7B8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4" w:history="1">
        <w:r w:rsidR="001E471C" w:rsidRPr="001E471C">
          <w:rPr>
            <w:rStyle w:val="Hyperlink"/>
            <w:rFonts w:eastAsiaTheme="majorEastAsia"/>
            <w:b w:val="0"/>
          </w:rPr>
          <w:t>4.4.1 Systemwide Operating-Reserve Requirements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_Toc12795174 \h </w:instrText>
        </w:r>
        <w:r w:rsidR="001E471C" w:rsidRPr="001E471C">
          <w:rPr>
            <w:b w:val="0"/>
            <w:webHidden/>
          </w:rPr>
        </w:r>
        <w:r w:rsidR="001E471C" w:rsidRPr="001E471C">
          <w:rPr>
            <w:b w:val="0"/>
            <w:webHidden/>
          </w:rPr>
          <w:fldChar w:fldCharType="separate"/>
        </w:r>
        <w:r w:rsidR="00E353DF">
          <w:rPr>
            <w:b w:val="0"/>
            <w:webHidden/>
          </w:rPr>
          <w:t>65</w:t>
        </w:r>
        <w:r w:rsidR="001E471C" w:rsidRPr="001E471C">
          <w:rPr>
            <w:b w:val="0"/>
            <w:webHidden/>
          </w:rPr>
          <w:fldChar w:fldCharType="end"/>
        </w:r>
      </w:hyperlink>
    </w:p>
    <w:p w14:paraId="33DCCD5D" w14:textId="04D38C2C"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5" w:history="1">
        <w:r w:rsidR="001E471C" w:rsidRPr="001E471C">
          <w:rPr>
            <w:rStyle w:val="Hyperlink"/>
            <w:rFonts w:eastAsiaTheme="majorEastAsia"/>
            <w:b w:val="0"/>
          </w:rPr>
          <w:t>4.4.2 Locational Reserve Needs for Major Import Areas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_Toc12795175 \h </w:instrText>
        </w:r>
        <w:r w:rsidR="001E471C" w:rsidRPr="001E471C">
          <w:rPr>
            <w:b w:val="0"/>
            <w:webHidden/>
          </w:rPr>
        </w:r>
        <w:r w:rsidR="001E471C" w:rsidRPr="001E471C">
          <w:rPr>
            <w:b w:val="0"/>
            <w:webHidden/>
          </w:rPr>
          <w:fldChar w:fldCharType="separate"/>
        </w:r>
        <w:r w:rsidR="00E353DF">
          <w:rPr>
            <w:b w:val="0"/>
            <w:webHidden/>
          </w:rPr>
          <w:t>66</w:t>
        </w:r>
        <w:r w:rsidR="001E471C" w:rsidRPr="001E471C">
          <w:rPr>
            <w:b w:val="0"/>
            <w:webHidden/>
          </w:rPr>
          <w:fldChar w:fldCharType="end"/>
        </w:r>
      </w:hyperlink>
    </w:p>
    <w:p w14:paraId="38BF49F8" w14:textId="230C9D29" w:rsidR="001E471C" w:rsidRPr="001E471C" w:rsidRDefault="009D7B65" w:rsidP="00356FAA">
      <w:pPr>
        <w:pStyle w:val="TOC2"/>
        <w:rPr>
          <w:rFonts w:asciiTheme="minorHAnsi" w:eastAsiaTheme="minorEastAsia" w:hAnsiTheme="minorHAnsi" w:cstheme="minorBidi"/>
          <w:sz w:val="22"/>
          <w:szCs w:val="22"/>
        </w:rPr>
      </w:pPr>
      <w:hyperlink w:anchor="_Toc12795176" w:history="1">
        <w:r w:rsidR="001E471C" w:rsidRPr="001E471C">
          <w:rPr>
            <w:rStyle w:val="Hyperlink"/>
            <w:rFonts w:eastAsiaTheme="majorEastAsia"/>
          </w:rPr>
          <w:t>4.5 Existing and Future Resource Development in Areas of Need</w:t>
        </w:r>
        <w:r w:rsidR="001E471C" w:rsidRPr="001E471C">
          <w:rPr>
            <w:webHidden/>
          </w:rPr>
          <w:tab/>
        </w:r>
        <w:r w:rsidR="001E471C" w:rsidRPr="001E471C">
          <w:rPr>
            <w:webHidden/>
          </w:rPr>
          <w:fldChar w:fldCharType="begin"/>
        </w:r>
        <w:r w:rsidR="001E471C" w:rsidRPr="001E471C">
          <w:rPr>
            <w:webHidden/>
          </w:rPr>
          <w:instrText xml:space="preserve"> PAGEREF _Toc12795176 \h </w:instrText>
        </w:r>
        <w:r w:rsidR="001E471C" w:rsidRPr="001E471C">
          <w:rPr>
            <w:webHidden/>
          </w:rPr>
        </w:r>
        <w:r w:rsidR="001E471C" w:rsidRPr="001E471C">
          <w:rPr>
            <w:webHidden/>
          </w:rPr>
          <w:fldChar w:fldCharType="separate"/>
        </w:r>
        <w:r w:rsidR="00E353DF">
          <w:rPr>
            <w:webHidden/>
          </w:rPr>
          <w:t>70</w:t>
        </w:r>
        <w:r w:rsidR="001E471C" w:rsidRPr="001E471C">
          <w:rPr>
            <w:webHidden/>
          </w:rPr>
          <w:fldChar w:fldCharType="end"/>
        </w:r>
      </w:hyperlink>
    </w:p>
    <w:p w14:paraId="1D857920" w14:textId="0CECC78B"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7" w:history="1">
        <w:r w:rsidR="001E471C" w:rsidRPr="001E471C">
          <w:rPr>
            <w:rStyle w:val="Hyperlink"/>
            <w:rFonts w:eastAsiaTheme="majorEastAsia"/>
            <w:b w:val="0"/>
          </w:rPr>
          <w:t>4.5.1 Existing Generating Capacity by Load Zone, and State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_Toc12795177 \h </w:instrText>
        </w:r>
        <w:r w:rsidR="001E471C" w:rsidRPr="001E471C">
          <w:rPr>
            <w:b w:val="0"/>
            <w:webHidden/>
          </w:rPr>
        </w:r>
        <w:r w:rsidR="001E471C" w:rsidRPr="001E471C">
          <w:rPr>
            <w:b w:val="0"/>
            <w:webHidden/>
          </w:rPr>
          <w:fldChar w:fldCharType="separate"/>
        </w:r>
        <w:r w:rsidR="00E353DF">
          <w:rPr>
            <w:b w:val="0"/>
            <w:webHidden/>
          </w:rPr>
          <w:t>70</w:t>
        </w:r>
        <w:r w:rsidR="001E471C" w:rsidRPr="001E471C">
          <w:rPr>
            <w:b w:val="0"/>
            <w:webHidden/>
          </w:rPr>
          <w:fldChar w:fldCharType="end"/>
        </w:r>
      </w:hyperlink>
    </w:p>
    <w:p w14:paraId="248485C9" w14:textId="517A66BB"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8" w:history="1">
        <w:r w:rsidR="001E471C" w:rsidRPr="001E471C">
          <w:rPr>
            <w:rStyle w:val="Hyperlink"/>
            <w:rFonts w:eastAsiaTheme="majorEastAsia"/>
            <w:b w:val="0"/>
          </w:rPr>
          <w:t>4.5.2 Summer and Winter Seasonal Claimed Capabilities of New England’s Generating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_Toc12795178 \h </w:instrText>
        </w:r>
        <w:r w:rsidR="001E471C" w:rsidRPr="001E471C">
          <w:rPr>
            <w:b w:val="0"/>
            <w:webHidden/>
          </w:rPr>
        </w:r>
        <w:r w:rsidR="001E471C" w:rsidRPr="001E471C">
          <w:rPr>
            <w:b w:val="0"/>
            <w:webHidden/>
          </w:rPr>
          <w:fldChar w:fldCharType="separate"/>
        </w:r>
        <w:r w:rsidR="00E353DF">
          <w:rPr>
            <w:b w:val="0"/>
            <w:webHidden/>
          </w:rPr>
          <w:t>71</w:t>
        </w:r>
        <w:r w:rsidR="001E471C" w:rsidRPr="001E471C">
          <w:rPr>
            <w:b w:val="0"/>
            <w:webHidden/>
          </w:rPr>
          <w:fldChar w:fldCharType="end"/>
        </w:r>
      </w:hyperlink>
    </w:p>
    <w:p w14:paraId="0B0D3C9A" w14:textId="5FF79B0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79" w:history="1">
        <w:r w:rsidR="001E471C" w:rsidRPr="001E471C">
          <w:rPr>
            <w:rStyle w:val="Hyperlink"/>
            <w:rFonts w:eastAsiaTheme="majorEastAsia"/>
            <w:b w:val="0"/>
          </w:rPr>
          <w:t>4.5.3 ISO Interconnection Request Queue and Clustering Interconnection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_Toc12795179 \h </w:instrText>
        </w:r>
        <w:r w:rsidR="001E471C" w:rsidRPr="001E471C">
          <w:rPr>
            <w:b w:val="0"/>
            <w:webHidden/>
          </w:rPr>
        </w:r>
        <w:r w:rsidR="001E471C" w:rsidRPr="001E471C">
          <w:rPr>
            <w:b w:val="0"/>
            <w:webHidden/>
          </w:rPr>
          <w:fldChar w:fldCharType="separate"/>
        </w:r>
        <w:r w:rsidR="00E353DF">
          <w:rPr>
            <w:b w:val="0"/>
            <w:webHidden/>
          </w:rPr>
          <w:t>72</w:t>
        </w:r>
        <w:r w:rsidR="001E471C" w:rsidRPr="001E471C">
          <w:rPr>
            <w:b w:val="0"/>
            <w:webHidden/>
          </w:rPr>
          <w:fldChar w:fldCharType="end"/>
        </w:r>
      </w:hyperlink>
    </w:p>
    <w:p w14:paraId="15DA857D" w14:textId="5744BA0D" w:rsidR="001E471C" w:rsidRPr="001E471C" w:rsidRDefault="009D7B65" w:rsidP="00356FAA">
      <w:pPr>
        <w:pStyle w:val="TOC2"/>
        <w:rPr>
          <w:rFonts w:asciiTheme="minorHAnsi" w:eastAsiaTheme="minorEastAsia" w:hAnsiTheme="minorHAnsi" w:cstheme="minorBidi"/>
          <w:sz w:val="22"/>
          <w:szCs w:val="22"/>
        </w:rPr>
      </w:pPr>
      <w:hyperlink w:anchor="_Toc12795180" w:history="1">
        <w:r w:rsidR="001E471C" w:rsidRPr="001E471C">
          <w:rPr>
            <w:rStyle w:val="Hyperlink"/>
            <w:rFonts w:eastAsiaTheme="majorEastAsia"/>
          </w:rPr>
          <w:t>4.6 Summary</w:t>
        </w:r>
        <w:r w:rsidR="001E471C" w:rsidRPr="001E471C">
          <w:rPr>
            <w:webHidden/>
          </w:rPr>
          <w:tab/>
        </w:r>
        <w:r w:rsidR="001E471C" w:rsidRPr="001E471C">
          <w:rPr>
            <w:webHidden/>
          </w:rPr>
          <w:fldChar w:fldCharType="begin"/>
        </w:r>
        <w:r w:rsidR="001E471C" w:rsidRPr="001E471C">
          <w:rPr>
            <w:webHidden/>
          </w:rPr>
          <w:instrText xml:space="preserve"> PAGEREF _Toc12795180 \h </w:instrText>
        </w:r>
        <w:r w:rsidR="001E471C" w:rsidRPr="001E471C">
          <w:rPr>
            <w:webHidden/>
          </w:rPr>
        </w:r>
        <w:r w:rsidR="001E471C" w:rsidRPr="001E471C">
          <w:rPr>
            <w:webHidden/>
          </w:rPr>
          <w:fldChar w:fldCharType="separate"/>
        </w:r>
        <w:r w:rsidR="00E353DF">
          <w:rPr>
            <w:webHidden/>
          </w:rPr>
          <w:t>76</w:t>
        </w:r>
        <w:r w:rsidR="001E471C" w:rsidRPr="001E471C">
          <w:rPr>
            <w:webHidden/>
          </w:rPr>
          <w:fldChar w:fldCharType="end"/>
        </w:r>
      </w:hyperlink>
    </w:p>
    <w:p w14:paraId="7B3FBFF5" w14:textId="1441F578" w:rsidR="001E471C" w:rsidRDefault="009D7B65" w:rsidP="00356FAA">
      <w:pPr>
        <w:pStyle w:val="TOC1"/>
        <w:rPr>
          <w:rFonts w:asciiTheme="minorHAnsi" w:eastAsiaTheme="minorEastAsia" w:hAnsiTheme="minorHAnsi" w:cstheme="minorBidi"/>
          <w:b w:val="0"/>
          <w:sz w:val="22"/>
          <w:szCs w:val="22"/>
        </w:rPr>
      </w:pPr>
      <w:hyperlink w:anchor="_Toc12795181" w:history="1">
        <w:r w:rsidR="001E471C" w:rsidRPr="00E97DC8">
          <w:rPr>
            <w:rStyle w:val="Hyperlink"/>
          </w:rPr>
          <w:t>Section 5</w:t>
        </w:r>
        <w:r w:rsidR="001E471C">
          <w:rPr>
            <w:rStyle w:val="Hyperlink"/>
          </w:rPr>
          <w:br/>
        </w:r>
        <w:r w:rsidR="001E471C" w:rsidRPr="00E97DC8">
          <w:rPr>
            <w:rStyle w:val="Hyperlink"/>
          </w:rPr>
          <w:t>Transmission System Performance Needs Assessments and Upgrade Approvals</w:t>
        </w:r>
        <w:r w:rsidR="001E471C">
          <w:rPr>
            <w:webHidden/>
          </w:rPr>
          <w:tab/>
        </w:r>
        <w:r w:rsidR="001E471C">
          <w:rPr>
            <w:webHidden/>
          </w:rPr>
          <w:fldChar w:fldCharType="begin"/>
        </w:r>
        <w:r w:rsidR="001E471C">
          <w:rPr>
            <w:webHidden/>
          </w:rPr>
          <w:instrText xml:space="preserve"> PAGEREF _Toc12795181 \h </w:instrText>
        </w:r>
        <w:r w:rsidR="001E471C">
          <w:rPr>
            <w:webHidden/>
          </w:rPr>
        </w:r>
        <w:r w:rsidR="001E471C">
          <w:rPr>
            <w:webHidden/>
          </w:rPr>
          <w:fldChar w:fldCharType="separate"/>
        </w:r>
        <w:r w:rsidR="00E353DF">
          <w:rPr>
            <w:webHidden/>
          </w:rPr>
          <w:t>78</w:t>
        </w:r>
        <w:r w:rsidR="001E471C">
          <w:rPr>
            <w:webHidden/>
          </w:rPr>
          <w:fldChar w:fldCharType="end"/>
        </w:r>
      </w:hyperlink>
    </w:p>
    <w:p w14:paraId="57B41902" w14:textId="1E13DBF7" w:rsidR="001E471C" w:rsidRPr="001E471C" w:rsidRDefault="009D7B65" w:rsidP="00356FAA">
      <w:pPr>
        <w:pStyle w:val="TOC2"/>
        <w:rPr>
          <w:rFonts w:asciiTheme="minorHAnsi" w:eastAsiaTheme="minorEastAsia" w:hAnsiTheme="minorHAnsi" w:cstheme="minorBidi"/>
          <w:sz w:val="22"/>
          <w:szCs w:val="22"/>
        </w:rPr>
      </w:pPr>
      <w:hyperlink w:anchor="_Toc12795182" w:history="1">
        <w:r w:rsidR="001E471C" w:rsidRPr="001E471C">
          <w:rPr>
            <w:rStyle w:val="Hyperlink"/>
            <w:rFonts w:eastAsiaTheme="majorEastAsia"/>
          </w:rPr>
          <w:t>5.1 The Need for Transmission Reliability</w:t>
        </w:r>
        <w:r w:rsidR="001E471C" w:rsidRPr="001E471C">
          <w:rPr>
            <w:webHidden/>
          </w:rPr>
          <w:tab/>
        </w:r>
        <w:r w:rsidR="001E471C" w:rsidRPr="001E471C">
          <w:rPr>
            <w:webHidden/>
          </w:rPr>
          <w:fldChar w:fldCharType="begin"/>
        </w:r>
        <w:r w:rsidR="001E471C" w:rsidRPr="001E471C">
          <w:rPr>
            <w:webHidden/>
          </w:rPr>
          <w:instrText xml:space="preserve"> PAGEREF _Toc12795182 \h </w:instrText>
        </w:r>
        <w:r w:rsidR="001E471C" w:rsidRPr="001E471C">
          <w:rPr>
            <w:webHidden/>
          </w:rPr>
        </w:r>
        <w:r w:rsidR="001E471C" w:rsidRPr="001E471C">
          <w:rPr>
            <w:webHidden/>
          </w:rPr>
          <w:fldChar w:fldCharType="separate"/>
        </w:r>
        <w:r w:rsidR="00E353DF">
          <w:rPr>
            <w:webHidden/>
          </w:rPr>
          <w:t>78</w:t>
        </w:r>
        <w:r w:rsidR="001E471C" w:rsidRPr="001E471C">
          <w:rPr>
            <w:webHidden/>
          </w:rPr>
          <w:fldChar w:fldCharType="end"/>
        </w:r>
      </w:hyperlink>
    </w:p>
    <w:p w14:paraId="33303712" w14:textId="7C6A9337" w:rsidR="001E471C" w:rsidRPr="001E471C" w:rsidRDefault="009D7B65" w:rsidP="00356FAA">
      <w:pPr>
        <w:pStyle w:val="TOC2"/>
        <w:rPr>
          <w:rFonts w:asciiTheme="minorHAnsi" w:eastAsiaTheme="minorEastAsia" w:hAnsiTheme="minorHAnsi" w:cstheme="minorBidi"/>
          <w:sz w:val="22"/>
          <w:szCs w:val="22"/>
        </w:rPr>
      </w:pPr>
      <w:hyperlink w:anchor="_Toc12795183" w:history="1">
        <w:r w:rsidR="001E471C" w:rsidRPr="001E471C">
          <w:rPr>
            <w:rStyle w:val="Hyperlink"/>
            <w:rFonts w:eastAsiaTheme="majorEastAsia"/>
          </w:rPr>
          <w:t>5.2 Overview of New England’s Transmission System</w:t>
        </w:r>
        <w:r w:rsidR="001E471C" w:rsidRPr="001E471C">
          <w:rPr>
            <w:webHidden/>
          </w:rPr>
          <w:tab/>
        </w:r>
        <w:r w:rsidR="001E471C" w:rsidRPr="001E471C">
          <w:rPr>
            <w:webHidden/>
          </w:rPr>
          <w:fldChar w:fldCharType="begin"/>
        </w:r>
        <w:r w:rsidR="001E471C" w:rsidRPr="001E471C">
          <w:rPr>
            <w:webHidden/>
          </w:rPr>
          <w:instrText xml:space="preserve"> PAGEREF _Toc12795183 \h </w:instrText>
        </w:r>
        <w:r w:rsidR="001E471C" w:rsidRPr="001E471C">
          <w:rPr>
            <w:webHidden/>
          </w:rPr>
        </w:r>
        <w:r w:rsidR="001E471C" w:rsidRPr="001E471C">
          <w:rPr>
            <w:webHidden/>
          </w:rPr>
          <w:fldChar w:fldCharType="separate"/>
        </w:r>
        <w:r w:rsidR="00E353DF">
          <w:rPr>
            <w:webHidden/>
          </w:rPr>
          <w:t>79</w:t>
        </w:r>
        <w:r w:rsidR="001E471C" w:rsidRPr="001E471C">
          <w:rPr>
            <w:webHidden/>
          </w:rPr>
          <w:fldChar w:fldCharType="end"/>
        </w:r>
      </w:hyperlink>
    </w:p>
    <w:p w14:paraId="5BBD831B" w14:textId="5CA91911" w:rsidR="001E471C" w:rsidRPr="001E471C" w:rsidRDefault="009D7B65" w:rsidP="00356FAA">
      <w:pPr>
        <w:pStyle w:val="TOC2"/>
        <w:rPr>
          <w:rFonts w:asciiTheme="minorHAnsi" w:eastAsiaTheme="minorEastAsia" w:hAnsiTheme="minorHAnsi" w:cstheme="minorBidi"/>
          <w:sz w:val="22"/>
          <w:szCs w:val="22"/>
        </w:rPr>
      </w:pPr>
      <w:hyperlink w:anchor="_Toc12795184" w:history="1">
        <w:r w:rsidR="001E471C" w:rsidRPr="001E471C">
          <w:rPr>
            <w:rStyle w:val="Hyperlink"/>
            <w:rFonts w:eastAsiaTheme="majorEastAsia"/>
          </w:rPr>
          <w:t>5.3 FERC Order No. 1000 Discussion</w:t>
        </w:r>
        <w:r w:rsidR="001E471C" w:rsidRPr="001E471C">
          <w:rPr>
            <w:webHidden/>
          </w:rPr>
          <w:tab/>
        </w:r>
        <w:r w:rsidR="001E471C" w:rsidRPr="001E471C">
          <w:rPr>
            <w:webHidden/>
          </w:rPr>
          <w:fldChar w:fldCharType="begin"/>
        </w:r>
        <w:r w:rsidR="001E471C" w:rsidRPr="001E471C">
          <w:rPr>
            <w:webHidden/>
          </w:rPr>
          <w:instrText xml:space="preserve"> PAGEREF _Toc12795184 \h </w:instrText>
        </w:r>
        <w:r w:rsidR="001E471C" w:rsidRPr="001E471C">
          <w:rPr>
            <w:webHidden/>
          </w:rPr>
        </w:r>
        <w:r w:rsidR="001E471C" w:rsidRPr="001E471C">
          <w:rPr>
            <w:webHidden/>
          </w:rPr>
          <w:fldChar w:fldCharType="separate"/>
        </w:r>
        <w:r w:rsidR="00E353DF">
          <w:rPr>
            <w:webHidden/>
          </w:rPr>
          <w:t>79</w:t>
        </w:r>
        <w:r w:rsidR="001E471C" w:rsidRPr="001E471C">
          <w:rPr>
            <w:webHidden/>
          </w:rPr>
          <w:fldChar w:fldCharType="end"/>
        </w:r>
      </w:hyperlink>
    </w:p>
    <w:p w14:paraId="105B8D49" w14:textId="164E7FBD" w:rsidR="001E471C" w:rsidRPr="001E471C" w:rsidRDefault="009D7B65" w:rsidP="00356FAA">
      <w:pPr>
        <w:pStyle w:val="TOC2"/>
        <w:rPr>
          <w:rFonts w:asciiTheme="minorHAnsi" w:eastAsiaTheme="minorEastAsia" w:hAnsiTheme="minorHAnsi" w:cstheme="minorBidi"/>
          <w:sz w:val="22"/>
          <w:szCs w:val="22"/>
        </w:rPr>
      </w:pPr>
      <w:hyperlink w:anchor="_Toc12795185" w:history="1">
        <w:r w:rsidR="001E471C" w:rsidRPr="001E471C">
          <w:rPr>
            <w:rStyle w:val="Hyperlink"/>
            <w:rFonts w:eastAsiaTheme="majorEastAsia"/>
          </w:rPr>
          <w:t>5.4 Completed Major Projects</w:t>
        </w:r>
        <w:r w:rsidR="001E471C" w:rsidRPr="001E471C">
          <w:rPr>
            <w:webHidden/>
          </w:rPr>
          <w:tab/>
        </w:r>
        <w:r w:rsidR="001E471C" w:rsidRPr="001E471C">
          <w:rPr>
            <w:webHidden/>
          </w:rPr>
          <w:fldChar w:fldCharType="begin"/>
        </w:r>
        <w:r w:rsidR="001E471C" w:rsidRPr="001E471C">
          <w:rPr>
            <w:webHidden/>
          </w:rPr>
          <w:instrText xml:space="preserve"> PAGEREF _Toc12795185 \h </w:instrText>
        </w:r>
        <w:r w:rsidR="001E471C" w:rsidRPr="001E471C">
          <w:rPr>
            <w:webHidden/>
          </w:rPr>
        </w:r>
        <w:r w:rsidR="001E471C" w:rsidRPr="001E471C">
          <w:rPr>
            <w:webHidden/>
          </w:rPr>
          <w:fldChar w:fldCharType="separate"/>
        </w:r>
        <w:r w:rsidR="00E353DF">
          <w:rPr>
            <w:webHidden/>
          </w:rPr>
          <w:t>80</w:t>
        </w:r>
        <w:r w:rsidR="001E471C" w:rsidRPr="001E471C">
          <w:rPr>
            <w:webHidden/>
          </w:rPr>
          <w:fldChar w:fldCharType="end"/>
        </w:r>
      </w:hyperlink>
    </w:p>
    <w:p w14:paraId="2347E145" w14:textId="6C5608CA" w:rsidR="001E471C" w:rsidRPr="001E471C" w:rsidRDefault="009D7B65" w:rsidP="00356FAA">
      <w:pPr>
        <w:pStyle w:val="TOC2"/>
        <w:rPr>
          <w:rFonts w:asciiTheme="minorHAnsi" w:eastAsiaTheme="minorEastAsia" w:hAnsiTheme="minorHAnsi" w:cstheme="minorBidi"/>
          <w:sz w:val="22"/>
          <w:szCs w:val="22"/>
        </w:rPr>
      </w:pPr>
      <w:hyperlink w:anchor="_Toc12795186" w:history="1">
        <w:r w:rsidR="001E471C" w:rsidRPr="001E471C">
          <w:rPr>
            <w:rStyle w:val="Hyperlink"/>
            <w:rFonts w:eastAsiaTheme="majorEastAsia"/>
          </w:rPr>
          <w:t>5.5 Key Study Area Updates</w:t>
        </w:r>
        <w:r w:rsidR="001E471C" w:rsidRPr="001E471C">
          <w:rPr>
            <w:webHidden/>
          </w:rPr>
          <w:tab/>
        </w:r>
        <w:r w:rsidR="001E471C" w:rsidRPr="001E471C">
          <w:rPr>
            <w:webHidden/>
          </w:rPr>
          <w:fldChar w:fldCharType="begin"/>
        </w:r>
        <w:r w:rsidR="001E471C" w:rsidRPr="001E471C">
          <w:rPr>
            <w:webHidden/>
          </w:rPr>
          <w:instrText xml:space="preserve"> PAGEREF _Toc12795186 \h </w:instrText>
        </w:r>
        <w:r w:rsidR="001E471C" w:rsidRPr="001E471C">
          <w:rPr>
            <w:webHidden/>
          </w:rPr>
        </w:r>
        <w:r w:rsidR="001E471C" w:rsidRPr="001E471C">
          <w:rPr>
            <w:webHidden/>
          </w:rPr>
          <w:fldChar w:fldCharType="separate"/>
        </w:r>
        <w:r w:rsidR="00E353DF">
          <w:rPr>
            <w:webHidden/>
          </w:rPr>
          <w:t>81</w:t>
        </w:r>
        <w:r w:rsidR="001E471C" w:rsidRPr="001E471C">
          <w:rPr>
            <w:webHidden/>
          </w:rPr>
          <w:fldChar w:fldCharType="end"/>
        </w:r>
      </w:hyperlink>
    </w:p>
    <w:p w14:paraId="1799CCF1" w14:textId="7FE3B2C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87" w:history="1">
        <w:r w:rsidR="001E471C" w:rsidRPr="001E471C">
          <w:rPr>
            <w:rStyle w:val="Hyperlink"/>
            <w:rFonts w:eastAsiaTheme="majorEastAsia"/>
            <w:b w:val="0"/>
          </w:rPr>
          <w:t>5.5.1</w:t>
        </w:r>
        <w:r w:rsidR="001E471C" w:rsidRPr="001E471C">
          <w:rPr>
            <w:rStyle w:val="Hyperlink"/>
            <w:rFonts w:eastAsiaTheme="majorEastAsia"/>
            <w:b w:val="0"/>
            <w:bCs/>
          </w:rPr>
          <w:t xml:space="preserve"> Southwest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_Toc12795187 \h </w:instrText>
        </w:r>
        <w:r w:rsidR="001E471C" w:rsidRPr="001E471C">
          <w:rPr>
            <w:b w:val="0"/>
            <w:webHidden/>
          </w:rPr>
        </w:r>
        <w:r w:rsidR="001E471C" w:rsidRPr="001E471C">
          <w:rPr>
            <w:b w:val="0"/>
            <w:webHidden/>
          </w:rPr>
          <w:fldChar w:fldCharType="separate"/>
        </w:r>
        <w:r w:rsidR="00E353DF">
          <w:rPr>
            <w:b w:val="0"/>
            <w:webHidden/>
          </w:rPr>
          <w:t>83</w:t>
        </w:r>
        <w:r w:rsidR="001E471C" w:rsidRPr="001E471C">
          <w:rPr>
            <w:b w:val="0"/>
            <w:webHidden/>
          </w:rPr>
          <w:fldChar w:fldCharType="end"/>
        </w:r>
      </w:hyperlink>
    </w:p>
    <w:p w14:paraId="0257E7DC" w14:textId="2F0847E6"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88" w:history="1">
        <w:r w:rsidR="001E471C" w:rsidRPr="001E471C">
          <w:rPr>
            <w:rStyle w:val="Hyperlink"/>
            <w:rFonts w:eastAsiaTheme="majorEastAsia"/>
            <w:b w:val="0"/>
          </w:rPr>
          <w:t>5.5.2</w:t>
        </w:r>
        <w:r w:rsidR="001E471C" w:rsidRPr="001E471C">
          <w:rPr>
            <w:rStyle w:val="Hyperlink"/>
            <w:rFonts w:eastAsiaTheme="majorEastAsia"/>
            <w:b w:val="0"/>
            <w:bCs/>
          </w:rPr>
          <w:t xml:space="preserve"> Greater Hartford Central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_Toc12795188 \h </w:instrText>
        </w:r>
        <w:r w:rsidR="001E471C" w:rsidRPr="001E471C">
          <w:rPr>
            <w:b w:val="0"/>
            <w:webHidden/>
          </w:rPr>
        </w:r>
        <w:r w:rsidR="001E471C" w:rsidRPr="001E471C">
          <w:rPr>
            <w:b w:val="0"/>
            <w:webHidden/>
          </w:rPr>
          <w:fldChar w:fldCharType="separate"/>
        </w:r>
        <w:r w:rsidR="00E353DF">
          <w:rPr>
            <w:b w:val="0"/>
            <w:webHidden/>
          </w:rPr>
          <w:t>84</w:t>
        </w:r>
        <w:r w:rsidR="001E471C" w:rsidRPr="001E471C">
          <w:rPr>
            <w:b w:val="0"/>
            <w:webHidden/>
          </w:rPr>
          <w:fldChar w:fldCharType="end"/>
        </w:r>
      </w:hyperlink>
    </w:p>
    <w:p w14:paraId="0166A024" w14:textId="24CC465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89" w:history="1">
        <w:r w:rsidR="001E471C" w:rsidRPr="001E471C">
          <w:rPr>
            <w:rStyle w:val="Hyperlink"/>
            <w:rFonts w:eastAsiaTheme="majorEastAsia"/>
            <w:b w:val="0"/>
          </w:rPr>
          <w:t>5.5.3 Western and Central Massachusetts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_Toc12795189 \h </w:instrText>
        </w:r>
        <w:r w:rsidR="001E471C" w:rsidRPr="001E471C">
          <w:rPr>
            <w:b w:val="0"/>
            <w:webHidden/>
          </w:rPr>
        </w:r>
        <w:r w:rsidR="001E471C" w:rsidRPr="001E471C">
          <w:rPr>
            <w:b w:val="0"/>
            <w:webHidden/>
          </w:rPr>
          <w:fldChar w:fldCharType="separate"/>
        </w:r>
        <w:r w:rsidR="00E353DF">
          <w:rPr>
            <w:b w:val="0"/>
            <w:webHidden/>
          </w:rPr>
          <w:t>85</w:t>
        </w:r>
        <w:r w:rsidR="001E471C" w:rsidRPr="001E471C">
          <w:rPr>
            <w:b w:val="0"/>
            <w:webHidden/>
          </w:rPr>
          <w:fldChar w:fldCharType="end"/>
        </w:r>
      </w:hyperlink>
    </w:p>
    <w:p w14:paraId="591A47EA" w14:textId="69EE8A36"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0" w:history="1">
        <w:r w:rsidR="001E471C" w:rsidRPr="001E471C">
          <w:rPr>
            <w:rStyle w:val="Hyperlink"/>
            <w:rFonts w:eastAsiaTheme="majorEastAsia"/>
            <w:b w:val="0"/>
          </w:rPr>
          <w:t>5.5.4 Greater Boston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_Toc12795190 \h </w:instrText>
        </w:r>
        <w:r w:rsidR="001E471C" w:rsidRPr="001E471C">
          <w:rPr>
            <w:b w:val="0"/>
            <w:webHidden/>
          </w:rPr>
        </w:r>
        <w:r w:rsidR="001E471C" w:rsidRPr="001E471C">
          <w:rPr>
            <w:b w:val="0"/>
            <w:webHidden/>
          </w:rPr>
          <w:fldChar w:fldCharType="separate"/>
        </w:r>
        <w:r w:rsidR="00E353DF">
          <w:rPr>
            <w:b w:val="0"/>
            <w:webHidden/>
          </w:rPr>
          <w:t>85</w:t>
        </w:r>
        <w:r w:rsidR="001E471C" w:rsidRPr="001E471C">
          <w:rPr>
            <w:b w:val="0"/>
            <w:webHidden/>
          </w:rPr>
          <w:fldChar w:fldCharType="end"/>
        </w:r>
      </w:hyperlink>
    </w:p>
    <w:p w14:paraId="6045CDBE" w14:textId="006AADD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1" w:history="1">
        <w:r w:rsidR="001E471C" w:rsidRPr="001E471C">
          <w:rPr>
            <w:rStyle w:val="Hyperlink"/>
            <w:rFonts w:eastAsiaTheme="majorEastAsia"/>
            <w:b w:val="0"/>
          </w:rPr>
          <w:t>5.5.5</w:t>
        </w:r>
        <w:r w:rsidR="001E471C" w:rsidRPr="001E471C">
          <w:rPr>
            <w:rStyle w:val="Hyperlink"/>
            <w:rFonts w:eastAsiaTheme="majorEastAsia"/>
            <w:b w:val="0"/>
            <w:bCs/>
          </w:rPr>
          <w:t xml:space="preserve"> Southeastern Massachusetts and Rhode Island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_Toc12795191 \h </w:instrText>
        </w:r>
        <w:r w:rsidR="001E471C" w:rsidRPr="001E471C">
          <w:rPr>
            <w:b w:val="0"/>
            <w:webHidden/>
          </w:rPr>
        </w:r>
        <w:r w:rsidR="001E471C" w:rsidRPr="001E471C">
          <w:rPr>
            <w:b w:val="0"/>
            <w:webHidden/>
          </w:rPr>
          <w:fldChar w:fldCharType="separate"/>
        </w:r>
        <w:r w:rsidR="00E353DF">
          <w:rPr>
            <w:b w:val="0"/>
            <w:webHidden/>
          </w:rPr>
          <w:t>87</w:t>
        </w:r>
        <w:r w:rsidR="001E471C" w:rsidRPr="001E471C">
          <w:rPr>
            <w:b w:val="0"/>
            <w:webHidden/>
          </w:rPr>
          <w:fldChar w:fldCharType="end"/>
        </w:r>
      </w:hyperlink>
    </w:p>
    <w:p w14:paraId="70F2D4C7" w14:textId="560DC9A8"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2" w:history="1">
        <w:r w:rsidR="001E471C" w:rsidRPr="001E471C">
          <w:rPr>
            <w:rStyle w:val="Hyperlink"/>
            <w:rFonts w:eastAsiaTheme="majorEastAsia"/>
            <w:b w:val="0"/>
          </w:rPr>
          <w:t>5.5.6 Maine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_Toc12795192 \h </w:instrText>
        </w:r>
        <w:r w:rsidR="001E471C" w:rsidRPr="001E471C">
          <w:rPr>
            <w:b w:val="0"/>
            <w:webHidden/>
          </w:rPr>
        </w:r>
        <w:r w:rsidR="001E471C" w:rsidRPr="001E471C">
          <w:rPr>
            <w:b w:val="0"/>
            <w:webHidden/>
          </w:rPr>
          <w:fldChar w:fldCharType="separate"/>
        </w:r>
        <w:r w:rsidR="00E353DF">
          <w:rPr>
            <w:b w:val="0"/>
            <w:webHidden/>
          </w:rPr>
          <w:t>89</w:t>
        </w:r>
        <w:r w:rsidR="001E471C" w:rsidRPr="001E471C">
          <w:rPr>
            <w:b w:val="0"/>
            <w:webHidden/>
          </w:rPr>
          <w:fldChar w:fldCharType="end"/>
        </w:r>
      </w:hyperlink>
    </w:p>
    <w:p w14:paraId="2ED9BF92" w14:textId="085F0A15"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3" w:history="1">
        <w:r w:rsidR="001E471C" w:rsidRPr="001E471C">
          <w:rPr>
            <w:rStyle w:val="Hyperlink"/>
            <w:rFonts w:eastAsiaTheme="majorEastAsia"/>
            <w:b w:val="0"/>
          </w:rPr>
          <w:t>5.5.7 New Hampshire and Vermont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_Toc12795193 \h </w:instrText>
        </w:r>
        <w:r w:rsidR="001E471C" w:rsidRPr="001E471C">
          <w:rPr>
            <w:b w:val="0"/>
            <w:webHidden/>
          </w:rPr>
        </w:r>
        <w:r w:rsidR="001E471C" w:rsidRPr="001E471C">
          <w:rPr>
            <w:b w:val="0"/>
            <w:webHidden/>
          </w:rPr>
          <w:fldChar w:fldCharType="separate"/>
        </w:r>
        <w:r w:rsidR="00E353DF">
          <w:rPr>
            <w:b w:val="0"/>
            <w:webHidden/>
          </w:rPr>
          <w:t>90</w:t>
        </w:r>
        <w:r w:rsidR="001E471C" w:rsidRPr="001E471C">
          <w:rPr>
            <w:b w:val="0"/>
            <w:webHidden/>
          </w:rPr>
          <w:fldChar w:fldCharType="end"/>
        </w:r>
      </w:hyperlink>
    </w:p>
    <w:p w14:paraId="7296FF74" w14:textId="2991E79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4" w:history="1">
        <w:r w:rsidR="001E471C" w:rsidRPr="001E471C">
          <w:rPr>
            <w:rStyle w:val="Hyperlink"/>
            <w:rFonts w:eastAsiaTheme="majorEastAsia"/>
            <w:b w:val="0"/>
          </w:rPr>
          <w:t>5.5.8</w:t>
        </w:r>
        <w:r w:rsidR="001E471C" w:rsidRPr="001E471C">
          <w:rPr>
            <w:rStyle w:val="Hyperlink"/>
            <w:rFonts w:eastAsiaTheme="majorEastAsia"/>
            <w:b w:val="0"/>
            <w:bCs/>
          </w:rPr>
          <w:t xml:space="preserve"> Eastern Connecticut Key Study Area</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_Toc12795194 \h </w:instrText>
        </w:r>
        <w:r w:rsidR="001E471C" w:rsidRPr="001E471C">
          <w:rPr>
            <w:b w:val="0"/>
            <w:webHidden/>
          </w:rPr>
        </w:r>
        <w:r w:rsidR="001E471C" w:rsidRPr="001E471C">
          <w:rPr>
            <w:b w:val="0"/>
            <w:webHidden/>
          </w:rPr>
          <w:fldChar w:fldCharType="separate"/>
        </w:r>
        <w:r w:rsidR="00E353DF">
          <w:rPr>
            <w:b w:val="0"/>
            <w:webHidden/>
          </w:rPr>
          <w:t>91</w:t>
        </w:r>
        <w:r w:rsidR="001E471C" w:rsidRPr="001E471C">
          <w:rPr>
            <w:b w:val="0"/>
            <w:webHidden/>
          </w:rPr>
          <w:fldChar w:fldCharType="end"/>
        </w:r>
      </w:hyperlink>
    </w:p>
    <w:p w14:paraId="25D306EB" w14:textId="16B7CDE3" w:rsidR="001E471C" w:rsidRPr="001E471C" w:rsidRDefault="009D7B65" w:rsidP="00356FAA">
      <w:pPr>
        <w:pStyle w:val="TOC2"/>
        <w:rPr>
          <w:rFonts w:asciiTheme="minorHAnsi" w:eastAsiaTheme="minorEastAsia" w:hAnsiTheme="minorHAnsi" w:cstheme="minorBidi"/>
          <w:sz w:val="22"/>
          <w:szCs w:val="22"/>
        </w:rPr>
      </w:pPr>
      <w:hyperlink w:anchor="_Toc12795195" w:history="1">
        <w:r w:rsidR="001E471C" w:rsidRPr="001E471C">
          <w:rPr>
            <w:rStyle w:val="Hyperlink"/>
            <w:rFonts w:eastAsiaTheme="majorEastAsia"/>
          </w:rPr>
          <w:t>5.6 General Need for Future Transmission</w:t>
        </w:r>
        <w:r w:rsidR="001E471C" w:rsidRPr="001E471C">
          <w:rPr>
            <w:webHidden/>
          </w:rPr>
          <w:tab/>
        </w:r>
        <w:r w:rsidR="001E471C" w:rsidRPr="001E471C">
          <w:rPr>
            <w:webHidden/>
          </w:rPr>
          <w:fldChar w:fldCharType="begin"/>
        </w:r>
        <w:r w:rsidR="001E471C" w:rsidRPr="001E471C">
          <w:rPr>
            <w:webHidden/>
          </w:rPr>
          <w:instrText xml:space="preserve"> PAGEREF _Toc12795195 \h </w:instrText>
        </w:r>
        <w:r w:rsidR="001E471C" w:rsidRPr="001E471C">
          <w:rPr>
            <w:webHidden/>
          </w:rPr>
        </w:r>
        <w:r w:rsidR="001E471C" w:rsidRPr="001E471C">
          <w:rPr>
            <w:webHidden/>
          </w:rPr>
          <w:fldChar w:fldCharType="separate"/>
        </w:r>
        <w:r w:rsidR="00E353DF">
          <w:rPr>
            <w:webHidden/>
          </w:rPr>
          <w:t>92</w:t>
        </w:r>
        <w:r w:rsidR="001E471C" w:rsidRPr="001E471C">
          <w:rPr>
            <w:webHidden/>
          </w:rPr>
          <w:fldChar w:fldCharType="end"/>
        </w:r>
      </w:hyperlink>
    </w:p>
    <w:p w14:paraId="2BBD2FED" w14:textId="40B581C8" w:rsidR="001E471C" w:rsidRPr="001E471C" w:rsidRDefault="009D7B65" w:rsidP="00356FAA">
      <w:pPr>
        <w:pStyle w:val="TOC2"/>
        <w:rPr>
          <w:rFonts w:asciiTheme="minorHAnsi" w:eastAsiaTheme="minorEastAsia" w:hAnsiTheme="minorHAnsi" w:cstheme="minorBidi"/>
          <w:sz w:val="22"/>
          <w:szCs w:val="22"/>
        </w:rPr>
      </w:pPr>
      <w:hyperlink w:anchor="_Toc12795196" w:history="1">
        <w:r w:rsidR="001E471C" w:rsidRPr="001E471C">
          <w:rPr>
            <w:rStyle w:val="Hyperlink"/>
            <w:rFonts w:eastAsiaTheme="majorEastAsia"/>
          </w:rPr>
          <w:t>5.7 New England Asset Management</w:t>
        </w:r>
        <w:r w:rsidR="001E471C" w:rsidRPr="001E471C">
          <w:rPr>
            <w:webHidden/>
          </w:rPr>
          <w:tab/>
        </w:r>
        <w:r w:rsidR="001E471C" w:rsidRPr="001E471C">
          <w:rPr>
            <w:webHidden/>
          </w:rPr>
          <w:fldChar w:fldCharType="begin"/>
        </w:r>
        <w:r w:rsidR="001E471C" w:rsidRPr="001E471C">
          <w:rPr>
            <w:webHidden/>
          </w:rPr>
          <w:instrText xml:space="preserve"> PAGEREF _Toc12795196 \h </w:instrText>
        </w:r>
        <w:r w:rsidR="001E471C" w:rsidRPr="001E471C">
          <w:rPr>
            <w:webHidden/>
          </w:rPr>
        </w:r>
        <w:r w:rsidR="001E471C" w:rsidRPr="001E471C">
          <w:rPr>
            <w:webHidden/>
          </w:rPr>
          <w:fldChar w:fldCharType="separate"/>
        </w:r>
        <w:r w:rsidR="00E353DF">
          <w:rPr>
            <w:webHidden/>
          </w:rPr>
          <w:t>92</w:t>
        </w:r>
        <w:r w:rsidR="001E471C" w:rsidRPr="001E471C">
          <w:rPr>
            <w:webHidden/>
          </w:rPr>
          <w:fldChar w:fldCharType="end"/>
        </w:r>
      </w:hyperlink>
    </w:p>
    <w:p w14:paraId="13E466AD" w14:textId="7608AAE5" w:rsidR="001E471C" w:rsidRPr="001E471C" w:rsidRDefault="009D7B65" w:rsidP="00356FAA">
      <w:pPr>
        <w:pStyle w:val="TOC2"/>
        <w:rPr>
          <w:rFonts w:asciiTheme="minorHAnsi" w:eastAsiaTheme="minorEastAsia" w:hAnsiTheme="minorHAnsi" w:cstheme="minorBidi"/>
          <w:sz w:val="22"/>
          <w:szCs w:val="22"/>
        </w:rPr>
      </w:pPr>
      <w:hyperlink w:anchor="_Toc12795197" w:history="1">
        <w:r w:rsidR="001E471C" w:rsidRPr="001E471C">
          <w:rPr>
            <w:rStyle w:val="Hyperlink"/>
            <w:rFonts w:eastAsiaTheme="majorEastAsia"/>
          </w:rPr>
          <w:t>5.8 Local System Plan</w:t>
        </w:r>
        <w:r w:rsidR="001E471C" w:rsidRPr="001E471C">
          <w:rPr>
            <w:webHidden/>
          </w:rPr>
          <w:tab/>
        </w:r>
        <w:r w:rsidR="001E471C" w:rsidRPr="001E471C">
          <w:rPr>
            <w:webHidden/>
          </w:rPr>
          <w:fldChar w:fldCharType="begin"/>
        </w:r>
        <w:r w:rsidR="001E471C" w:rsidRPr="001E471C">
          <w:rPr>
            <w:webHidden/>
          </w:rPr>
          <w:instrText xml:space="preserve"> PAGEREF _Toc12795197 \h </w:instrText>
        </w:r>
        <w:r w:rsidR="001E471C" w:rsidRPr="001E471C">
          <w:rPr>
            <w:webHidden/>
          </w:rPr>
        </w:r>
        <w:r w:rsidR="001E471C" w:rsidRPr="001E471C">
          <w:rPr>
            <w:webHidden/>
          </w:rPr>
          <w:fldChar w:fldCharType="separate"/>
        </w:r>
        <w:r w:rsidR="00E353DF">
          <w:rPr>
            <w:webHidden/>
          </w:rPr>
          <w:t>93</w:t>
        </w:r>
        <w:r w:rsidR="001E471C" w:rsidRPr="001E471C">
          <w:rPr>
            <w:webHidden/>
          </w:rPr>
          <w:fldChar w:fldCharType="end"/>
        </w:r>
      </w:hyperlink>
    </w:p>
    <w:p w14:paraId="3C43AA94" w14:textId="1915D4B1" w:rsidR="001E471C" w:rsidRPr="001E471C" w:rsidRDefault="009D7B65" w:rsidP="00356FAA">
      <w:pPr>
        <w:pStyle w:val="TOC2"/>
        <w:rPr>
          <w:rFonts w:asciiTheme="minorHAnsi" w:eastAsiaTheme="minorEastAsia" w:hAnsiTheme="minorHAnsi" w:cstheme="minorBidi"/>
          <w:sz w:val="22"/>
          <w:szCs w:val="22"/>
        </w:rPr>
      </w:pPr>
      <w:hyperlink w:anchor="_Toc12795198" w:history="1">
        <w:r w:rsidR="001E471C" w:rsidRPr="001E471C">
          <w:rPr>
            <w:rStyle w:val="Hyperlink"/>
            <w:rFonts w:eastAsiaTheme="majorEastAsia"/>
          </w:rPr>
          <w:t>5.9 RSP Project List and Projected Transmission Project Costs</w:t>
        </w:r>
        <w:r w:rsidR="001E471C" w:rsidRPr="001E471C">
          <w:rPr>
            <w:webHidden/>
          </w:rPr>
          <w:tab/>
        </w:r>
        <w:r w:rsidR="001E471C" w:rsidRPr="001E471C">
          <w:rPr>
            <w:webHidden/>
          </w:rPr>
          <w:fldChar w:fldCharType="begin"/>
        </w:r>
        <w:r w:rsidR="001E471C" w:rsidRPr="001E471C">
          <w:rPr>
            <w:webHidden/>
          </w:rPr>
          <w:instrText xml:space="preserve"> PAGEREF _Toc12795198 \h </w:instrText>
        </w:r>
        <w:r w:rsidR="001E471C" w:rsidRPr="001E471C">
          <w:rPr>
            <w:webHidden/>
          </w:rPr>
        </w:r>
        <w:r w:rsidR="001E471C" w:rsidRPr="001E471C">
          <w:rPr>
            <w:webHidden/>
          </w:rPr>
          <w:fldChar w:fldCharType="separate"/>
        </w:r>
        <w:r w:rsidR="00E353DF">
          <w:rPr>
            <w:webHidden/>
          </w:rPr>
          <w:t>93</w:t>
        </w:r>
        <w:r w:rsidR="001E471C" w:rsidRPr="001E471C">
          <w:rPr>
            <w:webHidden/>
          </w:rPr>
          <w:fldChar w:fldCharType="end"/>
        </w:r>
      </w:hyperlink>
    </w:p>
    <w:p w14:paraId="0AF3BE4B" w14:textId="215F12A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199" w:history="1">
        <w:r w:rsidR="001E471C" w:rsidRPr="001E471C">
          <w:rPr>
            <w:rStyle w:val="Hyperlink"/>
            <w:rFonts w:eastAsiaTheme="majorEastAsia"/>
            <w:b w:val="0"/>
          </w:rPr>
          <w:t>5.9.1 Reliability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_Toc12795199 \h </w:instrText>
        </w:r>
        <w:r w:rsidR="001E471C" w:rsidRPr="001E471C">
          <w:rPr>
            <w:b w:val="0"/>
            <w:webHidden/>
          </w:rPr>
        </w:r>
        <w:r w:rsidR="001E471C" w:rsidRPr="001E471C">
          <w:rPr>
            <w:b w:val="0"/>
            <w:webHidden/>
          </w:rPr>
          <w:fldChar w:fldCharType="separate"/>
        </w:r>
        <w:r w:rsidR="00E353DF">
          <w:rPr>
            <w:b w:val="0"/>
            <w:webHidden/>
          </w:rPr>
          <w:t>94</w:t>
        </w:r>
        <w:r w:rsidR="001E471C" w:rsidRPr="001E471C">
          <w:rPr>
            <w:b w:val="0"/>
            <w:webHidden/>
          </w:rPr>
          <w:fldChar w:fldCharType="end"/>
        </w:r>
      </w:hyperlink>
    </w:p>
    <w:p w14:paraId="43D80482" w14:textId="5F698998"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00" w:history="1">
        <w:r w:rsidR="001E471C" w:rsidRPr="001E471C">
          <w:rPr>
            <w:rStyle w:val="Hyperlink"/>
            <w:rFonts w:eastAsiaTheme="majorEastAsia"/>
            <w:b w:val="0"/>
          </w:rPr>
          <w:t>5.9.2 Lack of Need for Market-Efficiency-Related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_Toc12795200 \h </w:instrText>
        </w:r>
        <w:r w:rsidR="001E471C" w:rsidRPr="001E471C">
          <w:rPr>
            <w:b w:val="0"/>
            <w:webHidden/>
          </w:rPr>
        </w:r>
        <w:r w:rsidR="001E471C" w:rsidRPr="001E471C">
          <w:rPr>
            <w:b w:val="0"/>
            <w:webHidden/>
          </w:rPr>
          <w:fldChar w:fldCharType="separate"/>
        </w:r>
        <w:r w:rsidR="00E353DF">
          <w:rPr>
            <w:b w:val="0"/>
            <w:webHidden/>
          </w:rPr>
          <w:t>96</w:t>
        </w:r>
        <w:r w:rsidR="001E471C" w:rsidRPr="001E471C">
          <w:rPr>
            <w:b w:val="0"/>
            <w:webHidden/>
          </w:rPr>
          <w:fldChar w:fldCharType="end"/>
        </w:r>
      </w:hyperlink>
    </w:p>
    <w:p w14:paraId="5131D115" w14:textId="22FEC1CE"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01" w:history="1">
        <w:r w:rsidR="001E471C" w:rsidRPr="001E471C">
          <w:rPr>
            <w:rStyle w:val="Hyperlink"/>
            <w:rFonts w:eastAsiaTheme="majorEastAsia"/>
            <w:b w:val="0"/>
          </w:rPr>
          <w:t>5.9.3 Required Generator-Interconnection-Related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_Toc12795201 \h </w:instrText>
        </w:r>
        <w:r w:rsidR="001E471C" w:rsidRPr="001E471C">
          <w:rPr>
            <w:b w:val="0"/>
            <w:webHidden/>
          </w:rPr>
        </w:r>
        <w:r w:rsidR="001E471C" w:rsidRPr="001E471C">
          <w:rPr>
            <w:b w:val="0"/>
            <w:webHidden/>
          </w:rPr>
          <w:fldChar w:fldCharType="separate"/>
        </w:r>
        <w:r w:rsidR="00E353DF">
          <w:rPr>
            <w:b w:val="0"/>
            <w:webHidden/>
          </w:rPr>
          <w:t>99</w:t>
        </w:r>
        <w:r w:rsidR="001E471C" w:rsidRPr="001E471C">
          <w:rPr>
            <w:b w:val="0"/>
            <w:webHidden/>
          </w:rPr>
          <w:fldChar w:fldCharType="end"/>
        </w:r>
      </w:hyperlink>
    </w:p>
    <w:p w14:paraId="7F2EF502" w14:textId="3308154C"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02" w:history="1">
        <w:r w:rsidR="001E471C" w:rsidRPr="001E471C">
          <w:rPr>
            <w:rStyle w:val="Hyperlink"/>
            <w:rFonts w:eastAsiaTheme="majorEastAsia"/>
            <w:b w:val="0"/>
          </w:rPr>
          <w:t>5.9.4 Elective Transmission Upgrades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_Toc12795202 \h </w:instrText>
        </w:r>
        <w:r w:rsidR="001E471C" w:rsidRPr="001E471C">
          <w:rPr>
            <w:b w:val="0"/>
            <w:webHidden/>
          </w:rPr>
        </w:r>
        <w:r w:rsidR="001E471C" w:rsidRPr="001E471C">
          <w:rPr>
            <w:b w:val="0"/>
            <w:webHidden/>
          </w:rPr>
          <w:fldChar w:fldCharType="separate"/>
        </w:r>
        <w:r w:rsidR="00E353DF">
          <w:rPr>
            <w:b w:val="0"/>
            <w:webHidden/>
          </w:rPr>
          <w:t>100</w:t>
        </w:r>
        <w:r w:rsidR="001E471C" w:rsidRPr="001E471C">
          <w:rPr>
            <w:b w:val="0"/>
            <w:webHidden/>
          </w:rPr>
          <w:fldChar w:fldCharType="end"/>
        </w:r>
      </w:hyperlink>
    </w:p>
    <w:p w14:paraId="477A3A86" w14:textId="37981C2B" w:rsidR="001E471C" w:rsidRPr="001E471C" w:rsidRDefault="009D7B65" w:rsidP="00356FAA">
      <w:pPr>
        <w:pStyle w:val="TOC2"/>
        <w:rPr>
          <w:rFonts w:asciiTheme="minorHAnsi" w:eastAsiaTheme="minorEastAsia" w:hAnsiTheme="minorHAnsi" w:cstheme="minorBidi"/>
          <w:sz w:val="22"/>
          <w:szCs w:val="22"/>
        </w:rPr>
      </w:pPr>
      <w:hyperlink w:anchor="_Toc12795203" w:history="1">
        <w:r w:rsidR="001E471C" w:rsidRPr="001E471C">
          <w:rPr>
            <w:rStyle w:val="Hyperlink"/>
            <w:rFonts w:eastAsiaTheme="majorEastAsia"/>
          </w:rPr>
          <w:t>5.10 Summary</w:t>
        </w:r>
        <w:r w:rsidR="001E471C" w:rsidRPr="001E471C">
          <w:rPr>
            <w:webHidden/>
          </w:rPr>
          <w:tab/>
        </w:r>
        <w:r w:rsidR="001E471C" w:rsidRPr="001E471C">
          <w:rPr>
            <w:webHidden/>
          </w:rPr>
          <w:fldChar w:fldCharType="begin"/>
        </w:r>
        <w:r w:rsidR="001E471C" w:rsidRPr="001E471C">
          <w:rPr>
            <w:webHidden/>
          </w:rPr>
          <w:instrText xml:space="preserve"> PAGEREF _Toc12795203 \h </w:instrText>
        </w:r>
        <w:r w:rsidR="001E471C" w:rsidRPr="001E471C">
          <w:rPr>
            <w:webHidden/>
          </w:rPr>
        </w:r>
        <w:r w:rsidR="001E471C" w:rsidRPr="001E471C">
          <w:rPr>
            <w:webHidden/>
          </w:rPr>
          <w:fldChar w:fldCharType="separate"/>
        </w:r>
        <w:r w:rsidR="00E353DF">
          <w:rPr>
            <w:webHidden/>
          </w:rPr>
          <w:t>101</w:t>
        </w:r>
        <w:r w:rsidR="001E471C" w:rsidRPr="001E471C">
          <w:rPr>
            <w:webHidden/>
          </w:rPr>
          <w:fldChar w:fldCharType="end"/>
        </w:r>
      </w:hyperlink>
    </w:p>
    <w:p w14:paraId="3723F6A1" w14:textId="2CF15979" w:rsidR="001E471C" w:rsidRDefault="009D7B65" w:rsidP="00356FAA">
      <w:pPr>
        <w:pStyle w:val="TOC1"/>
        <w:rPr>
          <w:rFonts w:asciiTheme="minorHAnsi" w:eastAsiaTheme="minorEastAsia" w:hAnsiTheme="minorHAnsi" w:cstheme="minorBidi"/>
          <w:b w:val="0"/>
          <w:sz w:val="22"/>
          <w:szCs w:val="22"/>
        </w:rPr>
      </w:pPr>
      <w:hyperlink w:anchor="_Toc12795204" w:history="1">
        <w:r w:rsidR="001E471C" w:rsidRPr="00E97DC8">
          <w:rPr>
            <w:rStyle w:val="Hyperlink"/>
          </w:rPr>
          <w:t>Section 6</w:t>
        </w:r>
        <w:r w:rsidR="001E471C">
          <w:rPr>
            <w:rStyle w:val="Hyperlink"/>
          </w:rPr>
          <w:br/>
        </w:r>
        <w:r w:rsidR="001E471C" w:rsidRPr="00E97DC8">
          <w:rPr>
            <w:rStyle w:val="Hyperlink"/>
          </w:rPr>
          <w:t>Interregional Coordination</w:t>
        </w:r>
        <w:r w:rsidR="001E471C">
          <w:rPr>
            <w:webHidden/>
          </w:rPr>
          <w:tab/>
        </w:r>
        <w:r w:rsidR="001E471C">
          <w:rPr>
            <w:webHidden/>
          </w:rPr>
          <w:fldChar w:fldCharType="begin"/>
        </w:r>
        <w:r w:rsidR="001E471C">
          <w:rPr>
            <w:webHidden/>
          </w:rPr>
          <w:instrText xml:space="preserve"> PAGEREF _Toc12795204 \h </w:instrText>
        </w:r>
        <w:r w:rsidR="001E471C">
          <w:rPr>
            <w:webHidden/>
          </w:rPr>
        </w:r>
        <w:r w:rsidR="001E471C">
          <w:rPr>
            <w:webHidden/>
          </w:rPr>
          <w:fldChar w:fldCharType="separate"/>
        </w:r>
        <w:r w:rsidR="00E353DF">
          <w:rPr>
            <w:webHidden/>
          </w:rPr>
          <w:t>102</w:t>
        </w:r>
        <w:r w:rsidR="001E471C">
          <w:rPr>
            <w:webHidden/>
          </w:rPr>
          <w:fldChar w:fldCharType="end"/>
        </w:r>
      </w:hyperlink>
    </w:p>
    <w:p w14:paraId="79B9510E" w14:textId="1487B2C0" w:rsidR="001E471C" w:rsidRPr="001E471C" w:rsidRDefault="009D7B65" w:rsidP="00356FAA">
      <w:pPr>
        <w:pStyle w:val="TOC2"/>
        <w:rPr>
          <w:rFonts w:asciiTheme="minorHAnsi" w:eastAsiaTheme="minorEastAsia" w:hAnsiTheme="minorHAnsi" w:cstheme="minorBidi"/>
          <w:sz w:val="22"/>
          <w:szCs w:val="22"/>
        </w:rPr>
      </w:pPr>
      <w:hyperlink w:anchor="_Toc12795205" w:history="1">
        <w:r w:rsidR="001E471C" w:rsidRPr="001E471C">
          <w:rPr>
            <w:rStyle w:val="Hyperlink"/>
            <w:rFonts w:eastAsiaTheme="majorEastAsia"/>
          </w:rPr>
          <w:t>6.1 US Department of Energy Studies</w:t>
        </w:r>
        <w:r w:rsidR="001E471C" w:rsidRPr="001E471C">
          <w:rPr>
            <w:webHidden/>
          </w:rPr>
          <w:tab/>
        </w:r>
        <w:r w:rsidR="001E471C" w:rsidRPr="001E471C">
          <w:rPr>
            <w:webHidden/>
          </w:rPr>
          <w:fldChar w:fldCharType="begin"/>
        </w:r>
        <w:r w:rsidR="001E471C" w:rsidRPr="001E471C">
          <w:rPr>
            <w:webHidden/>
          </w:rPr>
          <w:instrText xml:space="preserve"> PAGEREF _Toc12795205 \h </w:instrText>
        </w:r>
        <w:r w:rsidR="001E471C" w:rsidRPr="001E471C">
          <w:rPr>
            <w:webHidden/>
          </w:rPr>
        </w:r>
        <w:r w:rsidR="001E471C" w:rsidRPr="001E471C">
          <w:rPr>
            <w:webHidden/>
          </w:rPr>
          <w:fldChar w:fldCharType="separate"/>
        </w:r>
        <w:r w:rsidR="00E353DF">
          <w:rPr>
            <w:webHidden/>
          </w:rPr>
          <w:t>102</w:t>
        </w:r>
        <w:r w:rsidR="001E471C" w:rsidRPr="001E471C">
          <w:rPr>
            <w:webHidden/>
          </w:rPr>
          <w:fldChar w:fldCharType="end"/>
        </w:r>
      </w:hyperlink>
    </w:p>
    <w:p w14:paraId="55678CBB" w14:textId="2C8552F9" w:rsidR="001E471C" w:rsidRPr="001E471C" w:rsidRDefault="009D7B65" w:rsidP="00356FAA">
      <w:pPr>
        <w:pStyle w:val="TOC2"/>
        <w:rPr>
          <w:rFonts w:asciiTheme="minorHAnsi" w:eastAsiaTheme="minorEastAsia" w:hAnsiTheme="minorHAnsi" w:cstheme="minorBidi"/>
          <w:sz w:val="22"/>
          <w:szCs w:val="22"/>
        </w:rPr>
      </w:pPr>
      <w:hyperlink w:anchor="_Toc12795206" w:history="1">
        <w:r w:rsidR="001E471C" w:rsidRPr="001E471C">
          <w:rPr>
            <w:rStyle w:val="Hyperlink"/>
            <w:rFonts w:eastAsiaTheme="majorEastAsia"/>
          </w:rPr>
          <w:t>6.2 Eastern Interconnection Planning Collaborative Studies</w:t>
        </w:r>
        <w:r w:rsidR="001E471C" w:rsidRPr="001E471C">
          <w:rPr>
            <w:webHidden/>
          </w:rPr>
          <w:tab/>
        </w:r>
        <w:r w:rsidR="001E471C" w:rsidRPr="001E471C">
          <w:rPr>
            <w:webHidden/>
          </w:rPr>
          <w:fldChar w:fldCharType="begin"/>
        </w:r>
        <w:r w:rsidR="001E471C" w:rsidRPr="001E471C">
          <w:rPr>
            <w:webHidden/>
          </w:rPr>
          <w:instrText xml:space="preserve"> PAGEREF _Toc12795206 \h </w:instrText>
        </w:r>
        <w:r w:rsidR="001E471C" w:rsidRPr="001E471C">
          <w:rPr>
            <w:webHidden/>
          </w:rPr>
        </w:r>
        <w:r w:rsidR="001E471C" w:rsidRPr="001E471C">
          <w:rPr>
            <w:webHidden/>
          </w:rPr>
          <w:fldChar w:fldCharType="separate"/>
        </w:r>
        <w:r w:rsidR="00E353DF">
          <w:rPr>
            <w:webHidden/>
          </w:rPr>
          <w:t>103</w:t>
        </w:r>
        <w:r w:rsidR="001E471C" w:rsidRPr="001E471C">
          <w:rPr>
            <w:webHidden/>
          </w:rPr>
          <w:fldChar w:fldCharType="end"/>
        </w:r>
      </w:hyperlink>
    </w:p>
    <w:p w14:paraId="008ECB83" w14:textId="68E87D3A" w:rsidR="001E471C" w:rsidRPr="001E471C" w:rsidRDefault="009D7B65" w:rsidP="00356FAA">
      <w:pPr>
        <w:pStyle w:val="TOC2"/>
        <w:rPr>
          <w:rFonts w:asciiTheme="minorHAnsi" w:eastAsiaTheme="minorEastAsia" w:hAnsiTheme="minorHAnsi" w:cstheme="minorBidi"/>
          <w:sz w:val="22"/>
          <w:szCs w:val="22"/>
        </w:rPr>
      </w:pPr>
      <w:hyperlink w:anchor="_Toc12795207" w:history="1">
        <w:r w:rsidR="001E471C" w:rsidRPr="001E471C">
          <w:rPr>
            <w:rStyle w:val="Hyperlink"/>
            <w:rFonts w:eastAsiaTheme="majorEastAsia"/>
          </w:rPr>
          <w:t>6.3 Electric Reliability Organization Overview</w:t>
        </w:r>
        <w:r w:rsidR="001E471C" w:rsidRPr="001E471C">
          <w:rPr>
            <w:webHidden/>
          </w:rPr>
          <w:tab/>
        </w:r>
        <w:r w:rsidR="001E471C" w:rsidRPr="001E471C">
          <w:rPr>
            <w:webHidden/>
          </w:rPr>
          <w:fldChar w:fldCharType="begin"/>
        </w:r>
        <w:r w:rsidR="001E471C" w:rsidRPr="001E471C">
          <w:rPr>
            <w:webHidden/>
          </w:rPr>
          <w:instrText xml:space="preserve"> PAGEREF _Toc12795207 \h </w:instrText>
        </w:r>
        <w:r w:rsidR="001E471C" w:rsidRPr="001E471C">
          <w:rPr>
            <w:webHidden/>
          </w:rPr>
        </w:r>
        <w:r w:rsidR="001E471C" w:rsidRPr="001E471C">
          <w:rPr>
            <w:webHidden/>
          </w:rPr>
          <w:fldChar w:fldCharType="separate"/>
        </w:r>
        <w:r w:rsidR="00E353DF">
          <w:rPr>
            <w:webHidden/>
          </w:rPr>
          <w:t>104</w:t>
        </w:r>
        <w:r w:rsidR="001E471C" w:rsidRPr="001E471C">
          <w:rPr>
            <w:webHidden/>
          </w:rPr>
          <w:fldChar w:fldCharType="end"/>
        </w:r>
      </w:hyperlink>
    </w:p>
    <w:p w14:paraId="01221172" w14:textId="531A081B" w:rsidR="001E471C" w:rsidRPr="001E471C" w:rsidRDefault="009D7B65" w:rsidP="00356FAA">
      <w:pPr>
        <w:pStyle w:val="TOC2"/>
        <w:rPr>
          <w:rFonts w:asciiTheme="minorHAnsi" w:eastAsiaTheme="minorEastAsia" w:hAnsiTheme="minorHAnsi" w:cstheme="minorBidi"/>
          <w:sz w:val="22"/>
          <w:szCs w:val="22"/>
        </w:rPr>
      </w:pPr>
      <w:hyperlink w:anchor="_Toc12795208" w:history="1">
        <w:r w:rsidR="001E471C" w:rsidRPr="001E471C">
          <w:rPr>
            <w:rStyle w:val="Hyperlink"/>
            <w:rFonts w:eastAsiaTheme="majorEastAsia"/>
          </w:rPr>
          <w:t>6.4 IRC Activities</w:t>
        </w:r>
        <w:r w:rsidR="001E471C" w:rsidRPr="001E471C">
          <w:rPr>
            <w:webHidden/>
          </w:rPr>
          <w:tab/>
        </w:r>
        <w:r w:rsidR="001E471C" w:rsidRPr="001E471C">
          <w:rPr>
            <w:webHidden/>
          </w:rPr>
          <w:fldChar w:fldCharType="begin"/>
        </w:r>
        <w:r w:rsidR="001E471C" w:rsidRPr="001E471C">
          <w:rPr>
            <w:webHidden/>
          </w:rPr>
          <w:instrText xml:space="preserve"> PAGEREF _Toc12795208 \h </w:instrText>
        </w:r>
        <w:r w:rsidR="001E471C" w:rsidRPr="001E471C">
          <w:rPr>
            <w:webHidden/>
          </w:rPr>
        </w:r>
        <w:r w:rsidR="001E471C" w:rsidRPr="001E471C">
          <w:rPr>
            <w:webHidden/>
          </w:rPr>
          <w:fldChar w:fldCharType="separate"/>
        </w:r>
        <w:r w:rsidR="00E353DF">
          <w:rPr>
            <w:webHidden/>
          </w:rPr>
          <w:t>107</w:t>
        </w:r>
        <w:r w:rsidR="001E471C" w:rsidRPr="001E471C">
          <w:rPr>
            <w:webHidden/>
          </w:rPr>
          <w:fldChar w:fldCharType="end"/>
        </w:r>
      </w:hyperlink>
    </w:p>
    <w:p w14:paraId="13040661" w14:textId="5D111478" w:rsidR="001E471C" w:rsidRPr="001E471C" w:rsidRDefault="009D7B65" w:rsidP="00356FAA">
      <w:pPr>
        <w:pStyle w:val="TOC2"/>
        <w:rPr>
          <w:rFonts w:asciiTheme="minorHAnsi" w:eastAsiaTheme="minorEastAsia" w:hAnsiTheme="minorHAnsi" w:cstheme="minorBidi"/>
          <w:sz w:val="22"/>
          <w:szCs w:val="22"/>
        </w:rPr>
      </w:pPr>
      <w:hyperlink w:anchor="_Toc12795209" w:history="1">
        <w:r w:rsidR="001E471C" w:rsidRPr="001E471C">
          <w:rPr>
            <w:rStyle w:val="Hyperlink"/>
            <w:rFonts w:eastAsiaTheme="majorEastAsia"/>
          </w:rPr>
          <w:t>6.5 Northeast Power Coordinating Council Studies and Activities</w:t>
        </w:r>
        <w:r w:rsidR="001E471C" w:rsidRPr="001E471C">
          <w:rPr>
            <w:webHidden/>
          </w:rPr>
          <w:tab/>
        </w:r>
        <w:r w:rsidR="001E471C" w:rsidRPr="001E471C">
          <w:rPr>
            <w:webHidden/>
          </w:rPr>
          <w:fldChar w:fldCharType="begin"/>
        </w:r>
        <w:r w:rsidR="001E471C" w:rsidRPr="001E471C">
          <w:rPr>
            <w:webHidden/>
          </w:rPr>
          <w:instrText xml:space="preserve"> PAGEREF _Toc12795209 \h </w:instrText>
        </w:r>
        <w:r w:rsidR="001E471C" w:rsidRPr="001E471C">
          <w:rPr>
            <w:webHidden/>
          </w:rPr>
        </w:r>
        <w:r w:rsidR="001E471C" w:rsidRPr="001E471C">
          <w:rPr>
            <w:webHidden/>
          </w:rPr>
          <w:fldChar w:fldCharType="separate"/>
        </w:r>
        <w:r w:rsidR="00E353DF">
          <w:rPr>
            <w:webHidden/>
          </w:rPr>
          <w:t>108</w:t>
        </w:r>
        <w:r w:rsidR="001E471C" w:rsidRPr="001E471C">
          <w:rPr>
            <w:webHidden/>
          </w:rPr>
          <w:fldChar w:fldCharType="end"/>
        </w:r>
      </w:hyperlink>
    </w:p>
    <w:p w14:paraId="1C756C8D" w14:textId="6A2C564F" w:rsidR="001E471C" w:rsidRPr="001E471C" w:rsidRDefault="009D7B65" w:rsidP="00356FAA">
      <w:pPr>
        <w:pStyle w:val="TOC2"/>
        <w:rPr>
          <w:rFonts w:asciiTheme="minorHAnsi" w:eastAsiaTheme="minorEastAsia" w:hAnsiTheme="minorHAnsi" w:cstheme="minorBidi"/>
          <w:sz w:val="22"/>
          <w:szCs w:val="22"/>
        </w:rPr>
      </w:pPr>
      <w:hyperlink w:anchor="_Toc12795210" w:history="1">
        <w:r w:rsidR="001E471C" w:rsidRPr="001E471C">
          <w:rPr>
            <w:rStyle w:val="Hyperlink"/>
            <w:rFonts w:eastAsiaTheme="majorEastAsia"/>
          </w:rPr>
          <w:t>6.6 Northeastern ISO/RTO Planning Coordination Protocol</w:t>
        </w:r>
        <w:r w:rsidR="001E471C" w:rsidRPr="001E471C">
          <w:rPr>
            <w:webHidden/>
          </w:rPr>
          <w:tab/>
        </w:r>
        <w:r w:rsidR="001E471C" w:rsidRPr="001E471C">
          <w:rPr>
            <w:webHidden/>
          </w:rPr>
          <w:fldChar w:fldCharType="begin"/>
        </w:r>
        <w:r w:rsidR="001E471C" w:rsidRPr="001E471C">
          <w:rPr>
            <w:webHidden/>
          </w:rPr>
          <w:instrText xml:space="preserve"> PAGEREF _Toc12795210 \h </w:instrText>
        </w:r>
        <w:r w:rsidR="001E471C" w:rsidRPr="001E471C">
          <w:rPr>
            <w:webHidden/>
          </w:rPr>
        </w:r>
        <w:r w:rsidR="001E471C" w:rsidRPr="001E471C">
          <w:rPr>
            <w:webHidden/>
          </w:rPr>
          <w:fldChar w:fldCharType="separate"/>
        </w:r>
        <w:r w:rsidR="00E353DF">
          <w:rPr>
            <w:webHidden/>
          </w:rPr>
          <w:t>109</w:t>
        </w:r>
        <w:r w:rsidR="001E471C" w:rsidRPr="001E471C">
          <w:rPr>
            <w:webHidden/>
          </w:rPr>
          <w:fldChar w:fldCharType="end"/>
        </w:r>
      </w:hyperlink>
    </w:p>
    <w:p w14:paraId="5FD215FB" w14:textId="6C9BA308" w:rsidR="001E471C" w:rsidRPr="001E471C" w:rsidRDefault="009D7B65" w:rsidP="00356FAA">
      <w:pPr>
        <w:pStyle w:val="TOC2"/>
        <w:rPr>
          <w:rFonts w:asciiTheme="minorHAnsi" w:eastAsiaTheme="minorEastAsia" w:hAnsiTheme="minorHAnsi" w:cstheme="minorBidi"/>
          <w:sz w:val="22"/>
          <w:szCs w:val="22"/>
        </w:rPr>
      </w:pPr>
      <w:hyperlink w:anchor="_Toc12795211" w:history="1">
        <w:r w:rsidR="001E471C" w:rsidRPr="001E471C">
          <w:rPr>
            <w:rStyle w:val="Hyperlink"/>
            <w:rFonts w:eastAsiaTheme="majorEastAsia"/>
          </w:rPr>
          <w:t>6.7 Interregional Transfers</w:t>
        </w:r>
        <w:r w:rsidR="001E471C" w:rsidRPr="001E471C">
          <w:rPr>
            <w:webHidden/>
          </w:rPr>
          <w:tab/>
        </w:r>
        <w:r w:rsidR="001E471C" w:rsidRPr="001E471C">
          <w:rPr>
            <w:webHidden/>
          </w:rPr>
          <w:fldChar w:fldCharType="begin"/>
        </w:r>
        <w:r w:rsidR="001E471C" w:rsidRPr="001E471C">
          <w:rPr>
            <w:webHidden/>
          </w:rPr>
          <w:instrText xml:space="preserve"> PAGEREF _Toc12795211 \h </w:instrText>
        </w:r>
        <w:r w:rsidR="001E471C" w:rsidRPr="001E471C">
          <w:rPr>
            <w:webHidden/>
          </w:rPr>
        </w:r>
        <w:r w:rsidR="001E471C" w:rsidRPr="001E471C">
          <w:rPr>
            <w:webHidden/>
          </w:rPr>
          <w:fldChar w:fldCharType="separate"/>
        </w:r>
        <w:r w:rsidR="00E353DF">
          <w:rPr>
            <w:webHidden/>
          </w:rPr>
          <w:t>110</w:t>
        </w:r>
        <w:r w:rsidR="001E471C" w:rsidRPr="001E471C">
          <w:rPr>
            <w:webHidden/>
          </w:rPr>
          <w:fldChar w:fldCharType="end"/>
        </w:r>
      </w:hyperlink>
    </w:p>
    <w:p w14:paraId="19A21B96" w14:textId="4B1884A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12" w:history="1">
        <w:r w:rsidR="001E471C" w:rsidRPr="001E471C">
          <w:rPr>
            <w:rStyle w:val="Hyperlink"/>
            <w:rFonts w:eastAsiaTheme="majorEastAsia"/>
            <w:b w:val="0"/>
          </w:rPr>
          <w:t>6.7.1 Import Capabilities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_Toc12795212 \h </w:instrText>
        </w:r>
        <w:r w:rsidR="001E471C" w:rsidRPr="001E471C">
          <w:rPr>
            <w:b w:val="0"/>
            <w:webHidden/>
          </w:rPr>
        </w:r>
        <w:r w:rsidR="001E471C" w:rsidRPr="001E471C">
          <w:rPr>
            <w:b w:val="0"/>
            <w:webHidden/>
          </w:rPr>
          <w:fldChar w:fldCharType="separate"/>
        </w:r>
        <w:r w:rsidR="00E353DF">
          <w:rPr>
            <w:b w:val="0"/>
            <w:webHidden/>
          </w:rPr>
          <w:t>110</w:t>
        </w:r>
        <w:r w:rsidR="001E471C" w:rsidRPr="001E471C">
          <w:rPr>
            <w:b w:val="0"/>
            <w:webHidden/>
          </w:rPr>
          <w:fldChar w:fldCharType="end"/>
        </w:r>
      </w:hyperlink>
    </w:p>
    <w:p w14:paraId="7B08F9BE" w14:textId="46F42FA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13" w:history="1">
        <w:r w:rsidR="001E471C" w:rsidRPr="001E471C">
          <w:rPr>
            <w:rStyle w:val="Hyperlink"/>
            <w:rFonts w:eastAsiaTheme="majorEastAsia"/>
            <w:b w:val="0"/>
          </w:rPr>
          <w:t>6.7.2 Avoided New England Emissions due to Imports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_Toc12795213 \h </w:instrText>
        </w:r>
        <w:r w:rsidR="001E471C" w:rsidRPr="001E471C">
          <w:rPr>
            <w:b w:val="0"/>
            <w:webHidden/>
          </w:rPr>
        </w:r>
        <w:r w:rsidR="001E471C" w:rsidRPr="001E471C">
          <w:rPr>
            <w:b w:val="0"/>
            <w:webHidden/>
          </w:rPr>
          <w:fldChar w:fldCharType="separate"/>
        </w:r>
        <w:r w:rsidR="00E353DF">
          <w:rPr>
            <w:b w:val="0"/>
            <w:webHidden/>
          </w:rPr>
          <w:t>112</w:t>
        </w:r>
        <w:r w:rsidR="001E471C" w:rsidRPr="001E471C">
          <w:rPr>
            <w:b w:val="0"/>
            <w:webHidden/>
          </w:rPr>
          <w:fldChar w:fldCharType="end"/>
        </w:r>
      </w:hyperlink>
    </w:p>
    <w:p w14:paraId="2261ED54" w14:textId="259A7C3D" w:rsidR="001E471C" w:rsidRPr="001E471C" w:rsidRDefault="009D7B65" w:rsidP="00356FAA">
      <w:pPr>
        <w:pStyle w:val="TOC2"/>
        <w:rPr>
          <w:rFonts w:asciiTheme="minorHAnsi" w:eastAsiaTheme="minorEastAsia" w:hAnsiTheme="minorHAnsi" w:cstheme="minorBidi"/>
          <w:sz w:val="22"/>
          <w:szCs w:val="22"/>
        </w:rPr>
      </w:pPr>
      <w:hyperlink w:anchor="_Toc12795214" w:history="1">
        <w:r w:rsidR="001E471C" w:rsidRPr="001E471C">
          <w:rPr>
            <w:rStyle w:val="Hyperlink"/>
            <w:rFonts w:eastAsiaTheme="majorEastAsia"/>
          </w:rPr>
          <w:t>6.8 Summary</w:t>
        </w:r>
        <w:r w:rsidR="001E471C" w:rsidRPr="001E471C">
          <w:rPr>
            <w:webHidden/>
          </w:rPr>
          <w:tab/>
        </w:r>
        <w:r w:rsidR="001E471C" w:rsidRPr="001E471C">
          <w:rPr>
            <w:webHidden/>
          </w:rPr>
          <w:fldChar w:fldCharType="begin"/>
        </w:r>
        <w:r w:rsidR="001E471C" w:rsidRPr="001E471C">
          <w:rPr>
            <w:webHidden/>
          </w:rPr>
          <w:instrText xml:space="preserve"> PAGEREF _Toc12795214 \h </w:instrText>
        </w:r>
        <w:r w:rsidR="001E471C" w:rsidRPr="001E471C">
          <w:rPr>
            <w:webHidden/>
          </w:rPr>
        </w:r>
        <w:r w:rsidR="001E471C" w:rsidRPr="001E471C">
          <w:rPr>
            <w:webHidden/>
          </w:rPr>
          <w:fldChar w:fldCharType="separate"/>
        </w:r>
        <w:r w:rsidR="00E353DF">
          <w:rPr>
            <w:webHidden/>
          </w:rPr>
          <w:t>113</w:t>
        </w:r>
        <w:r w:rsidR="001E471C" w:rsidRPr="001E471C">
          <w:rPr>
            <w:webHidden/>
          </w:rPr>
          <w:fldChar w:fldCharType="end"/>
        </w:r>
      </w:hyperlink>
    </w:p>
    <w:p w14:paraId="21DA7A5F" w14:textId="707D66FB" w:rsidR="001E471C" w:rsidRDefault="009D7B65" w:rsidP="00356FAA">
      <w:pPr>
        <w:pStyle w:val="TOC1"/>
        <w:rPr>
          <w:rFonts w:asciiTheme="minorHAnsi" w:eastAsiaTheme="minorEastAsia" w:hAnsiTheme="minorHAnsi" w:cstheme="minorBidi"/>
          <w:b w:val="0"/>
          <w:sz w:val="22"/>
          <w:szCs w:val="22"/>
        </w:rPr>
      </w:pPr>
      <w:hyperlink w:anchor="_Toc12795215" w:history="1">
        <w:r w:rsidR="001E471C" w:rsidRPr="00E97DC8">
          <w:rPr>
            <w:rStyle w:val="Hyperlink"/>
          </w:rPr>
          <w:t>Section 7</w:t>
        </w:r>
        <w:r w:rsidR="001E471C">
          <w:rPr>
            <w:rStyle w:val="Hyperlink"/>
          </w:rPr>
          <w:br/>
        </w:r>
        <w:r w:rsidR="001E471C" w:rsidRPr="00E97DC8">
          <w:rPr>
            <w:rStyle w:val="Hyperlink"/>
          </w:rPr>
          <w:t>Energy Security</w:t>
        </w:r>
        <w:r w:rsidR="001E471C">
          <w:rPr>
            <w:webHidden/>
          </w:rPr>
          <w:tab/>
        </w:r>
        <w:r w:rsidR="001E471C">
          <w:rPr>
            <w:webHidden/>
          </w:rPr>
          <w:fldChar w:fldCharType="begin"/>
        </w:r>
        <w:r w:rsidR="001E471C">
          <w:rPr>
            <w:webHidden/>
          </w:rPr>
          <w:instrText xml:space="preserve"> PAGEREF _Toc12795215 \h </w:instrText>
        </w:r>
        <w:r w:rsidR="001E471C">
          <w:rPr>
            <w:webHidden/>
          </w:rPr>
        </w:r>
        <w:r w:rsidR="001E471C">
          <w:rPr>
            <w:webHidden/>
          </w:rPr>
          <w:fldChar w:fldCharType="separate"/>
        </w:r>
        <w:r w:rsidR="00E353DF">
          <w:rPr>
            <w:webHidden/>
          </w:rPr>
          <w:t>114</w:t>
        </w:r>
        <w:r w:rsidR="001E471C">
          <w:rPr>
            <w:webHidden/>
          </w:rPr>
          <w:fldChar w:fldCharType="end"/>
        </w:r>
      </w:hyperlink>
    </w:p>
    <w:p w14:paraId="55955398" w14:textId="6853382B" w:rsidR="001E471C" w:rsidRPr="001E471C" w:rsidRDefault="009D7B65" w:rsidP="00356FAA">
      <w:pPr>
        <w:pStyle w:val="TOC2"/>
        <w:rPr>
          <w:rFonts w:asciiTheme="minorHAnsi" w:eastAsiaTheme="minorEastAsia" w:hAnsiTheme="minorHAnsi" w:cstheme="minorBidi"/>
          <w:sz w:val="22"/>
          <w:szCs w:val="22"/>
        </w:rPr>
      </w:pPr>
      <w:hyperlink w:anchor="_Toc12795216" w:history="1">
        <w:r w:rsidR="001E471C" w:rsidRPr="001E471C">
          <w:rPr>
            <w:rStyle w:val="Hyperlink"/>
            <w:rFonts w:eastAsiaTheme="majorEastAsia"/>
          </w:rPr>
          <w:t>7.1 Overview of Energy-Security Risks in New England</w:t>
        </w:r>
        <w:r w:rsidR="001E471C" w:rsidRPr="001E471C">
          <w:rPr>
            <w:webHidden/>
          </w:rPr>
          <w:tab/>
        </w:r>
        <w:r w:rsidR="001E471C" w:rsidRPr="001E471C">
          <w:rPr>
            <w:webHidden/>
          </w:rPr>
          <w:fldChar w:fldCharType="begin"/>
        </w:r>
        <w:r w:rsidR="001E471C" w:rsidRPr="001E471C">
          <w:rPr>
            <w:webHidden/>
          </w:rPr>
          <w:instrText xml:space="preserve"> PAGEREF _Toc12795216 \h </w:instrText>
        </w:r>
        <w:r w:rsidR="001E471C" w:rsidRPr="001E471C">
          <w:rPr>
            <w:webHidden/>
          </w:rPr>
        </w:r>
        <w:r w:rsidR="001E471C" w:rsidRPr="001E471C">
          <w:rPr>
            <w:webHidden/>
          </w:rPr>
          <w:fldChar w:fldCharType="separate"/>
        </w:r>
        <w:r w:rsidR="00E353DF">
          <w:rPr>
            <w:webHidden/>
          </w:rPr>
          <w:t>114</w:t>
        </w:r>
        <w:r w:rsidR="001E471C" w:rsidRPr="001E471C">
          <w:rPr>
            <w:webHidden/>
          </w:rPr>
          <w:fldChar w:fldCharType="end"/>
        </w:r>
      </w:hyperlink>
    </w:p>
    <w:p w14:paraId="5CB4DA30" w14:textId="3A1FEB29" w:rsidR="001E471C" w:rsidRPr="001E471C" w:rsidRDefault="009D7B65" w:rsidP="00356FAA">
      <w:pPr>
        <w:pStyle w:val="TOC2"/>
        <w:rPr>
          <w:rFonts w:asciiTheme="minorHAnsi" w:eastAsiaTheme="minorEastAsia" w:hAnsiTheme="minorHAnsi" w:cstheme="minorBidi"/>
          <w:sz w:val="22"/>
          <w:szCs w:val="22"/>
        </w:rPr>
      </w:pPr>
      <w:hyperlink w:anchor="_Toc12795217" w:history="1">
        <w:r w:rsidR="001E471C" w:rsidRPr="001E471C">
          <w:rPr>
            <w:rStyle w:val="Hyperlink"/>
          </w:rPr>
          <w:t>7.2 Capacity and Electric Energy Production in the Region by Fuel Type</w:t>
        </w:r>
        <w:r w:rsidR="001E471C" w:rsidRPr="001E471C">
          <w:rPr>
            <w:webHidden/>
          </w:rPr>
          <w:tab/>
        </w:r>
        <w:r w:rsidR="001E471C" w:rsidRPr="001E471C">
          <w:rPr>
            <w:webHidden/>
          </w:rPr>
          <w:fldChar w:fldCharType="begin"/>
        </w:r>
        <w:r w:rsidR="001E471C" w:rsidRPr="001E471C">
          <w:rPr>
            <w:webHidden/>
          </w:rPr>
          <w:instrText xml:space="preserve"> PAGEREF _Toc12795217 \h </w:instrText>
        </w:r>
        <w:r w:rsidR="001E471C" w:rsidRPr="001E471C">
          <w:rPr>
            <w:webHidden/>
          </w:rPr>
        </w:r>
        <w:r w:rsidR="001E471C" w:rsidRPr="001E471C">
          <w:rPr>
            <w:webHidden/>
          </w:rPr>
          <w:fldChar w:fldCharType="separate"/>
        </w:r>
        <w:r w:rsidR="00E353DF">
          <w:rPr>
            <w:webHidden/>
          </w:rPr>
          <w:t>115</w:t>
        </w:r>
        <w:r w:rsidR="001E471C" w:rsidRPr="001E471C">
          <w:rPr>
            <w:webHidden/>
          </w:rPr>
          <w:fldChar w:fldCharType="end"/>
        </w:r>
      </w:hyperlink>
    </w:p>
    <w:p w14:paraId="212359D4" w14:textId="7D8C7174" w:rsidR="001E471C" w:rsidRPr="001E471C" w:rsidRDefault="009D7B65" w:rsidP="00356FAA">
      <w:pPr>
        <w:pStyle w:val="TOC2"/>
        <w:rPr>
          <w:rFonts w:asciiTheme="minorHAnsi" w:eastAsiaTheme="minorEastAsia" w:hAnsiTheme="minorHAnsi" w:cstheme="minorBidi"/>
          <w:sz w:val="22"/>
          <w:szCs w:val="22"/>
        </w:rPr>
      </w:pPr>
      <w:hyperlink w:anchor="_Toc12795218" w:history="1">
        <w:r w:rsidR="001E471C" w:rsidRPr="001E471C">
          <w:rPr>
            <w:rStyle w:val="Hyperlink"/>
          </w:rPr>
          <w:t>7.3 Natural Gas Infrastructure</w:t>
        </w:r>
        <w:r w:rsidR="001E471C" w:rsidRPr="001E471C">
          <w:rPr>
            <w:webHidden/>
          </w:rPr>
          <w:tab/>
        </w:r>
        <w:r w:rsidR="001E471C" w:rsidRPr="001E471C">
          <w:rPr>
            <w:webHidden/>
          </w:rPr>
          <w:fldChar w:fldCharType="begin"/>
        </w:r>
        <w:r w:rsidR="001E471C" w:rsidRPr="001E471C">
          <w:rPr>
            <w:webHidden/>
          </w:rPr>
          <w:instrText xml:space="preserve"> PAGEREF _Toc12795218 \h </w:instrText>
        </w:r>
        <w:r w:rsidR="001E471C" w:rsidRPr="001E471C">
          <w:rPr>
            <w:webHidden/>
          </w:rPr>
        </w:r>
        <w:r w:rsidR="001E471C" w:rsidRPr="001E471C">
          <w:rPr>
            <w:webHidden/>
          </w:rPr>
          <w:fldChar w:fldCharType="separate"/>
        </w:r>
        <w:r w:rsidR="00E353DF">
          <w:rPr>
            <w:webHidden/>
          </w:rPr>
          <w:t>117</w:t>
        </w:r>
        <w:r w:rsidR="001E471C" w:rsidRPr="001E471C">
          <w:rPr>
            <w:webHidden/>
          </w:rPr>
          <w:fldChar w:fldCharType="end"/>
        </w:r>
      </w:hyperlink>
    </w:p>
    <w:p w14:paraId="6439CD31" w14:textId="0FD04B8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19" w:history="1">
        <w:r w:rsidR="001E471C" w:rsidRPr="001E471C">
          <w:rPr>
            <w:rStyle w:val="Hyperlink"/>
            <w:rFonts w:eastAsiaTheme="majorEastAsia"/>
            <w:b w:val="0"/>
          </w:rPr>
          <w:t>7.3.1</w:t>
        </w:r>
        <w:r w:rsidR="001E471C" w:rsidRPr="001E471C">
          <w:rPr>
            <w:rStyle w:val="Hyperlink"/>
            <w:rFonts w:eastAsiaTheme="majorEastAsia"/>
            <w:b w:val="0"/>
            <w:bCs/>
          </w:rPr>
          <w:t xml:space="preserve"> Natural Gas Pipelines and LNG Terminals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_Toc12795219 \h </w:instrText>
        </w:r>
        <w:r w:rsidR="001E471C" w:rsidRPr="001E471C">
          <w:rPr>
            <w:b w:val="0"/>
            <w:webHidden/>
          </w:rPr>
        </w:r>
        <w:r w:rsidR="001E471C" w:rsidRPr="001E471C">
          <w:rPr>
            <w:b w:val="0"/>
            <w:webHidden/>
          </w:rPr>
          <w:fldChar w:fldCharType="separate"/>
        </w:r>
        <w:r w:rsidR="00E353DF">
          <w:rPr>
            <w:b w:val="0"/>
            <w:webHidden/>
          </w:rPr>
          <w:t>117</w:t>
        </w:r>
        <w:r w:rsidR="001E471C" w:rsidRPr="001E471C">
          <w:rPr>
            <w:b w:val="0"/>
            <w:webHidden/>
          </w:rPr>
          <w:fldChar w:fldCharType="end"/>
        </w:r>
      </w:hyperlink>
    </w:p>
    <w:p w14:paraId="1881ACF7" w14:textId="0291C429"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20" w:history="1">
        <w:r w:rsidR="001E471C" w:rsidRPr="001E471C">
          <w:rPr>
            <w:rStyle w:val="Hyperlink"/>
            <w:rFonts w:eastAsiaTheme="majorEastAsia"/>
            <w:b w:val="0"/>
          </w:rPr>
          <w:t>7.3.2</w:t>
        </w:r>
        <w:r w:rsidR="001E471C" w:rsidRPr="001E471C">
          <w:rPr>
            <w:rStyle w:val="Hyperlink"/>
            <w:rFonts w:eastAsiaTheme="majorEastAsia"/>
            <w:b w:val="0"/>
            <w:bCs/>
          </w:rPr>
          <w:t xml:space="preserve"> Pipeline Improvements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_Toc12795220 \h </w:instrText>
        </w:r>
        <w:r w:rsidR="001E471C" w:rsidRPr="001E471C">
          <w:rPr>
            <w:b w:val="0"/>
            <w:webHidden/>
          </w:rPr>
        </w:r>
        <w:r w:rsidR="001E471C" w:rsidRPr="001E471C">
          <w:rPr>
            <w:b w:val="0"/>
            <w:webHidden/>
          </w:rPr>
          <w:fldChar w:fldCharType="separate"/>
        </w:r>
        <w:r w:rsidR="00E353DF">
          <w:rPr>
            <w:b w:val="0"/>
            <w:webHidden/>
          </w:rPr>
          <w:t>119</w:t>
        </w:r>
        <w:r w:rsidR="001E471C" w:rsidRPr="001E471C">
          <w:rPr>
            <w:b w:val="0"/>
            <w:webHidden/>
          </w:rPr>
          <w:fldChar w:fldCharType="end"/>
        </w:r>
      </w:hyperlink>
    </w:p>
    <w:p w14:paraId="41D5433E" w14:textId="370E7546" w:rsidR="001E471C" w:rsidRPr="001E471C" w:rsidRDefault="009D7B65" w:rsidP="00356FAA">
      <w:pPr>
        <w:pStyle w:val="TOC2"/>
        <w:rPr>
          <w:rFonts w:asciiTheme="minorHAnsi" w:eastAsiaTheme="minorEastAsia" w:hAnsiTheme="minorHAnsi" w:cstheme="minorBidi"/>
          <w:sz w:val="22"/>
          <w:szCs w:val="22"/>
        </w:rPr>
      </w:pPr>
      <w:hyperlink w:anchor="_Toc12795221" w:history="1">
        <w:r w:rsidR="001E471C" w:rsidRPr="001E471C">
          <w:rPr>
            <w:rStyle w:val="Hyperlink"/>
          </w:rPr>
          <w:t>7.4 Natural Gas and Oil Price Volatility</w:t>
        </w:r>
        <w:r w:rsidR="001E471C" w:rsidRPr="001E471C">
          <w:rPr>
            <w:webHidden/>
          </w:rPr>
          <w:tab/>
        </w:r>
        <w:r w:rsidR="001E471C" w:rsidRPr="001E471C">
          <w:rPr>
            <w:webHidden/>
          </w:rPr>
          <w:fldChar w:fldCharType="begin"/>
        </w:r>
        <w:r w:rsidR="001E471C" w:rsidRPr="001E471C">
          <w:rPr>
            <w:webHidden/>
          </w:rPr>
          <w:instrText xml:space="preserve"> PAGEREF _Toc12795221 \h </w:instrText>
        </w:r>
        <w:r w:rsidR="001E471C" w:rsidRPr="001E471C">
          <w:rPr>
            <w:webHidden/>
          </w:rPr>
        </w:r>
        <w:r w:rsidR="001E471C" w:rsidRPr="001E471C">
          <w:rPr>
            <w:webHidden/>
          </w:rPr>
          <w:fldChar w:fldCharType="separate"/>
        </w:r>
        <w:r w:rsidR="00E353DF">
          <w:rPr>
            <w:webHidden/>
          </w:rPr>
          <w:t>121</w:t>
        </w:r>
        <w:r w:rsidR="001E471C" w:rsidRPr="001E471C">
          <w:rPr>
            <w:webHidden/>
          </w:rPr>
          <w:fldChar w:fldCharType="end"/>
        </w:r>
      </w:hyperlink>
    </w:p>
    <w:p w14:paraId="2D816E40" w14:textId="555D6936" w:rsidR="001E471C" w:rsidRPr="001E471C" w:rsidRDefault="009D7B65" w:rsidP="00356FAA">
      <w:pPr>
        <w:pStyle w:val="TOC2"/>
        <w:rPr>
          <w:rFonts w:asciiTheme="minorHAnsi" w:eastAsiaTheme="minorEastAsia" w:hAnsiTheme="minorHAnsi" w:cstheme="minorBidi"/>
          <w:sz w:val="22"/>
          <w:szCs w:val="22"/>
        </w:rPr>
      </w:pPr>
      <w:hyperlink w:anchor="_Toc12795222" w:history="1">
        <w:r w:rsidR="001E471C" w:rsidRPr="001E471C">
          <w:rPr>
            <w:rStyle w:val="Hyperlink"/>
          </w:rPr>
          <w:t>7.5 Fuel Constraints in New England</w:t>
        </w:r>
        <w:r w:rsidR="001E471C" w:rsidRPr="001E471C">
          <w:rPr>
            <w:webHidden/>
          </w:rPr>
          <w:tab/>
        </w:r>
        <w:r w:rsidR="001E471C" w:rsidRPr="001E471C">
          <w:rPr>
            <w:webHidden/>
          </w:rPr>
          <w:fldChar w:fldCharType="begin"/>
        </w:r>
        <w:r w:rsidR="001E471C" w:rsidRPr="001E471C">
          <w:rPr>
            <w:webHidden/>
          </w:rPr>
          <w:instrText xml:space="preserve"> PAGEREF _Toc12795222 \h </w:instrText>
        </w:r>
        <w:r w:rsidR="001E471C" w:rsidRPr="001E471C">
          <w:rPr>
            <w:webHidden/>
          </w:rPr>
        </w:r>
        <w:r w:rsidR="001E471C" w:rsidRPr="001E471C">
          <w:rPr>
            <w:webHidden/>
          </w:rPr>
          <w:fldChar w:fldCharType="separate"/>
        </w:r>
        <w:r w:rsidR="00E353DF">
          <w:rPr>
            <w:webHidden/>
          </w:rPr>
          <w:t>125</w:t>
        </w:r>
        <w:r w:rsidR="001E471C" w:rsidRPr="001E471C">
          <w:rPr>
            <w:webHidden/>
          </w:rPr>
          <w:fldChar w:fldCharType="end"/>
        </w:r>
      </w:hyperlink>
    </w:p>
    <w:p w14:paraId="596F6716" w14:textId="3A955CB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23" w:history="1">
        <w:r w:rsidR="001E471C" w:rsidRPr="001E471C">
          <w:rPr>
            <w:rStyle w:val="Hyperlink"/>
            <w:rFonts w:eastAsiaTheme="majorEastAsia"/>
            <w:b w:val="0"/>
          </w:rPr>
          <w:t>7.5.1 Fuel Constraints during Winter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_Toc12795223 \h </w:instrText>
        </w:r>
        <w:r w:rsidR="001E471C" w:rsidRPr="001E471C">
          <w:rPr>
            <w:b w:val="0"/>
            <w:webHidden/>
          </w:rPr>
        </w:r>
        <w:r w:rsidR="001E471C" w:rsidRPr="001E471C">
          <w:rPr>
            <w:b w:val="0"/>
            <w:webHidden/>
          </w:rPr>
          <w:fldChar w:fldCharType="separate"/>
        </w:r>
        <w:r w:rsidR="00E353DF">
          <w:rPr>
            <w:b w:val="0"/>
            <w:webHidden/>
          </w:rPr>
          <w:t>126</w:t>
        </w:r>
        <w:r w:rsidR="001E471C" w:rsidRPr="001E471C">
          <w:rPr>
            <w:b w:val="0"/>
            <w:webHidden/>
          </w:rPr>
          <w:fldChar w:fldCharType="end"/>
        </w:r>
      </w:hyperlink>
    </w:p>
    <w:p w14:paraId="21D2AF08" w14:textId="010BCBD9"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24" w:history="1">
        <w:r w:rsidR="001E471C" w:rsidRPr="001E471C">
          <w:rPr>
            <w:rStyle w:val="Hyperlink"/>
            <w:b w:val="0"/>
          </w:rPr>
          <w:t>7.5.2 Winter Cold Snaps and Spells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_Toc12795224 \h </w:instrText>
        </w:r>
        <w:r w:rsidR="001E471C" w:rsidRPr="001E471C">
          <w:rPr>
            <w:b w:val="0"/>
            <w:webHidden/>
          </w:rPr>
        </w:r>
        <w:r w:rsidR="001E471C" w:rsidRPr="001E471C">
          <w:rPr>
            <w:b w:val="0"/>
            <w:webHidden/>
          </w:rPr>
          <w:fldChar w:fldCharType="separate"/>
        </w:r>
        <w:r w:rsidR="00E353DF">
          <w:rPr>
            <w:b w:val="0"/>
            <w:webHidden/>
          </w:rPr>
          <w:t>126</w:t>
        </w:r>
        <w:r w:rsidR="001E471C" w:rsidRPr="001E471C">
          <w:rPr>
            <w:b w:val="0"/>
            <w:webHidden/>
          </w:rPr>
          <w:fldChar w:fldCharType="end"/>
        </w:r>
      </w:hyperlink>
    </w:p>
    <w:p w14:paraId="2A9178EF" w14:textId="6CC4A8AC" w:rsidR="001E471C" w:rsidRPr="001E471C" w:rsidRDefault="009D7B65" w:rsidP="00356FAA">
      <w:pPr>
        <w:pStyle w:val="TOC2"/>
        <w:rPr>
          <w:rFonts w:asciiTheme="minorHAnsi" w:eastAsiaTheme="minorEastAsia" w:hAnsiTheme="minorHAnsi" w:cstheme="minorBidi"/>
          <w:sz w:val="22"/>
          <w:szCs w:val="22"/>
        </w:rPr>
      </w:pPr>
      <w:hyperlink w:anchor="_Toc12795225" w:history="1">
        <w:r w:rsidR="001E471C" w:rsidRPr="001E471C">
          <w:rPr>
            <w:rStyle w:val="Hyperlink"/>
          </w:rPr>
          <w:t>7.6 Assessing the Energy-Security Risk</w:t>
        </w:r>
        <w:r w:rsidR="001E471C" w:rsidRPr="001E471C">
          <w:rPr>
            <w:webHidden/>
          </w:rPr>
          <w:tab/>
        </w:r>
        <w:r w:rsidR="001E471C" w:rsidRPr="001E471C">
          <w:rPr>
            <w:webHidden/>
          </w:rPr>
          <w:fldChar w:fldCharType="begin"/>
        </w:r>
        <w:r w:rsidR="001E471C" w:rsidRPr="001E471C">
          <w:rPr>
            <w:webHidden/>
          </w:rPr>
          <w:instrText xml:space="preserve"> PAGEREF _Toc12795225 \h </w:instrText>
        </w:r>
        <w:r w:rsidR="001E471C" w:rsidRPr="001E471C">
          <w:rPr>
            <w:webHidden/>
          </w:rPr>
        </w:r>
        <w:r w:rsidR="001E471C" w:rsidRPr="001E471C">
          <w:rPr>
            <w:webHidden/>
          </w:rPr>
          <w:fldChar w:fldCharType="separate"/>
        </w:r>
        <w:r w:rsidR="00E353DF">
          <w:rPr>
            <w:webHidden/>
          </w:rPr>
          <w:t>127</w:t>
        </w:r>
        <w:r w:rsidR="001E471C" w:rsidRPr="001E471C">
          <w:rPr>
            <w:webHidden/>
          </w:rPr>
          <w:fldChar w:fldCharType="end"/>
        </w:r>
      </w:hyperlink>
    </w:p>
    <w:p w14:paraId="29D9370D" w14:textId="309EDF26" w:rsidR="001E471C" w:rsidRPr="001E471C" w:rsidRDefault="009D7B65" w:rsidP="00356FAA">
      <w:pPr>
        <w:pStyle w:val="TOC2"/>
        <w:rPr>
          <w:rFonts w:asciiTheme="minorHAnsi" w:eastAsiaTheme="minorEastAsia" w:hAnsiTheme="minorHAnsi" w:cstheme="minorBidi"/>
          <w:sz w:val="22"/>
          <w:szCs w:val="22"/>
        </w:rPr>
      </w:pPr>
      <w:hyperlink w:anchor="_Toc12795226" w:history="1">
        <w:r w:rsidR="001E471C" w:rsidRPr="001E471C">
          <w:rPr>
            <w:rStyle w:val="Hyperlink"/>
          </w:rPr>
          <w:t>7.7 Potential Solutions</w:t>
        </w:r>
        <w:r w:rsidR="001E471C" w:rsidRPr="001E471C">
          <w:rPr>
            <w:webHidden/>
          </w:rPr>
          <w:tab/>
        </w:r>
        <w:r w:rsidR="001E471C" w:rsidRPr="001E471C">
          <w:rPr>
            <w:webHidden/>
          </w:rPr>
          <w:fldChar w:fldCharType="begin"/>
        </w:r>
        <w:r w:rsidR="001E471C" w:rsidRPr="001E471C">
          <w:rPr>
            <w:webHidden/>
          </w:rPr>
          <w:instrText xml:space="preserve"> PAGEREF _Toc12795226 \h </w:instrText>
        </w:r>
        <w:r w:rsidR="001E471C" w:rsidRPr="001E471C">
          <w:rPr>
            <w:webHidden/>
          </w:rPr>
        </w:r>
        <w:r w:rsidR="001E471C" w:rsidRPr="001E471C">
          <w:rPr>
            <w:webHidden/>
          </w:rPr>
          <w:fldChar w:fldCharType="separate"/>
        </w:r>
        <w:r w:rsidR="00E353DF">
          <w:rPr>
            <w:webHidden/>
          </w:rPr>
          <w:t>128</w:t>
        </w:r>
        <w:r w:rsidR="001E471C" w:rsidRPr="001E471C">
          <w:rPr>
            <w:webHidden/>
          </w:rPr>
          <w:fldChar w:fldCharType="end"/>
        </w:r>
      </w:hyperlink>
    </w:p>
    <w:p w14:paraId="0D21B97B" w14:textId="28326B7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27" w:history="1">
        <w:r w:rsidR="001E471C" w:rsidRPr="001E471C">
          <w:rPr>
            <w:rStyle w:val="Hyperlink"/>
            <w:b w:val="0"/>
          </w:rPr>
          <w:t>7.7.1 Operational Enhancements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_Toc12795227 \h </w:instrText>
        </w:r>
        <w:r w:rsidR="001E471C" w:rsidRPr="001E471C">
          <w:rPr>
            <w:b w:val="0"/>
            <w:webHidden/>
          </w:rPr>
        </w:r>
        <w:r w:rsidR="001E471C" w:rsidRPr="001E471C">
          <w:rPr>
            <w:b w:val="0"/>
            <w:webHidden/>
          </w:rPr>
          <w:fldChar w:fldCharType="separate"/>
        </w:r>
        <w:r w:rsidR="00E353DF">
          <w:rPr>
            <w:b w:val="0"/>
            <w:webHidden/>
          </w:rPr>
          <w:t>129</w:t>
        </w:r>
        <w:r w:rsidR="001E471C" w:rsidRPr="001E471C">
          <w:rPr>
            <w:b w:val="0"/>
            <w:webHidden/>
          </w:rPr>
          <w:fldChar w:fldCharType="end"/>
        </w:r>
      </w:hyperlink>
    </w:p>
    <w:p w14:paraId="61D5494C" w14:textId="1FEB3C52"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28" w:history="1">
        <w:r w:rsidR="001E471C" w:rsidRPr="001E471C">
          <w:rPr>
            <w:rStyle w:val="Hyperlink"/>
            <w:rFonts w:eastAsiaTheme="majorEastAsia"/>
            <w:b w:val="0"/>
          </w:rPr>
          <w:t>7.7.2 Market and Other Solutions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_Toc12795228 \h </w:instrText>
        </w:r>
        <w:r w:rsidR="001E471C" w:rsidRPr="001E471C">
          <w:rPr>
            <w:b w:val="0"/>
            <w:webHidden/>
          </w:rPr>
        </w:r>
        <w:r w:rsidR="001E471C" w:rsidRPr="001E471C">
          <w:rPr>
            <w:b w:val="0"/>
            <w:webHidden/>
          </w:rPr>
          <w:fldChar w:fldCharType="separate"/>
        </w:r>
        <w:r w:rsidR="00E353DF">
          <w:rPr>
            <w:b w:val="0"/>
            <w:webHidden/>
          </w:rPr>
          <w:t>129</w:t>
        </w:r>
        <w:r w:rsidR="001E471C" w:rsidRPr="001E471C">
          <w:rPr>
            <w:b w:val="0"/>
            <w:webHidden/>
          </w:rPr>
          <w:fldChar w:fldCharType="end"/>
        </w:r>
      </w:hyperlink>
    </w:p>
    <w:p w14:paraId="4E69C97E" w14:textId="6A97508C" w:rsidR="001E471C" w:rsidRPr="001E471C" w:rsidRDefault="009D7B65" w:rsidP="00356FAA">
      <w:pPr>
        <w:pStyle w:val="TOC2"/>
        <w:rPr>
          <w:rFonts w:asciiTheme="minorHAnsi" w:eastAsiaTheme="minorEastAsia" w:hAnsiTheme="minorHAnsi" w:cstheme="minorBidi"/>
          <w:sz w:val="22"/>
          <w:szCs w:val="22"/>
        </w:rPr>
      </w:pPr>
      <w:hyperlink w:anchor="_Toc12795229" w:history="1">
        <w:r w:rsidR="001E471C" w:rsidRPr="001E471C">
          <w:rPr>
            <w:rStyle w:val="Hyperlink"/>
          </w:rPr>
          <w:t>7.8 Summary</w:t>
        </w:r>
        <w:r w:rsidR="001E471C" w:rsidRPr="001E471C">
          <w:rPr>
            <w:webHidden/>
          </w:rPr>
          <w:tab/>
        </w:r>
        <w:r w:rsidR="001E471C" w:rsidRPr="001E471C">
          <w:rPr>
            <w:webHidden/>
          </w:rPr>
          <w:fldChar w:fldCharType="begin"/>
        </w:r>
        <w:r w:rsidR="001E471C" w:rsidRPr="001E471C">
          <w:rPr>
            <w:webHidden/>
          </w:rPr>
          <w:instrText xml:space="preserve"> PAGEREF _Toc12795229 \h </w:instrText>
        </w:r>
        <w:r w:rsidR="001E471C" w:rsidRPr="001E471C">
          <w:rPr>
            <w:webHidden/>
          </w:rPr>
        </w:r>
        <w:r w:rsidR="001E471C" w:rsidRPr="001E471C">
          <w:rPr>
            <w:webHidden/>
          </w:rPr>
          <w:fldChar w:fldCharType="separate"/>
        </w:r>
        <w:r w:rsidR="00E353DF">
          <w:rPr>
            <w:webHidden/>
          </w:rPr>
          <w:t>130</w:t>
        </w:r>
        <w:r w:rsidR="001E471C" w:rsidRPr="001E471C">
          <w:rPr>
            <w:webHidden/>
          </w:rPr>
          <w:fldChar w:fldCharType="end"/>
        </w:r>
      </w:hyperlink>
    </w:p>
    <w:p w14:paraId="4B63BB4B" w14:textId="5792D5CA" w:rsidR="001E471C" w:rsidRDefault="009D7B65" w:rsidP="00356FAA">
      <w:pPr>
        <w:pStyle w:val="TOC1"/>
        <w:rPr>
          <w:rFonts w:asciiTheme="minorHAnsi" w:eastAsiaTheme="minorEastAsia" w:hAnsiTheme="minorHAnsi" w:cstheme="minorBidi"/>
          <w:b w:val="0"/>
          <w:sz w:val="22"/>
          <w:szCs w:val="22"/>
        </w:rPr>
      </w:pPr>
      <w:hyperlink w:anchor="_Toc12795230" w:history="1">
        <w:r w:rsidR="001E471C" w:rsidRPr="00E97DC8">
          <w:rPr>
            <w:rStyle w:val="Hyperlink"/>
          </w:rPr>
          <w:t>Section 8</w:t>
        </w:r>
        <w:r w:rsidR="001E471C">
          <w:rPr>
            <w:rStyle w:val="Hyperlink"/>
          </w:rPr>
          <w:br/>
        </w:r>
        <w:r w:rsidR="001E471C" w:rsidRPr="00E97DC8">
          <w:rPr>
            <w:rStyle w:val="Hyperlink"/>
          </w:rPr>
          <w:t>Environmental Regulations and Goals Affecting the Power System</w:t>
        </w:r>
        <w:r w:rsidR="001E471C">
          <w:rPr>
            <w:webHidden/>
          </w:rPr>
          <w:tab/>
        </w:r>
        <w:r w:rsidR="001E471C">
          <w:rPr>
            <w:webHidden/>
          </w:rPr>
          <w:fldChar w:fldCharType="begin"/>
        </w:r>
        <w:r w:rsidR="001E471C">
          <w:rPr>
            <w:webHidden/>
          </w:rPr>
          <w:instrText xml:space="preserve"> PAGEREF _Toc12795230 \h </w:instrText>
        </w:r>
        <w:r w:rsidR="001E471C">
          <w:rPr>
            <w:webHidden/>
          </w:rPr>
        </w:r>
        <w:r w:rsidR="001E471C">
          <w:rPr>
            <w:webHidden/>
          </w:rPr>
          <w:fldChar w:fldCharType="separate"/>
        </w:r>
        <w:r w:rsidR="00E353DF">
          <w:rPr>
            <w:webHidden/>
          </w:rPr>
          <w:t>132</w:t>
        </w:r>
        <w:r w:rsidR="001E471C">
          <w:rPr>
            <w:webHidden/>
          </w:rPr>
          <w:fldChar w:fldCharType="end"/>
        </w:r>
      </w:hyperlink>
    </w:p>
    <w:p w14:paraId="4C1501E4" w14:textId="0023B062" w:rsidR="001E471C" w:rsidRPr="001E471C" w:rsidRDefault="009D7B65" w:rsidP="00356FAA">
      <w:pPr>
        <w:pStyle w:val="TOC2"/>
        <w:rPr>
          <w:rFonts w:asciiTheme="minorHAnsi" w:eastAsiaTheme="minorEastAsia" w:hAnsiTheme="minorHAnsi" w:cstheme="minorBidi"/>
          <w:sz w:val="22"/>
          <w:szCs w:val="22"/>
        </w:rPr>
      </w:pPr>
      <w:hyperlink w:anchor="_Toc12795231" w:history="1">
        <w:r w:rsidR="001E471C" w:rsidRPr="001E471C">
          <w:rPr>
            <w:rStyle w:val="Hyperlink"/>
          </w:rPr>
          <w:t>8.1 Federal Environmental Regulations Affecting Generators</w:t>
        </w:r>
        <w:r w:rsidR="001E471C" w:rsidRPr="001E471C">
          <w:rPr>
            <w:webHidden/>
          </w:rPr>
          <w:tab/>
        </w:r>
        <w:r w:rsidR="001E471C" w:rsidRPr="001E471C">
          <w:rPr>
            <w:webHidden/>
          </w:rPr>
          <w:fldChar w:fldCharType="begin"/>
        </w:r>
        <w:r w:rsidR="001E471C" w:rsidRPr="001E471C">
          <w:rPr>
            <w:webHidden/>
          </w:rPr>
          <w:instrText xml:space="preserve"> PAGEREF _Toc12795231 \h </w:instrText>
        </w:r>
        <w:r w:rsidR="001E471C" w:rsidRPr="001E471C">
          <w:rPr>
            <w:webHidden/>
          </w:rPr>
        </w:r>
        <w:r w:rsidR="001E471C" w:rsidRPr="001E471C">
          <w:rPr>
            <w:webHidden/>
          </w:rPr>
          <w:fldChar w:fldCharType="separate"/>
        </w:r>
        <w:r w:rsidR="00E353DF">
          <w:rPr>
            <w:webHidden/>
          </w:rPr>
          <w:t>132</w:t>
        </w:r>
        <w:r w:rsidR="001E471C" w:rsidRPr="001E471C">
          <w:rPr>
            <w:webHidden/>
          </w:rPr>
          <w:fldChar w:fldCharType="end"/>
        </w:r>
      </w:hyperlink>
    </w:p>
    <w:p w14:paraId="5CF652E8" w14:textId="4C3CCF8C"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32" w:history="1">
        <w:r w:rsidR="001E471C" w:rsidRPr="001E471C">
          <w:rPr>
            <w:rStyle w:val="Hyperlink"/>
            <w:rFonts w:eastAsiaTheme="majorEastAsia"/>
            <w:b w:val="0"/>
          </w:rPr>
          <w:t>8.1.1 Impact of US Clean Water Act Regulations on the Region’s Generators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_Toc12795232 \h </w:instrText>
        </w:r>
        <w:r w:rsidR="001E471C" w:rsidRPr="001E471C">
          <w:rPr>
            <w:b w:val="0"/>
            <w:webHidden/>
          </w:rPr>
        </w:r>
        <w:r w:rsidR="001E471C" w:rsidRPr="001E471C">
          <w:rPr>
            <w:b w:val="0"/>
            <w:webHidden/>
          </w:rPr>
          <w:fldChar w:fldCharType="separate"/>
        </w:r>
        <w:r w:rsidR="00E353DF">
          <w:rPr>
            <w:b w:val="0"/>
            <w:webHidden/>
          </w:rPr>
          <w:t>133</w:t>
        </w:r>
        <w:r w:rsidR="001E471C" w:rsidRPr="001E471C">
          <w:rPr>
            <w:b w:val="0"/>
            <w:webHidden/>
          </w:rPr>
          <w:fldChar w:fldCharType="end"/>
        </w:r>
      </w:hyperlink>
    </w:p>
    <w:p w14:paraId="70D76844" w14:textId="3C508D58"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33" w:history="1">
        <w:r w:rsidR="001E471C" w:rsidRPr="001E471C">
          <w:rPr>
            <w:rStyle w:val="Hyperlink"/>
            <w:rFonts w:eastAsiaTheme="majorEastAsia"/>
            <w:b w:val="0"/>
          </w:rPr>
          <w:t xml:space="preserve">8.1.2 US </w:t>
        </w:r>
        <w:r w:rsidR="001E471C" w:rsidRPr="001E471C">
          <w:rPr>
            <w:rStyle w:val="Hyperlink"/>
            <w:rFonts w:eastAsiaTheme="majorEastAsia"/>
            <w:b w:val="0"/>
            <w:i/>
          </w:rPr>
          <w:t>Clean Air Act</w:t>
        </w:r>
        <w:r w:rsidR="001E471C" w:rsidRPr="001E471C">
          <w:rPr>
            <w:rStyle w:val="Hyperlink"/>
            <w:rFonts w:eastAsiaTheme="majorEastAsia"/>
            <w:b w:val="0"/>
          </w:rPr>
          <w:t xml:space="preserve"> Requirements and Federal Greenhouse Gas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_Toc12795233 \h </w:instrText>
        </w:r>
        <w:r w:rsidR="001E471C" w:rsidRPr="001E471C">
          <w:rPr>
            <w:b w:val="0"/>
            <w:webHidden/>
          </w:rPr>
        </w:r>
        <w:r w:rsidR="001E471C" w:rsidRPr="001E471C">
          <w:rPr>
            <w:b w:val="0"/>
            <w:webHidden/>
          </w:rPr>
          <w:fldChar w:fldCharType="separate"/>
        </w:r>
        <w:r w:rsidR="00E353DF">
          <w:rPr>
            <w:b w:val="0"/>
            <w:webHidden/>
          </w:rPr>
          <w:t>138</w:t>
        </w:r>
        <w:r w:rsidR="001E471C" w:rsidRPr="001E471C">
          <w:rPr>
            <w:b w:val="0"/>
            <w:webHidden/>
          </w:rPr>
          <w:fldChar w:fldCharType="end"/>
        </w:r>
      </w:hyperlink>
    </w:p>
    <w:p w14:paraId="12C7FEAE" w14:textId="5063F51E" w:rsidR="001E471C" w:rsidRPr="001E471C" w:rsidRDefault="009D7B65" w:rsidP="00356FAA">
      <w:pPr>
        <w:pStyle w:val="TOC2"/>
        <w:rPr>
          <w:rFonts w:asciiTheme="minorHAnsi" w:eastAsiaTheme="minorEastAsia" w:hAnsiTheme="minorHAnsi" w:cstheme="minorBidi"/>
          <w:sz w:val="22"/>
          <w:szCs w:val="22"/>
        </w:rPr>
      </w:pPr>
      <w:hyperlink w:anchor="_Toc12795234" w:history="1">
        <w:r w:rsidR="001E471C" w:rsidRPr="001E471C">
          <w:rPr>
            <w:rStyle w:val="Hyperlink"/>
            <w:rFonts w:eastAsiaTheme="majorEastAsia"/>
          </w:rPr>
          <w:t>8.2 Regional and State Greenhouse Gas Regulations and Goals</w:t>
        </w:r>
        <w:r w:rsidR="001E471C" w:rsidRPr="001E471C">
          <w:rPr>
            <w:webHidden/>
          </w:rPr>
          <w:tab/>
        </w:r>
        <w:r w:rsidR="001E471C" w:rsidRPr="001E471C">
          <w:rPr>
            <w:webHidden/>
          </w:rPr>
          <w:fldChar w:fldCharType="begin"/>
        </w:r>
        <w:r w:rsidR="001E471C" w:rsidRPr="001E471C">
          <w:rPr>
            <w:webHidden/>
          </w:rPr>
          <w:instrText xml:space="preserve"> PAGEREF _Toc12795234 \h </w:instrText>
        </w:r>
        <w:r w:rsidR="001E471C" w:rsidRPr="001E471C">
          <w:rPr>
            <w:webHidden/>
          </w:rPr>
        </w:r>
        <w:r w:rsidR="001E471C" w:rsidRPr="001E471C">
          <w:rPr>
            <w:webHidden/>
          </w:rPr>
          <w:fldChar w:fldCharType="separate"/>
        </w:r>
        <w:r w:rsidR="00E353DF">
          <w:rPr>
            <w:webHidden/>
          </w:rPr>
          <w:t>141</w:t>
        </w:r>
        <w:r w:rsidR="001E471C" w:rsidRPr="001E471C">
          <w:rPr>
            <w:webHidden/>
          </w:rPr>
          <w:fldChar w:fldCharType="end"/>
        </w:r>
      </w:hyperlink>
    </w:p>
    <w:p w14:paraId="1D8203FF" w14:textId="268D38B0"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35" w:history="1">
        <w:r w:rsidR="001E471C" w:rsidRPr="001E471C">
          <w:rPr>
            <w:rStyle w:val="Hyperlink"/>
            <w:rFonts w:eastAsiaTheme="majorEastAsia"/>
            <w:b w:val="0"/>
          </w:rPr>
          <w:t>8.2.1 Regional Greenhouse Gas Initiative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_Toc12795235 \h </w:instrText>
        </w:r>
        <w:r w:rsidR="001E471C" w:rsidRPr="001E471C">
          <w:rPr>
            <w:b w:val="0"/>
            <w:webHidden/>
          </w:rPr>
        </w:r>
        <w:r w:rsidR="001E471C" w:rsidRPr="001E471C">
          <w:rPr>
            <w:b w:val="0"/>
            <w:webHidden/>
          </w:rPr>
          <w:fldChar w:fldCharType="separate"/>
        </w:r>
        <w:r w:rsidR="00E353DF">
          <w:rPr>
            <w:b w:val="0"/>
            <w:webHidden/>
          </w:rPr>
          <w:t>143</w:t>
        </w:r>
        <w:r w:rsidR="001E471C" w:rsidRPr="001E471C">
          <w:rPr>
            <w:b w:val="0"/>
            <w:webHidden/>
          </w:rPr>
          <w:fldChar w:fldCharType="end"/>
        </w:r>
      </w:hyperlink>
    </w:p>
    <w:p w14:paraId="1FE01C9D" w14:textId="708BFB2B"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36" w:history="1">
        <w:r w:rsidR="001E471C" w:rsidRPr="001E471C">
          <w:rPr>
            <w:rStyle w:val="Hyperlink"/>
            <w:rFonts w:eastAsiaTheme="majorEastAsia"/>
            <w:b w:val="0"/>
          </w:rPr>
          <w:t>8.2.2 Electrification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_Toc12795236 \h </w:instrText>
        </w:r>
        <w:r w:rsidR="001E471C" w:rsidRPr="001E471C">
          <w:rPr>
            <w:b w:val="0"/>
            <w:webHidden/>
          </w:rPr>
        </w:r>
        <w:r w:rsidR="001E471C" w:rsidRPr="001E471C">
          <w:rPr>
            <w:b w:val="0"/>
            <w:webHidden/>
          </w:rPr>
          <w:fldChar w:fldCharType="separate"/>
        </w:r>
        <w:r w:rsidR="00E353DF">
          <w:rPr>
            <w:b w:val="0"/>
            <w:webHidden/>
          </w:rPr>
          <w:t>144</w:t>
        </w:r>
        <w:r w:rsidR="001E471C" w:rsidRPr="001E471C">
          <w:rPr>
            <w:b w:val="0"/>
            <w:webHidden/>
          </w:rPr>
          <w:fldChar w:fldCharType="end"/>
        </w:r>
      </w:hyperlink>
    </w:p>
    <w:p w14:paraId="73B677BE" w14:textId="49A41ACB" w:rsidR="001E471C" w:rsidRPr="001E471C" w:rsidRDefault="009D7B65" w:rsidP="00356FAA">
      <w:pPr>
        <w:pStyle w:val="TOC2"/>
        <w:rPr>
          <w:rFonts w:asciiTheme="minorHAnsi" w:eastAsiaTheme="minorEastAsia" w:hAnsiTheme="minorHAnsi" w:cstheme="minorBidi"/>
          <w:sz w:val="22"/>
          <w:szCs w:val="22"/>
        </w:rPr>
      </w:pPr>
      <w:hyperlink w:anchor="_Toc12795237" w:history="1">
        <w:r w:rsidR="001E471C" w:rsidRPr="001E471C">
          <w:rPr>
            <w:rStyle w:val="Hyperlink"/>
            <w:rFonts w:eastAsiaTheme="majorEastAsia"/>
          </w:rPr>
          <w:t>8.3 Renewable Portfolio Standards</w:t>
        </w:r>
        <w:r w:rsidR="001E471C" w:rsidRPr="001E471C">
          <w:rPr>
            <w:webHidden/>
          </w:rPr>
          <w:tab/>
        </w:r>
        <w:r w:rsidR="001E471C" w:rsidRPr="001E471C">
          <w:rPr>
            <w:webHidden/>
          </w:rPr>
          <w:fldChar w:fldCharType="begin"/>
        </w:r>
        <w:r w:rsidR="001E471C" w:rsidRPr="001E471C">
          <w:rPr>
            <w:webHidden/>
          </w:rPr>
          <w:instrText xml:space="preserve"> PAGEREF _Toc12795237 \h </w:instrText>
        </w:r>
        <w:r w:rsidR="001E471C" w:rsidRPr="001E471C">
          <w:rPr>
            <w:webHidden/>
          </w:rPr>
        </w:r>
        <w:r w:rsidR="001E471C" w:rsidRPr="001E471C">
          <w:rPr>
            <w:webHidden/>
          </w:rPr>
          <w:fldChar w:fldCharType="separate"/>
        </w:r>
        <w:r w:rsidR="00E353DF">
          <w:rPr>
            <w:webHidden/>
          </w:rPr>
          <w:t>145</w:t>
        </w:r>
        <w:r w:rsidR="001E471C" w:rsidRPr="001E471C">
          <w:rPr>
            <w:webHidden/>
          </w:rPr>
          <w:fldChar w:fldCharType="end"/>
        </w:r>
      </w:hyperlink>
    </w:p>
    <w:p w14:paraId="3A1CA384" w14:textId="3F90F8EF" w:rsidR="001E471C" w:rsidRPr="001E471C" w:rsidRDefault="009D7B65" w:rsidP="00356FAA">
      <w:pPr>
        <w:pStyle w:val="TOC2"/>
        <w:rPr>
          <w:rFonts w:asciiTheme="minorHAnsi" w:eastAsiaTheme="minorEastAsia" w:hAnsiTheme="minorHAnsi" w:cstheme="minorBidi"/>
          <w:sz w:val="22"/>
          <w:szCs w:val="22"/>
        </w:rPr>
      </w:pPr>
      <w:hyperlink w:anchor="_Toc12795238" w:history="1">
        <w:r w:rsidR="001E471C" w:rsidRPr="001E471C">
          <w:rPr>
            <w:rStyle w:val="Hyperlink"/>
          </w:rPr>
          <w:t>8.4 State Requests for Proposals to Procure Renewables</w:t>
        </w:r>
        <w:r w:rsidR="001E471C" w:rsidRPr="001E471C">
          <w:rPr>
            <w:webHidden/>
          </w:rPr>
          <w:tab/>
        </w:r>
        <w:r w:rsidR="001E471C" w:rsidRPr="001E471C">
          <w:rPr>
            <w:webHidden/>
          </w:rPr>
          <w:fldChar w:fldCharType="begin"/>
        </w:r>
        <w:r w:rsidR="001E471C" w:rsidRPr="001E471C">
          <w:rPr>
            <w:webHidden/>
          </w:rPr>
          <w:instrText xml:space="preserve"> PAGEREF _Toc12795238 \h </w:instrText>
        </w:r>
        <w:r w:rsidR="001E471C" w:rsidRPr="001E471C">
          <w:rPr>
            <w:webHidden/>
          </w:rPr>
        </w:r>
        <w:r w:rsidR="001E471C" w:rsidRPr="001E471C">
          <w:rPr>
            <w:webHidden/>
          </w:rPr>
          <w:fldChar w:fldCharType="separate"/>
        </w:r>
        <w:r w:rsidR="00E353DF">
          <w:rPr>
            <w:webHidden/>
          </w:rPr>
          <w:t>146</w:t>
        </w:r>
        <w:r w:rsidR="001E471C" w:rsidRPr="001E471C">
          <w:rPr>
            <w:webHidden/>
          </w:rPr>
          <w:fldChar w:fldCharType="end"/>
        </w:r>
      </w:hyperlink>
    </w:p>
    <w:p w14:paraId="77B9E394" w14:textId="6CC5AFB3" w:rsidR="001E471C" w:rsidRPr="001E471C" w:rsidRDefault="009D7B65" w:rsidP="00356FAA">
      <w:pPr>
        <w:pStyle w:val="TOC2"/>
        <w:rPr>
          <w:rFonts w:asciiTheme="minorHAnsi" w:eastAsiaTheme="minorEastAsia" w:hAnsiTheme="minorHAnsi" w:cstheme="minorBidi"/>
          <w:sz w:val="22"/>
          <w:szCs w:val="22"/>
        </w:rPr>
      </w:pPr>
      <w:hyperlink w:anchor="_Toc12795239" w:history="1">
        <w:r w:rsidR="001E471C" w:rsidRPr="001E471C">
          <w:rPr>
            <w:rStyle w:val="Hyperlink"/>
            <w:rFonts w:eastAsiaTheme="majorEastAsia"/>
          </w:rPr>
          <w:t>8.5 Regional Emissions Trends and Compliance Costs</w:t>
        </w:r>
        <w:r w:rsidR="001E471C" w:rsidRPr="001E471C">
          <w:rPr>
            <w:webHidden/>
          </w:rPr>
          <w:tab/>
        </w:r>
        <w:r w:rsidR="001E471C" w:rsidRPr="001E471C">
          <w:rPr>
            <w:webHidden/>
          </w:rPr>
          <w:fldChar w:fldCharType="begin"/>
        </w:r>
        <w:r w:rsidR="001E471C" w:rsidRPr="001E471C">
          <w:rPr>
            <w:webHidden/>
          </w:rPr>
          <w:instrText xml:space="preserve"> PAGEREF _Toc12795239 \h </w:instrText>
        </w:r>
        <w:r w:rsidR="001E471C" w:rsidRPr="001E471C">
          <w:rPr>
            <w:webHidden/>
          </w:rPr>
        </w:r>
        <w:r w:rsidR="001E471C" w:rsidRPr="001E471C">
          <w:rPr>
            <w:webHidden/>
          </w:rPr>
          <w:fldChar w:fldCharType="separate"/>
        </w:r>
        <w:r w:rsidR="00E353DF">
          <w:rPr>
            <w:webHidden/>
          </w:rPr>
          <w:t>148</w:t>
        </w:r>
        <w:r w:rsidR="001E471C" w:rsidRPr="001E471C">
          <w:rPr>
            <w:webHidden/>
          </w:rPr>
          <w:fldChar w:fldCharType="end"/>
        </w:r>
      </w:hyperlink>
    </w:p>
    <w:p w14:paraId="315CA2CC" w14:textId="3841A1E5"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40" w:history="1">
        <w:r w:rsidR="001E471C" w:rsidRPr="001E471C">
          <w:rPr>
            <w:rStyle w:val="Hyperlink"/>
            <w:rFonts w:eastAsiaTheme="majorEastAsia"/>
            <w:b w:val="0"/>
          </w:rPr>
          <w:t>8.5.1 CO</w:t>
        </w:r>
        <w:r w:rsidR="001E471C" w:rsidRPr="001E471C">
          <w:rPr>
            <w:rStyle w:val="Hyperlink"/>
            <w:rFonts w:eastAsiaTheme="majorEastAsia"/>
            <w:b w:val="0"/>
            <w:vertAlign w:val="subscript"/>
          </w:rPr>
          <w:t>2</w:t>
        </w:r>
        <w:r w:rsidR="001E471C" w:rsidRPr="001E471C">
          <w:rPr>
            <w:rStyle w:val="Hyperlink"/>
            <w:rFonts w:eastAsiaTheme="majorEastAsia"/>
            <w:b w:val="0"/>
          </w:rPr>
          <w:t xml:space="preserve"> Emissions from New England States’ Electricity Generating Sector</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_Toc12795240 \h </w:instrText>
        </w:r>
        <w:r w:rsidR="001E471C" w:rsidRPr="001E471C">
          <w:rPr>
            <w:b w:val="0"/>
            <w:webHidden/>
          </w:rPr>
        </w:r>
        <w:r w:rsidR="001E471C" w:rsidRPr="001E471C">
          <w:rPr>
            <w:b w:val="0"/>
            <w:webHidden/>
          </w:rPr>
          <w:fldChar w:fldCharType="separate"/>
        </w:r>
        <w:r w:rsidR="00E353DF">
          <w:rPr>
            <w:b w:val="0"/>
            <w:webHidden/>
          </w:rPr>
          <w:t>148</w:t>
        </w:r>
        <w:r w:rsidR="001E471C" w:rsidRPr="001E471C">
          <w:rPr>
            <w:b w:val="0"/>
            <w:webHidden/>
          </w:rPr>
          <w:fldChar w:fldCharType="end"/>
        </w:r>
      </w:hyperlink>
    </w:p>
    <w:p w14:paraId="49DE33AA" w14:textId="797AE6B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41" w:history="1">
        <w:r w:rsidR="001E471C" w:rsidRPr="001E471C">
          <w:rPr>
            <w:rStyle w:val="Hyperlink"/>
            <w:rFonts w:eastAsiaTheme="majorEastAsia"/>
            <w:b w:val="0"/>
          </w:rPr>
          <w:t>8.5.2 ISO Tracking of Emissions Trends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_Toc12795241 \h </w:instrText>
        </w:r>
        <w:r w:rsidR="001E471C" w:rsidRPr="001E471C">
          <w:rPr>
            <w:b w:val="0"/>
            <w:webHidden/>
          </w:rPr>
        </w:r>
        <w:r w:rsidR="001E471C" w:rsidRPr="001E471C">
          <w:rPr>
            <w:b w:val="0"/>
            <w:webHidden/>
          </w:rPr>
          <w:fldChar w:fldCharType="separate"/>
        </w:r>
        <w:r w:rsidR="00E353DF">
          <w:rPr>
            <w:b w:val="0"/>
            <w:webHidden/>
          </w:rPr>
          <w:t>149</w:t>
        </w:r>
        <w:r w:rsidR="001E471C" w:rsidRPr="001E471C">
          <w:rPr>
            <w:b w:val="0"/>
            <w:webHidden/>
          </w:rPr>
          <w:fldChar w:fldCharType="end"/>
        </w:r>
      </w:hyperlink>
    </w:p>
    <w:p w14:paraId="6C70EC81" w14:textId="329AC7CA"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42" w:history="1">
        <w:r w:rsidR="001E471C" w:rsidRPr="001E471C">
          <w:rPr>
            <w:rStyle w:val="Hyperlink"/>
            <w:rFonts w:eastAsiaTheme="majorEastAsia"/>
            <w:b w:val="0"/>
          </w:rPr>
          <w:t>8.5.3 Cost of Compliance with Environmental Regulations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_Toc12795242 \h </w:instrText>
        </w:r>
        <w:r w:rsidR="001E471C" w:rsidRPr="001E471C">
          <w:rPr>
            <w:b w:val="0"/>
            <w:webHidden/>
          </w:rPr>
        </w:r>
        <w:r w:rsidR="001E471C" w:rsidRPr="001E471C">
          <w:rPr>
            <w:b w:val="0"/>
            <w:webHidden/>
          </w:rPr>
          <w:fldChar w:fldCharType="separate"/>
        </w:r>
        <w:r w:rsidR="00E353DF">
          <w:rPr>
            <w:b w:val="0"/>
            <w:webHidden/>
          </w:rPr>
          <w:t>151</w:t>
        </w:r>
        <w:r w:rsidR="001E471C" w:rsidRPr="001E471C">
          <w:rPr>
            <w:b w:val="0"/>
            <w:webHidden/>
          </w:rPr>
          <w:fldChar w:fldCharType="end"/>
        </w:r>
      </w:hyperlink>
    </w:p>
    <w:p w14:paraId="432DF258" w14:textId="25DF82EF" w:rsidR="001E471C" w:rsidRDefault="009D7B65" w:rsidP="00356FAA">
      <w:pPr>
        <w:pStyle w:val="TOC2"/>
        <w:rPr>
          <w:rFonts w:asciiTheme="minorHAnsi" w:eastAsiaTheme="minorEastAsia" w:hAnsiTheme="minorHAnsi" w:cstheme="minorBidi"/>
          <w:sz w:val="22"/>
          <w:szCs w:val="22"/>
        </w:rPr>
      </w:pPr>
      <w:hyperlink w:anchor="_Toc12795243" w:history="1">
        <w:r w:rsidR="001E471C" w:rsidRPr="00E97DC8">
          <w:rPr>
            <w:rStyle w:val="Hyperlink"/>
          </w:rPr>
          <w:t>8.6 Update of Regional Nuclear Generation Licensing Renewals</w:t>
        </w:r>
        <w:r w:rsidR="001E471C">
          <w:rPr>
            <w:webHidden/>
          </w:rPr>
          <w:tab/>
        </w:r>
        <w:r w:rsidR="001E471C">
          <w:rPr>
            <w:webHidden/>
          </w:rPr>
          <w:fldChar w:fldCharType="begin"/>
        </w:r>
        <w:r w:rsidR="001E471C">
          <w:rPr>
            <w:webHidden/>
          </w:rPr>
          <w:instrText xml:space="preserve"> PAGEREF _Toc12795243 \h </w:instrText>
        </w:r>
        <w:r w:rsidR="001E471C">
          <w:rPr>
            <w:webHidden/>
          </w:rPr>
        </w:r>
        <w:r w:rsidR="001E471C">
          <w:rPr>
            <w:webHidden/>
          </w:rPr>
          <w:fldChar w:fldCharType="separate"/>
        </w:r>
        <w:r w:rsidR="00E353DF">
          <w:rPr>
            <w:webHidden/>
          </w:rPr>
          <w:t>152</w:t>
        </w:r>
        <w:r w:rsidR="001E471C">
          <w:rPr>
            <w:webHidden/>
          </w:rPr>
          <w:fldChar w:fldCharType="end"/>
        </w:r>
      </w:hyperlink>
    </w:p>
    <w:p w14:paraId="54B6FFF2" w14:textId="28271E4A" w:rsidR="001E471C" w:rsidRDefault="009D7B65" w:rsidP="00356FAA">
      <w:pPr>
        <w:pStyle w:val="TOC2"/>
        <w:rPr>
          <w:rFonts w:asciiTheme="minorHAnsi" w:eastAsiaTheme="minorEastAsia" w:hAnsiTheme="minorHAnsi" w:cstheme="minorBidi"/>
          <w:sz w:val="22"/>
          <w:szCs w:val="22"/>
        </w:rPr>
      </w:pPr>
      <w:hyperlink w:anchor="_Toc12795244" w:history="1">
        <w:r w:rsidR="001E471C" w:rsidRPr="00E97DC8">
          <w:rPr>
            <w:rStyle w:val="Hyperlink"/>
          </w:rPr>
          <w:t>8.7 Update on Hydroelectric Generation Relicensing</w:t>
        </w:r>
        <w:r w:rsidR="001E471C">
          <w:rPr>
            <w:webHidden/>
          </w:rPr>
          <w:tab/>
        </w:r>
        <w:r w:rsidR="001E471C">
          <w:rPr>
            <w:webHidden/>
          </w:rPr>
          <w:fldChar w:fldCharType="begin"/>
        </w:r>
        <w:r w:rsidR="001E471C">
          <w:rPr>
            <w:webHidden/>
          </w:rPr>
          <w:instrText xml:space="preserve"> PAGEREF _Toc12795244 \h </w:instrText>
        </w:r>
        <w:r w:rsidR="001E471C">
          <w:rPr>
            <w:webHidden/>
          </w:rPr>
        </w:r>
        <w:r w:rsidR="001E471C">
          <w:rPr>
            <w:webHidden/>
          </w:rPr>
          <w:fldChar w:fldCharType="separate"/>
        </w:r>
        <w:r w:rsidR="00E353DF">
          <w:rPr>
            <w:webHidden/>
          </w:rPr>
          <w:t>153</w:t>
        </w:r>
        <w:r w:rsidR="001E471C">
          <w:rPr>
            <w:webHidden/>
          </w:rPr>
          <w:fldChar w:fldCharType="end"/>
        </w:r>
      </w:hyperlink>
    </w:p>
    <w:p w14:paraId="0B85C8EC" w14:textId="74291C0C" w:rsidR="001E471C" w:rsidRDefault="009D7B65" w:rsidP="00356FAA">
      <w:pPr>
        <w:pStyle w:val="TOC2"/>
        <w:rPr>
          <w:rFonts w:asciiTheme="minorHAnsi" w:eastAsiaTheme="minorEastAsia" w:hAnsiTheme="minorHAnsi" w:cstheme="minorBidi"/>
          <w:sz w:val="22"/>
          <w:szCs w:val="22"/>
        </w:rPr>
      </w:pPr>
      <w:hyperlink w:anchor="_Toc12795245" w:history="1">
        <w:r w:rsidR="001E471C" w:rsidRPr="00E97DC8">
          <w:rPr>
            <w:rStyle w:val="Hyperlink"/>
          </w:rPr>
          <w:t>8.8 Conclusions</w:t>
        </w:r>
        <w:r w:rsidR="001E471C">
          <w:rPr>
            <w:webHidden/>
          </w:rPr>
          <w:tab/>
        </w:r>
        <w:r w:rsidR="001E471C">
          <w:rPr>
            <w:webHidden/>
          </w:rPr>
          <w:fldChar w:fldCharType="begin"/>
        </w:r>
        <w:r w:rsidR="001E471C">
          <w:rPr>
            <w:webHidden/>
          </w:rPr>
          <w:instrText xml:space="preserve"> PAGEREF _Toc12795245 \h </w:instrText>
        </w:r>
        <w:r w:rsidR="001E471C">
          <w:rPr>
            <w:webHidden/>
          </w:rPr>
        </w:r>
        <w:r w:rsidR="001E471C">
          <w:rPr>
            <w:webHidden/>
          </w:rPr>
          <w:fldChar w:fldCharType="separate"/>
        </w:r>
        <w:r w:rsidR="00E353DF">
          <w:rPr>
            <w:webHidden/>
          </w:rPr>
          <w:t>153</w:t>
        </w:r>
        <w:r w:rsidR="001E471C">
          <w:rPr>
            <w:webHidden/>
          </w:rPr>
          <w:fldChar w:fldCharType="end"/>
        </w:r>
      </w:hyperlink>
    </w:p>
    <w:p w14:paraId="2679CFB1" w14:textId="65920D65" w:rsidR="001E471C" w:rsidRDefault="009D7B65" w:rsidP="00356FAA">
      <w:pPr>
        <w:pStyle w:val="TOC1"/>
        <w:rPr>
          <w:rFonts w:asciiTheme="minorHAnsi" w:eastAsiaTheme="minorEastAsia" w:hAnsiTheme="minorHAnsi" w:cstheme="minorBidi"/>
          <w:b w:val="0"/>
          <w:sz w:val="22"/>
          <w:szCs w:val="22"/>
        </w:rPr>
      </w:pPr>
      <w:hyperlink w:anchor="_Toc12795246" w:history="1">
        <w:r w:rsidR="001E471C" w:rsidRPr="00E97DC8">
          <w:rPr>
            <w:rStyle w:val="Hyperlink"/>
          </w:rPr>
          <w:t>Section 9</w:t>
        </w:r>
        <w:r w:rsidR="001E471C">
          <w:rPr>
            <w:rStyle w:val="Hyperlink"/>
          </w:rPr>
          <w:br/>
        </w:r>
        <w:r w:rsidR="001E471C" w:rsidRPr="00E97DC8">
          <w:rPr>
            <w:rStyle w:val="Hyperlink"/>
          </w:rPr>
          <w:t>Grid Transformation</w:t>
        </w:r>
        <w:r w:rsidR="001E471C">
          <w:rPr>
            <w:webHidden/>
          </w:rPr>
          <w:tab/>
        </w:r>
        <w:r w:rsidR="001E471C">
          <w:rPr>
            <w:webHidden/>
          </w:rPr>
          <w:fldChar w:fldCharType="begin"/>
        </w:r>
        <w:r w:rsidR="001E471C">
          <w:rPr>
            <w:webHidden/>
          </w:rPr>
          <w:instrText xml:space="preserve"> PAGEREF _Toc12795246 \h </w:instrText>
        </w:r>
        <w:r w:rsidR="001E471C">
          <w:rPr>
            <w:webHidden/>
          </w:rPr>
        </w:r>
        <w:r w:rsidR="001E471C">
          <w:rPr>
            <w:webHidden/>
          </w:rPr>
          <w:fldChar w:fldCharType="separate"/>
        </w:r>
        <w:r w:rsidR="00E353DF">
          <w:rPr>
            <w:webHidden/>
          </w:rPr>
          <w:t>155</w:t>
        </w:r>
        <w:r w:rsidR="001E471C">
          <w:rPr>
            <w:webHidden/>
          </w:rPr>
          <w:fldChar w:fldCharType="end"/>
        </w:r>
      </w:hyperlink>
    </w:p>
    <w:p w14:paraId="2A21777E" w14:textId="77022C4D" w:rsidR="001E471C" w:rsidRPr="001E471C" w:rsidRDefault="009D7B65" w:rsidP="00356FAA">
      <w:pPr>
        <w:pStyle w:val="TOC2"/>
        <w:rPr>
          <w:rFonts w:asciiTheme="minorHAnsi" w:eastAsiaTheme="minorEastAsia" w:hAnsiTheme="minorHAnsi" w:cstheme="minorBidi"/>
          <w:sz w:val="22"/>
          <w:szCs w:val="22"/>
        </w:rPr>
      </w:pPr>
      <w:hyperlink w:anchor="_Toc12795247" w:history="1">
        <w:r w:rsidR="001E471C" w:rsidRPr="001E471C">
          <w:rPr>
            <w:rStyle w:val="Hyperlink"/>
          </w:rPr>
          <w:t>9.1 A Changing Grid</w:t>
        </w:r>
        <w:r w:rsidR="001E471C" w:rsidRPr="001E471C">
          <w:rPr>
            <w:webHidden/>
          </w:rPr>
          <w:tab/>
        </w:r>
        <w:r w:rsidR="001E471C" w:rsidRPr="001E471C">
          <w:rPr>
            <w:webHidden/>
          </w:rPr>
          <w:fldChar w:fldCharType="begin"/>
        </w:r>
        <w:r w:rsidR="001E471C" w:rsidRPr="001E471C">
          <w:rPr>
            <w:webHidden/>
          </w:rPr>
          <w:instrText xml:space="preserve"> PAGEREF _Toc12795247 \h </w:instrText>
        </w:r>
        <w:r w:rsidR="001E471C" w:rsidRPr="001E471C">
          <w:rPr>
            <w:webHidden/>
          </w:rPr>
        </w:r>
        <w:r w:rsidR="001E471C" w:rsidRPr="001E471C">
          <w:rPr>
            <w:webHidden/>
          </w:rPr>
          <w:fldChar w:fldCharType="separate"/>
        </w:r>
        <w:r w:rsidR="00E353DF">
          <w:rPr>
            <w:webHidden/>
          </w:rPr>
          <w:t>155</w:t>
        </w:r>
        <w:r w:rsidR="001E471C" w:rsidRPr="001E471C">
          <w:rPr>
            <w:webHidden/>
          </w:rPr>
          <w:fldChar w:fldCharType="end"/>
        </w:r>
      </w:hyperlink>
    </w:p>
    <w:p w14:paraId="60F1ED78" w14:textId="2F43C03C"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48" w:history="1">
        <w:r w:rsidR="001E471C" w:rsidRPr="001E471C">
          <w:rPr>
            <w:rStyle w:val="Hyperlink"/>
            <w:rFonts w:eastAsiaTheme="majorEastAsia"/>
            <w:b w:val="0"/>
          </w:rPr>
          <w:t>9.1.1 Government Policies Changing the Grid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_Toc12795248 \h </w:instrText>
        </w:r>
        <w:r w:rsidR="001E471C" w:rsidRPr="001E471C">
          <w:rPr>
            <w:b w:val="0"/>
            <w:webHidden/>
          </w:rPr>
        </w:r>
        <w:r w:rsidR="001E471C" w:rsidRPr="001E471C">
          <w:rPr>
            <w:b w:val="0"/>
            <w:webHidden/>
          </w:rPr>
          <w:fldChar w:fldCharType="separate"/>
        </w:r>
        <w:r w:rsidR="00E353DF">
          <w:rPr>
            <w:b w:val="0"/>
            <w:webHidden/>
          </w:rPr>
          <w:t>155</w:t>
        </w:r>
        <w:r w:rsidR="001E471C" w:rsidRPr="001E471C">
          <w:rPr>
            <w:b w:val="0"/>
            <w:webHidden/>
          </w:rPr>
          <w:fldChar w:fldCharType="end"/>
        </w:r>
      </w:hyperlink>
    </w:p>
    <w:p w14:paraId="3C30067C" w14:textId="701CDB99"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49" w:history="1">
        <w:r w:rsidR="001E471C" w:rsidRPr="001E471C">
          <w:rPr>
            <w:rStyle w:val="Hyperlink"/>
            <w:rFonts w:eastAsiaTheme="majorEastAsia"/>
            <w:b w:val="0"/>
          </w:rPr>
          <w:t>9.1.2 The Growth of Inverter-</w:t>
        </w:r>
        <w:r w:rsidR="00312B9F">
          <w:rPr>
            <w:rStyle w:val="Hyperlink"/>
            <w:rFonts w:eastAsiaTheme="majorEastAsia"/>
            <w:b w:val="0"/>
          </w:rPr>
          <w:t>B</w:t>
        </w:r>
        <w:r w:rsidR="001E471C" w:rsidRPr="001E471C">
          <w:rPr>
            <w:rStyle w:val="Hyperlink"/>
            <w:rFonts w:eastAsiaTheme="majorEastAsia"/>
            <w:b w:val="0"/>
          </w:rPr>
          <w:t>ased Technologies and Distributed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_Toc12795249 \h </w:instrText>
        </w:r>
        <w:r w:rsidR="001E471C" w:rsidRPr="001E471C">
          <w:rPr>
            <w:b w:val="0"/>
            <w:webHidden/>
          </w:rPr>
        </w:r>
        <w:r w:rsidR="001E471C" w:rsidRPr="001E471C">
          <w:rPr>
            <w:b w:val="0"/>
            <w:webHidden/>
          </w:rPr>
          <w:fldChar w:fldCharType="separate"/>
        </w:r>
        <w:r w:rsidR="00E353DF">
          <w:rPr>
            <w:b w:val="0"/>
            <w:webHidden/>
          </w:rPr>
          <w:t>155</w:t>
        </w:r>
        <w:r w:rsidR="001E471C" w:rsidRPr="001E471C">
          <w:rPr>
            <w:b w:val="0"/>
            <w:webHidden/>
          </w:rPr>
          <w:fldChar w:fldCharType="end"/>
        </w:r>
      </w:hyperlink>
    </w:p>
    <w:p w14:paraId="1975A07C" w14:textId="38632264" w:rsidR="001E471C" w:rsidRPr="001E471C" w:rsidRDefault="009D7B65" w:rsidP="00356FAA">
      <w:pPr>
        <w:pStyle w:val="TOC2"/>
        <w:rPr>
          <w:rFonts w:asciiTheme="minorHAnsi" w:eastAsiaTheme="minorEastAsia" w:hAnsiTheme="minorHAnsi" w:cstheme="minorBidi"/>
          <w:sz w:val="22"/>
          <w:szCs w:val="22"/>
        </w:rPr>
      </w:pPr>
      <w:hyperlink w:anchor="_Toc12795250" w:history="1">
        <w:r w:rsidR="001E471C" w:rsidRPr="001E471C">
          <w:rPr>
            <w:rStyle w:val="Hyperlink"/>
          </w:rPr>
          <w:t>9.2 Issues with Transformation of the Grid</w:t>
        </w:r>
        <w:r w:rsidR="001E471C" w:rsidRPr="001E471C">
          <w:rPr>
            <w:webHidden/>
          </w:rPr>
          <w:tab/>
        </w:r>
        <w:r w:rsidR="001E471C" w:rsidRPr="001E471C">
          <w:rPr>
            <w:webHidden/>
          </w:rPr>
          <w:fldChar w:fldCharType="begin"/>
        </w:r>
        <w:r w:rsidR="001E471C" w:rsidRPr="001E471C">
          <w:rPr>
            <w:webHidden/>
          </w:rPr>
          <w:instrText xml:space="preserve"> PAGEREF _Toc12795250 \h </w:instrText>
        </w:r>
        <w:r w:rsidR="001E471C" w:rsidRPr="001E471C">
          <w:rPr>
            <w:webHidden/>
          </w:rPr>
        </w:r>
        <w:r w:rsidR="001E471C" w:rsidRPr="001E471C">
          <w:rPr>
            <w:webHidden/>
          </w:rPr>
          <w:fldChar w:fldCharType="separate"/>
        </w:r>
        <w:r w:rsidR="00E353DF">
          <w:rPr>
            <w:webHidden/>
          </w:rPr>
          <w:t>156</w:t>
        </w:r>
        <w:r w:rsidR="001E471C" w:rsidRPr="001E471C">
          <w:rPr>
            <w:webHidden/>
          </w:rPr>
          <w:fldChar w:fldCharType="end"/>
        </w:r>
      </w:hyperlink>
    </w:p>
    <w:p w14:paraId="509A7BEE" w14:textId="0A70DA1D" w:rsidR="001E471C" w:rsidRPr="001E471C" w:rsidRDefault="009D7B65" w:rsidP="00356FAA">
      <w:pPr>
        <w:pStyle w:val="TOC2"/>
        <w:rPr>
          <w:rFonts w:asciiTheme="minorHAnsi" w:eastAsiaTheme="minorEastAsia" w:hAnsiTheme="minorHAnsi" w:cstheme="minorBidi"/>
          <w:sz w:val="22"/>
          <w:szCs w:val="22"/>
        </w:rPr>
      </w:pPr>
      <w:hyperlink w:anchor="_Toc12795251" w:history="1">
        <w:r w:rsidR="001E471C" w:rsidRPr="001E471C">
          <w:rPr>
            <w:rStyle w:val="Hyperlink"/>
          </w:rPr>
          <w:t>9.3 ISO Analyses of the Economic Performance of the System and Other Studies</w:t>
        </w:r>
        <w:r w:rsidR="001E471C" w:rsidRPr="001E471C">
          <w:rPr>
            <w:webHidden/>
          </w:rPr>
          <w:tab/>
        </w:r>
        <w:r w:rsidR="001E471C" w:rsidRPr="001E471C">
          <w:rPr>
            <w:webHidden/>
          </w:rPr>
          <w:fldChar w:fldCharType="begin"/>
        </w:r>
        <w:r w:rsidR="001E471C" w:rsidRPr="001E471C">
          <w:rPr>
            <w:webHidden/>
          </w:rPr>
          <w:instrText xml:space="preserve"> PAGEREF _Toc12795251 \h </w:instrText>
        </w:r>
        <w:r w:rsidR="001E471C" w:rsidRPr="001E471C">
          <w:rPr>
            <w:webHidden/>
          </w:rPr>
        </w:r>
        <w:r w:rsidR="001E471C" w:rsidRPr="001E471C">
          <w:rPr>
            <w:webHidden/>
          </w:rPr>
          <w:fldChar w:fldCharType="separate"/>
        </w:r>
        <w:r w:rsidR="00E353DF">
          <w:rPr>
            <w:webHidden/>
          </w:rPr>
          <w:t>158</w:t>
        </w:r>
        <w:r w:rsidR="001E471C" w:rsidRPr="001E471C">
          <w:rPr>
            <w:webHidden/>
          </w:rPr>
          <w:fldChar w:fldCharType="end"/>
        </w:r>
      </w:hyperlink>
    </w:p>
    <w:p w14:paraId="51912CDB" w14:textId="31F0A76B"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2" w:history="1">
        <w:r w:rsidR="001E471C" w:rsidRPr="001E471C">
          <w:rPr>
            <w:rStyle w:val="Hyperlink"/>
            <w:rFonts w:eastAsiaTheme="majorEastAsia"/>
            <w:b w:val="0"/>
          </w:rPr>
          <w:t>9.3.1</w:t>
        </w:r>
        <w:r w:rsidR="001E471C" w:rsidRPr="001E471C">
          <w:rPr>
            <w:rStyle w:val="Hyperlink"/>
            <w:rFonts w:eastAsiaTheme="majorEastAsia"/>
            <w:b w:val="0"/>
            <w:bCs/>
          </w:rPr>
          <w:t xml:space="preserve"> 2016 Economic Study—Phase 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_Toc12795252 \h </w:instrText>
        </w:r>
        <w:r w:rsidR="001E471C" w:rsidRPr="001E471C">
          <w:rPr>
            <w:b w:val="0"/>
            <w:webHidden/>
          </w:rPr>
        </w:r>
        <w:r w:rsidR="001E471C" w:rsidRPr="001E471C">
          <w:rPr>
            <w:b w:val="0"/>
            <w:webHidden/>
          </w:rPr>
          <w:fldChar w:fldCharType="separate"/>
        </w:r>
        <w:r w:rsidR="00E353DF">
          <w:rPr>
            <w:b w:val="0"/>
            <w:webHidden/>
          </w:rPr>
          <w:t>158</w:t>
        </w:r>
        <w:r w:rsidR="001E471C" w:rsidRPr="001E471C">
          <w:rPr>
            <w:b w:val="0"/>
            <w:webHidden/>
          </w:rPr>
          <w:fldChar w:fldCharType="end"/>
        </w:r>
      </w:hyperlink>
    </w:p>
    <w:p w14:paraId="4972ADC4" w14:textId="47B911B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3" w:history="1">
        <w:r w:rsidR="001E471C" w:rsidRPr="001E471C">
          <w:rPr>
            <w:rStyle w:val="Hyperlink"/>
            <w:rFonts w:eastAsiaTheme="majorEastAsia"/>
            <w:b w:val="0"/>
          </w:rPr>
          <w:t>9.3.2</w:t>
        </w:r>
        <w:r w:rsidR="001E471C" w:rsidRPr="001E471C">
          <w:rPr>
            <w:rStyle w:val="Hyperlink"/>
            <w:rFonts w:eastAsiaTheme="majorEastAsia"/>
            <w:b w:val="0"/>
            <w:bCs/>
          </w:rPr>
          <w:t xml:space="preserve"> 2016 Economic Study—Phase II</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_Toc12795253 \h </w:instrText>
        </w:r>
        <w:r w:rsidR="001E471C" w:rsidRPr="001E471C">
          <w:rPr>
            <w:b w:val="0"/>
            <w:webHidden/>
          </w:rPr>
        </w:r>
        <w:r w:rsidR="001E471C" w:rsidRPr="001E471C">
          <w:rPr>
            <w:b w:val="0"/>
            <w:webHidden/>
          </w:rPr>
          <w:fldChar w:fldCharType="separate"/>
        </w:r>
        <w:r w:rsidR="00E353DF">
          <w:rPr>
            <w:b w:val="0"/>
            <w:webHidden/>
          </w:rPr>
          <w:t>159</w:t>
        </w:r>
        <w:r w:rsidR="001E471C" w:rsidRPr="001E471C">
          <w:rPr>
            <w:b w:val="0"/>
            <w:webHidden/>
          </w:rPr>
          <w:fldChar w:fldCharType="end"/>
        </w:r>
      </w:hyperlink>
    </w:p>
    <w:p w14:paraId="4F811ABC" w14:textId="0BBF1B9F"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4" w:history="1">
        <w:r w:rsidR="001E471C" w:rsidRPr="001E471C">
          <w:rPr>
            <w:rStyle w:val="Hyperlink"/>
            <w:rFonts w:eastAsiaTheme="majorEastAsia"/>
            <w:b w:val="0"/>
          </w:rPr>
          <w:t>9.3.3</w:t>
        </w:r>
        <w:r w:rsidR="001E471C" w:rsidRPr="001E471C">
          <w:rPr>
            <w:rStyle w:val="Hyperlink"/>
            <w:rFonts w:eastAsiaTheme="majorEastAsia"/>
            <w:b w:val="0"/>
            <w:bCs/>
          </w:rPr>
          <w:t xml:space="preserve"> 2017 Economic Study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_Toc12795254 \h </w:instrText>
        </w:r>
        <w:r w:rsidR="001E471C" w:rsidRPr="001E471C">
          <w:rPr>
            <w:b w:val="0"/>
            <w:webHidden/>
          </w:rPr>
        </w:r>
        <w:r w:rsidR="001E471C" w:rsidRPr="001E471C">
          <w:rPr>
            <w:b w:val="0"/>
            <w:webHidden/>
          </w:rPr>
          <w:fldChar w:fldCharType="separate"/>
        </w:r>
        <w:r w:rsidR="00E353DF">
          <w:rPr>
            <w:b w:val="0"/>
            <w:webHidden/>
          </w:rPr>
          <w:t>160</w:t>
        </w:r>
        <w:r w:rsidR="001E471C" w:rsidRPr="001E471C">
          <w:rPr>
            <w:b w:val="0"/>
            <w:webHidden/>
          </w:rPr>
          <w:fldChar w:fldCharType="end"/>
        </w:r>
      </w:hyperlink>
    </w:p>
    <w:p w14:paraId="26EB72AB" w14:textId="13198CE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5" w:history="1">
        <w:r w:rsidR="001E471C" w:rsidRPr="001E471C">
          <w:rPr>
            <w:rStyle w:val="Hyperlink"/>
            <w:rFonts w:eastAsiaTheme="majorEastAsia"/>
            <w:b w:val="0"/>
          </w:rPr>
          <w:t>9.3.4</w:t>
        </w:r>
        <w:r w:rsidR="001E471C" w:rsidRPr="001E471C">
          <w:rPr>
            <w:rStyle w:val="Hyperlink"/>
            <w:rFonts w:eastAsiaTheme="majorEastAsia"/>
            <w:b w:val="0"/>
            <w:bCs/>
          </w:rPr>
          <w:t xml:space="preserve"> 2018 Economic Study Request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_Toc12795255 \h </w:instrText>
        </w:r>
        <w:r w:rsidR="001E471C" w:rsidRPr="001E471C">
          <w:rPr>
            <w:b w:val="0"/>
            <w:webHidden/>
          </w:rPr>
        </w:r>
        <w:r w:rsidR="001E471C" w:rsidRPr="001E471C">
          <w:rPr>
            <w:b w:val="0"/>
            <w:webHidden/>
          </w:rPr>
          <w:fldChar w:fldCharType="separate"/>
        </w:r>
        <w:r w:rsidR="00E353DF">
          <w:rPr>
            <w:b w:val="0"/>
            <w:webHidden/>
          </w:rPr>
          <w:t>161</w:t>
        </w:r>
        <w:r w:rsidR="001E471C" w:rsidRPr="001E471C">
          <w:rPr>
            <w:b w:val="0"/>
            <w:webHidden/>
          </w:rPr>
          <w:fldChar w:fldCharType="end"/>
        </w:r>
      </w:hyperlink>
    </w:p>
    <w:p w14:paraId="319AD1D4" w14:textId="22E122C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6" w:history="1">
        <w:r w:rsidR="001E471C" w:rsidRPr="001E471C">
          <w:rPr>
            <w:rStyle w:val="Hyperlink"/>
            <w:rFonts w:eastAsiaTheme="majorEastAsia"/>
            <w:b w:val="0"/>
          </w:rPr>
          <w:t>9.3.5</w:t>
        </w:r>
        <w:r w:rsidR="001E471C" w:rsidRPr="001E471C">
          <w:rPr>
            <w:rStyle w:val="Hyperlink"/>
            <w:rFonts w:eastAsiaTheme="majorEastAsia"/>
            <w:b w:val="0"/>
            <w:bCs/>
          </w:rPr>
          <w:t xml:space="preserve"> 2019 Economic Study Requests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_Toc12795256 \h </w:instrText>
        </w:r>
        <w:r w:rsidR="001E471C" w:rsidRPr="001E471C">
          <w:rPr>
            <w:b w:val="0"/>
            <w:webHidden/>
          </w:rPr>
        </w:r>
        <w:r w:rsidR="001E471C" w:rsidRPr="001E471C">
          <w:rPr>
            <w:b w:val="0"/>
            <w:webHidden/>
          </w:rPr>
          <w:fldChar w:fldCharType="separate"/>
        </w:r>
        <w:r w:rsidR="00E353DF">
          <w:rPr>
            <w:b w:val="0"/>
            <w:webHidden/>
          </w:rPr>
          <w:t>161</w:t>
        </w:r>
        <w:r w:rsidR="001E471C" w:rsidRPr="001E471C">
          <w:rPr>
            <w:b w:val="0"/>
            <w:webHidden/>
          </w:rPr>
          <w:fldChar w:fldCharType="end"/>
        </w:r>
      </w:hyperlink>
    </w:p>
    <w:p w14:paraId="1B708557" w14:textId="48068D4B" w:rsidR="001E471C" w:rsidRPr="001E471C" w:rsidRDefault="009D7B65" w:rsidP="00356FAA">
      <w:pPr>
        <w:pStyle w:val="TOC2"/>
        <w:rPr>
          <w:rFonts w:asciiTheme="minorHAnsi" w:eastAsiaTheme="minorEastAsia" w:hAnsiTheme="minorHAnsi" w:cstheme="minorBidi"/>
          <w:sz w:val="22"/>
          <w:szCs w:val="22"/>
        </w:rPr>
      </w:pPr>
      <w:hyperlink w:anchor="_Toc12795257" w:history="1">
        <w:r w:rsidR="001E471C" w:rsidRPr="001E471C">
          <w:rPr>
            <w:rStyle w:val="Hyperlink"/>
          </w:rPr>
          <w:t>9.4 Industry Solutions for Facilitating the Approaches to Grid Transformation</w:t>
        </w:r>
        <w:r w:rsidR="001E471C" w:rsidRPr="001E471C">
          <w:rPr>
            <w:webHidden/>
          </w:rPr>
          <w:tab/>
        </w:r>
        <w:r w:rsidR="001E471C" w:rsidRPr="001E471C">
          <w:rPr>
            <w:webHidden/>
          </w:rPr>
          <w:fldChar w:fldCharType="begin"/>
        </w:r>
        <w:r w:rsidR="001E471C" w:rsidRPr="001E471C">
          <w:rPr>
            <w:webHidden/>
          </w:rPr>
          <w:instrText xml:space="preserve"> PAGEREF _Toc12795257 \h </w:instrText>
        </w:r>
        <w:r w:rsidR="001E471C" w:rsidRPr="001E471C">
          <w:rPr>
            <w:webHidden/>
          </w:rPr>
        </w:r>
        <w:r w:rsidR="001E471C" w:rsidRPr="001E471C">
          <w:rPr>
            <w:webHidden/>
          </w:rPr>
          <w:fldChar w:fldCharType="separate"/>
        </w:r>
        <w:r w:rsidR="00E353DF">
          <w:rPr>
            <w:webHidden/>
          </w:rPr>
          <w:t>161</w:t>
        </w:r>
        <w:r w:rsidR="001E471C" w:rsidRPr="001E471C">
          <w:rPr>
            <w:webHidden/>
          </w:rPr>
          <w:fldChar w:fldCharType="end"/>
        </w:r>
      </w:hyperlink>
    </w:p>
    <w:p w14:paraId="46B80D7B" w14:textId="39E8345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8" w:history="1">
        <w:r w:rsidR="001E471C" w:rsidRPr="001E471C">
          <w:rPr>
            <w:rStyle w:val="Hyperlink"/>
            <w:rFonts w:eastAsiaTheme="majorEastAsia"/>
            <w:b w:val="0"/>
          </w:rPr>
          <w:t>9.4.1 Improved Forecasting</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_Toc12795258 \h </w:instrText>
        </w:r>
        <w:r w:rsidR="001E471C" w:rsidRPr="001E471C">
          <w:rPr>
            <w:b w:val="0"/>
            <w:webHidden/>
          </w:rPr>
        </w:r>
        <w:r w:rsidR="001E471C" w:rsidRPr="001E471C">
          <w:rPr>
            <w:b w:val="0"/>
            <w:webHidden/>
          </w:rPr>
          <w:fldChar w:fldCharType="separate"/>
        </w:r>
        <w:r w:rsidR="00E353DF">
          <w:rPr>
            <w:b w:val="0"/>
            <w:webHidden/>
          </w:rPr>
          <w:t>162</w:t>
        </w:r>
        <w:r w:rsidR="001E471C" w:rsidRPr="001E471C">
          <w:rPr>
            <w:b w:val="0"/>
            <w:webHidden/>
          </w:rPr>
          <w:fldChar w:fldCharType="end"/>
        </w:r>
      </w:hyperlink>
    </w:p>
    <w:p w14:paraId="1DEA0E56" w14:textId="399EF31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59" w:history="1">
        <w:r w:rsidR="001E471C" w:rsidRPr="001E471C">
          <w:rPr>
            <w:rStyle w:val="Hyperlink"/>
            <w:rFonts w:eastAsiaTheme="majorEastAsia"/>
            <w:b w:val="0"/>
          </w:rPr>
          <w:t>9.4.2 Integration of Variable Energy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_Toc12795259 \h </w:instrText>
        </w:r>
        <w:r w:rsidR="001E471C" w:rsidRPr="001E471C">
          <w:rPr>
            <w:b w:val="0"/>
            <w:webHidden/>
          </w:rPr>
        </w:r>
        <w:r w:rsidR="001E471C" w:rsidRPr="001E471C">
          <w:rPr>
            <w:b w:val="0"/>
            <w:webHidden/>
          </w:rPr>
          <w:fldChar w:fldCharType="separate"/>
        </w:r>
        <w:r w:rsidR="00E353DF">
          <w:rPr>
            <w:b w:val="0"/>
            <w:webHidden/>
          </w:rPr>
          <w:t>162</w:t>
        </w:r>
        <w:r w:rsidR="001E471C" w:rsidRPr="001E471C">
          <w:rPr>
            <w:b w:val="0"/>
            <w:webHidden/>
          </w:rPr>
          <w:fldChar w:fldCharType="end"/>
        </w:r>
      </w:hyperlink>
    </w:p>
    <w:p w14:paraId="3734CD3D" w14:textId="007D371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0" w:history="1">
        <w:r w:rsidR="001E471C" w:rsidRPr="001E471C">
          <w:rPr>
            <w:rStyle w:val="Hyperlink"/>
            <w:rFonts w:eastAsiaTheme="majorEastAsia"/>
            <w:b w:val="0"/>
          </w:rPr>
          <w:t>9.4.3 Microgrids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_Toc12795260 \h </w:instrText>
        </w:r>
        <w:r w:rsidR="001E471C" w:rsidRPr="001E471C">
          <w:rPr>
            <w:b w:val="0"/>
            <w:webHidden/>
          </w:rPr>
        </w:r>
        <w:r w:rsidR="001E471C" w:rsidRPr="001E471C">
          <w:rPr>
            <w:b w:val="0"/>
            <w:webHidden/>
          </w:rPr>
          <w:fldChar w:fldCharType="separate"/>
        </w:r>
        <w:r w:rsidR="00E353DF">
          <w:rPr>
            <w:b w:val="0"/>
            <w:webHidden/>
          </w:rPr>
          <w:t>163</w:t>
        </w:r>
        <w:r w:rsidR="001E471C" w:rsidRPr="001E471C">
          <w:rPr>
            <w:b w:val="0"/>
            <w:webHidden/>
          </w:rPr>
          <w:fldChar w:fldCharType="end"/>
        </w:r>
      </w:hyperlink>
    </w:p>
    <w:p w14:paraId="7FB26862" w14:textId="6825F94F"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1" w:history="1">
        <w:r w:rsidR="001E471C" w:rsidRPr="001E471C">
          <w:rPr>
            <w:rStyle w:val="Hyperlink"/>
            <w:rFonts w:eastAsiaTheme="majorEastAsia"/>
            <w:b w:val="0"/>
          </w:rPr>
          <w:t>9.4.4 Energy Storage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_Toc12795261 \h </w:instrText>
        </w:r>
        <w:r w:rsidR="001E471C" w:rsidRPr="001E471C">
          <w:rPr>
            <w:b w:val="0"/>
            <w:webHidden/>
          </w:rPr>
        </w:r>
        <w:r w:rsidR="001E471C" w:rsidRPr="001E471C">
          <w:rPr>
            <w:b w:val="0"/>
            <w:webHidden/>
          </w:rPr>
          <w:fldChar w:fldCharType="separate"/>
        </w:r>
        <w:r w:rsidR="00E353DF">
          <w:rPr>
            <w:b w:val="0"/>
            <w:webHidden/>
          </w:rPr>
          <w:t>163</w:t>
        </w:r>
        <w:r w:rsidR="001E471C" w:rsidRPr="001E471C">
          <w:rPr>
            <w:b w:val="0"/>
            <w:webHidden/>
          </w:rPr>
          <w:fldChar w:fldCharType="end"/>
        </w:r>
      </w:hyperlink>
    </w:p>
    <w:p w14:paraId="7A5B85E3" w14:textId="4C41F869"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2" w:history="1">
        <w:r w:rsidR="001E471C" w:rsidRPr="001E471C">
          <w:rPr>
            <w:rStyle w:val="Hyperlink"/>
            <w:rFonts w:eastAsiaTheme="majorEastAsia"/>
            <w:b w:val="0"/>
          </w:rPr>
          <w:t>9.4.5 Other Effects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_Toc12795262 \h </w:instrText>
        </w:r>
        <w:r w:rsidR="001E471C" w:rsidRPr="001E471C">
          <w:rPr>
            <w:b w:val="0"/>
            <w:webHidden/>
          </w:rPr>
        </w:r>
        <w:r w:rsidR="001E471C" w:rsidRPr="001E471C">
          <w:rPr>
            <w:b w:val="0"/>
            <w:webHidden/>
          </w:rPr>
          <w:fldChar w:fldCharType="separate"/>
        </w:r>
        <w:r w:rsidR="00E353DF">
          <w:rPr>
            <w:b w:val="0"/>
            <w:webHidden/>
          </w:rPr>
          <w:t>164</w:t>
        </w:r>
        <w:r w:rsidR="001E471C" w:rsidRPr="001E471C">
          <w:rPr>
            <w:b w:val="0"/>
            <w:webHidden/>
          </w:rPr>
          <w:fldChar w:fldCharType="end"/>
        </w:r>
      </w:hyperlink>
    </w:p>
    <w:p w14:paraId="242C5345" w14:textId="3915C088"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3" w:history="1">
        <w:r w:rsidR="001E471C" w:rsidRPr="001E471C">
          <w:rPr>
            <w:rStyle w:val="Hyperlink"/>
            <w:rFonts w:eastAsiaTheme="majorEastAsia"/>
            <w:b w:val="0"/>
          </w:rPr>
          <w:t>9.4.6 Research Participation and Technical Support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_Toc12795263 \h </w:instrText>
        </w:r>
        <w:r w:rsidR="001E471C" w:rsidRPr="001E471C">
          <w:rPr>
            <w:b w:val="0"/>
            <w:webHidden/>
          </w:rPr>
        </w:r>
        <w:r w:rsidR="001E471C" w:rsidRPr="001E471C">
          <w:rPr>
            <w:b w:val="0"/>
            <w:webHidden/>
          </w:rPr>
          <w:fldChar w:fldCharType="separate"/>
        </w:r>
        <w:r w:rsidR="00E353DF">
          <w:rPr>
            <w:b w:val="0"/>
            <w:webHidden/>
          </w:rPr>
          <w:t>165</w:t>
        </w:r>
        <w:r w:rsidR="001E471C" w:rsidRPr="001E471C">
          <w:rPr>
            <w:b w:val="0"/>
            <w:webHidden/>
          </w:rPr>
          <w:fldChar w:fldCharType="end"/>
        </w:r>
      </w:hyperlink>
    </w:p>
    <w:p w14:paraId="53835701" w14:textId="6295F745" w:rsidR="001E471C" w:rsidRPr="001E471C" w:rsidRDefault="009D7B65" w:rsidP="00356FAA">
      <w:pPr>
        <w:pStyle w:val="TOC2"/>
        <w:rPr>
          <w:rFonts w:asciiTheme="minorHAnsi" w:eastAsiaTheme="minorEastAsia" w:hAnsiTheme="minorHAnsi" w:cstheme="minorBidi"/>
          <w:sz w:val="22"/>
          <w:szCs w:val="22"/>
        </w:rPr>
      </w:pPr>
      <w:hyperlink w:anchor="_Toc12795264" w:history="1">
        <w:r w:rsidR="001E471C" w:rsidRPr="001E471C">
          <w:rPr>
            <w:rStyle w:val="Hyperlink"/>
          </w:rPr>
          <w:t>9.5 IEEE 1547 Standard for Interconnecting Distributed Energy Resources</w:t>
        </w:r>
        <w:r w:rsidR="001E471C" w:rsidRPr="001E471C">
          <w:rPr>
            <w:webHidden/>
          </w:rPr>
          <w:tab/>
        </w:r>
        <w:r w:rsidR="001E471C" w:rsidRPr="001E471C">
          <w:rPr>
            <w:webHidden/>
          </w:rPr>
          <w:fldChar w:fldCharType="begin"/>
        </w:r>
        <w:r w:rsidR="001E471C" w:rsidRPr="001E471C">
          <w:rPr>
            <w:webHidden/>
          </w:rPr>
          <w:instrText xml:space="preserve"> PAGEREF _Toc12795264 \h </w:instrText>
        </w:r>
        <w:r w:rsidR="001E471C" w:rsidRPr="001E471C">
          <w:rPr>
            <w:webHidden/>
          </w:rPr>
        </w:r>
        <w:r w:rsidR="001E471C" w:rsidRPr="001E471C">
          <w:rPr>
            <w:webHidden/>
          </w:rPr>
          <w:fldChar w:fldCharType="separate"/>
        </w:r>
        <w:r w:rsidR="00E353DF">
          <w:rPr>
            <w:webHidden/>
          </w:rPr>
          <w:t>165</w:t>
        </w:r>
        <w:r w:rsidR="001E471C" w:rsidRPr="001E471C">
          <w:rPr>
            <w:webHidden/>
          </w:rPr>
          <w:fldChar w:fldCharType="end"/>
        </w:r>
      </w:hyperlink>
    </w:p>
    <w:p w14:paraId="70ADB281" w14:textId="5DA1AFAF" w:rsidR="001E471C" w:rsidRPr="001E471C" w:rsidRDefault="009D7B65" w:rsidP="00356FAA">
      <w:pPr>
        <w:pStyle w:val="TOC2"/>
        <w:rPr>
          <w:rFonts w:asciiTheme="minorHAnsi" w:eastAsiaTheme="minorEastAsia" w:hAnsiTheme="minorHAnsi" w:cstheme="minorBidi"/>
          <w:sz w:val="22"/>
          <w:szCs w:val="22"/>
        </w:rPr>
      </w:pPr>
      <w:hyperlink w:anchor="_Toc12795265" w:history="1">
        <w:r w:rsidR="001E471C" w:rsidRPr="001E471C">
          <w:rPr>
            <w:rStyle w:val="Hyperlink"/>
          </w:rPr>
          <w:t>9.6</w:t>
        </w:r>
        <w:r w:rsidR="001E471C" w:rsidRPr="001E471C">
          <w:rPr>
            <w:rStyle w:val="Hyperlink"/>
            <w:rFonts w:eastAsiaTheme="majorEastAsia"/>
          </w:rPr>
          <w:t xml:space="preserve"> Regional </w:t>
        </w:r>
        <w:r w:rsidR="001E471C" w:rsidRPr="001E471C">
          <w:rPr>
            <w:rStyle w:val="Hyperlink"/>
          </w:rPr>
          <w:t>Integration of Variable Energy Resources, Demand Response, and Storage</w:t>
        </w:r>
        <w:r w:rsidR="001E471C" w:rsidRPr="001E471C">
          <w:rPr>
            <w:webHidden/>
          </w:rPr>
          <w:tab/>
        </w:r>
        <w:r w:rsidR="001E471C" w:rsidRPr="001E471C">
          <w:rPr>
            <w:webHidden/>
          </w:rPr>
          <w:fldChar w:fldCharType="begin"/>
        </w:r>
        <w:r w:rsidR="001E471C" w:rsidRPr="001E471C">
          <w:rPr>
            <w:webHidden/>
          </w:rPr>
          <w:instrText xml:space="preserve"> PAGEREF _Toc12795265 \h </w:instrText>
        </w:r>
        <w:r w:rsidR="001E471C" w:rsidRPr="001E471C">
          <w:rPr>
            <w:webHidden/>
          </w:rPr>
        </w:r>
        <w:r w:rsidR="001E471C" w:rsidRPr="001E471C">
          <w:rPr>
            <w:webHidden/>
          </w:rPr>
          <w:fldChar w:fldCharType="separate"/>
        </w:r>
        <w:r w:rsidR="00E353DF">
          <w:rPr>
            <w:webHidden/>
          </w:rPr>
          <w:t>166</w:t>
        </w:r>
        <w:r w:rsidR="001E471C" w:rsidRPr="001E471C">
          <w:rPr>
            <w:webHidden/>
          </w:rPr>
          <w:fldChar w:fldCharType="end"/>
        </w:r>
      </w:hyperlink>
    </w:p>
    <w:p w14:paraId="52A5E357" w14:textId="13DA3CC5"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6" w:history="1">
        <w:r w:rsidR="001E471C" w:rsidRPr="001E471C">
          <w:rPr>
            <w:rStyle w:val="Hyperlink"/>
            <w:rFonts w:eastAsiaTheme="majorEastAsia"/>
            <w:b w:val="0"/>
          </w:rPr>
          <w:t>9.6.1 Improved Forecasts for Wind, PV, and Demand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_Toc12795266 \h </w:instrText>
        </w:r>
        <w:r w:rsidR="001E471C" w:rsidRPr="001E471C">
          <w:rPr>
            <w:b w:val="0"/>
            <w:webHidden/>
          </w:rPr>
        </w:r>
        <w:r w:rsidR="001E471C" w:rsidRPr="001E471C">
          <w:rPr>
            <w:b w:val="0"/>
            <w:webHidden/>
          </w:rPr>
          <w:fldChar w:fldCharType="separate"/>
        </w:r>
        <w:r w:rsidR="00E353DF">
          <w:rPr>
            <w:b w:val="0"/>
            <w:webHidden/>
          </w:rPr>
          <w:t>166</w:t>
        </w:r>
        <w:r w:rsidR="001E471C" w:rsidRPr="001E471C">
          <w:rPr>
            <w:b w:val="0"/>
            <w:webHidden/>
          </w:rPr>
          <w:fldChar w:fldCharType="end"/>
        </w:r>
      </w:hyperlink>
    </w:p>
    <w:p w14:paraId="410F70C6" w14:textId="703F600F"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7" w:history="1">
        <w:r w:rsidR="001E471C" w:rsidRPr="001E471C">
          <w:rPr>
            <w:rStyle w:val="Hyperlink"/>
            <w:b w:val="0"/>
          </w:rPr>
          <w:t>9.6.2 Regional Integration of Wind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_Toc12795267 \h </w:instrText>
        </w:r>
        <w:r w:rsidR="001E471C" w:rsidRPr="001E471C">
          <w:rPr>
            <w:b w:val="0"/>
            <w:webHidden/>
          </w:rPr>
        </w:r>
        <w:r w:rsidR="001E471C" w:rsidRPr="001E471C">
          <w:rPr>
            <w:b w:val="0"/>
            <w:webHidden/>
          </w:rPr>
          <w:fldChar w:fldCharType="separate"/>
        </w:r>
        <w:r w:rsidR="00E353DF">
          <w:rPr>
            <w:b w:val="0"/>
            <w:webHidden/>
          </w:rPr>
          <w:t>167</w:t>
        </w:r>
        <w:r w:rsidR="001E471C" w:rsidRPr="001E471C">
          <w:rPr>
            <w:b w:val="0"/>
            <w:webHidden/>
          </w:rPr>
          <w:fldChar w:fldCharType="end"/>
        </w:r>
      </w:hyperlink>
    </w:p>
    <w:p w14:paraId="0866328D" w14:textId="1EE7904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8" w:history="1">
        <w:r w:rsidR="001E471C" w:rsidRPr="001E471C">
          <w:rPr>
            <w:rStyle w:val="Hyperlink"/>
            <w:b w:val="0"/>
          </w:rPr>
          <w:t>9.6.3</w:t>
        </w:r>
        <w:r w:rsidR="001E471C" w:rsidRPr="001E471C">
          <w:rPr>
            <w:rStyle w:val="Hyperlink"/>
            <w:rFonts w:eastAsiaTheme="majorEastAsia"/>
            <w:b w:val="0"/>
            <w:bCs/>
          </w:rPr>
          <w:t xml:space="preserve"> Regional Integration of </w:t>
        </w:r>
        <w:r w:rsidR="001E471C" w:rsidRPr="001E471C">
          <w:rPr>
            <w:rStyle w:val="Hyperlink"/>
            <w:b w:val="0"/>
            <w:bCs/>
          </w:rPr>
          <w:t>Photovoltaic Resources and Other Distributed Generation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_Toc12795268 \h </w:instrText>
        </w:r>
        <w:r w:rsidR="001E471C" w:rsidRPr="001E471C">
          <w:rPr>
            <w:b w:val="0"/>
            <w:webHidden/>
          </w:rPr>
        </w:r>
        <w:r w:rsidR="001E471C" w:rsidRPr="001E471C">
          <w:rPr>
            <w:b w:val="0"/>
            <w:webHidden/>
          </w:rPr>
          <w:fldChar w:fldCharType="separate"/>
        </w:r>
        <w:r w:rsidR="00E353DF">
          <w:rPr>
            <w:b w:val="0"/>
            <w:webHidden/>
          </w:rPr>
          <w:t>167</w:t>
        </w:r>
        <w:r w:rsidR="001E471C" w:rsidRPr="001E471C">
          <w:rPr>
            <w:b w:val="0"/>
            <w:webHidden/>
          </w:rPr>
          <w:fldChar w:fldCharType="end"/>
        </w:r>
      </w:hyperlink>
    </w:p>
    <w:p w14:paraId="53ADFDCC" w14:textId="1456B543"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69" w:history="1">
        <w:r w:rsidR="001E471C" w:rsidRPr="001E471C">
          <w:rPr>
            <w:rStyle w:val="Hyperlink"/>
            <w:rFonts w:eastAsiaTheme="majorEastAsia"/>
            <w:b w:val="0"/>
          </w:rPr>
          <w:t>9.6.4 Energy-Storage Resources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_Toc12795269 \h </w:instrText>
        </w:r>
        <w:r w:rsidR="001E471C" w:rsidRPr="001E471C">
          <w:rPr>
            <w:b w:val="0"/>
            <w:webHidden/>
          </w:rPr>
        </w:r>
        <w:r w:rsidR="001E471C" w:rsidRPr="001E471C">
          <w:rPr>
            <w:b w:val="0"/>
            <w:webHidden/>
          </w:rPr>
          <w:fldChar w:fldCharType="separate"/>
        </w:r>
        <w:r w:rsidR="00E353DF">
          <w:rPr>
            <w:b w:val="0"/>
            <w:webHidden/>
          </w:rPr>
          <w:t>168</w:t>
        </w:r>
        <w:r w:rsidR="001E471C" w:rsidRPr="001E471C">
          <w:rPr>
            <w:b w:val="0"/>
            <w:webHidden/>
          </w:rPr>
          <w:fldChar w:fldCharType="end"/>
        </w:r>
      </w:hyperlink>
    </w:p>
    <w:p w14:paraId="54EE6C40" w14:textId="7276FC39"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70" w:history="1">
        <w:r w:rsidR="001E471C" w:rsidRPr="001E471C">
          <w:rPr>
            <w:rStyle w:val="Hyperlink"/>
            <w:rFonts w:eastAsiaTheme="majorEastAsia"/>
            <w:b w:val="0"/>
          </w:rPr>
          <w:t>9.6.5 Operational Efficiencies through Advanced Technology</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_Toc12795270 \h </w:instrText>
        </w:r>
        <w:r w:rsidR="001E471C" w:rsidRPr="001E471C">
          <w:rPr>
            <w:b w:val="0"/>
            <w:webHidden/>
          </w:rPr>
        </w:r>
        <w:r w:rsidR="001E471C" w:rsidRPr="001E471C">
          <w:rPr>
            <w:b w:val="0"/>
            <w:webHidden/>
          </w:rPr>
          <w:fldChar w:fldCharType="separate"/>
        </w:r>
        <w:r w:rsidR="00E353DF">
          <w:rPr>
            <w:b w:val="0"/>
            <w:webHidden/>
          </w:rPr>
          <w:t>168</w:t>
        </w:r>
        <w:r w:rsidR="001E471C" w:rsidRPr="001E471C">
          <w:rPr>
            <w:b w:val="0"/>
            <w:webHidden/>
          </w:rPr>
          <w:fldChar w:fldCharType="end"/>
        </w:r>
      </w:hyperlink>
    </w:p>
    <w:p w14:paraId="59BBB7BA" w14:textId="6BEA7B05"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71" w:history="1">
        <w:r w:rsidR="001E471C" w:rsidRPr="001E471C">
          <w:rPr>
            <w:rStyle w:val="Hyperlink"/>
            <w:rFonts w:eastAsiaTheme="majorEastAsia"/>
            <w:b w:val="0"/>
          </w:rPr>
          <w:t>9.6.6 Market Updates to Achieve Grid Transformation</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_Toc12795271 \h </w:instrText>
        </w:r>
        <w:r w:rsidR="001E471C" w:rsidRPr="001E471C">
          <w:rPr>
            <w:b w:val="0"/>
            <w:webHidden/>
          </w:rPr>
        </w:r>
        <w:r w:rsidR="001E471C" w:rsidRPr="001E471C">
          <w:rPr>
            <w:b w:val="0"/>
            <w:webHidden/>
          </w:rPr>
          <w:fldChar w:fldCharType="separate"/>
        </w:r>
        <w:r w:rsidR="00E353DF">
          <w:rPr>
            <w:b w:val="0"/>
            <w:webHidden/>
          </w:rPr>
          <w:t>169</w:t>
        </w:r>
        <w:r w:rsidR="001E471C" w:rsidRPr="001E471C">
          <w:rPr>
            <w:b w:val="0"/>
            <w:webHidden/>
          </w:rPr>
          <w:fldChar w:fldCharType="end"/>
        </w:r>
      </w:hyperlink>
    </w:p>
    <w:p w14:paraId="11844AAB" w14:textId="193C00A0" w:rsidR="001E471C" w:rsidRPr="001E471C" w:rsidRDefault="009D7B65" w:rsidP="00356FAA">
      <w:pPr>
        <w:pStyle w:val="TOC2"/>
        <w:rPr>
          <w:rFonts w:asciiTheme="minorHAnsi" w:eastAsiaTheme="minorEastAsia" w:hAnsiTheme="minorHAnsi" w:cstheme="minorBidi"/>
          <w:sz w:val="22"/>
          <w:szCs w:val="22"/>
        </w:rPr>
      </w:pPr>
      <w:hyperlink w:anchor="_Toc12795272" w:history="1">
        <w:r w:rsidR="001E471C" w:rsidRPr="001E471C">
          <w:rPr>
            <w:rStyle w:val="Hyperlink"/>
          </w:rPr>
          <w:t>9.7 Summary</w:t>
        </w:r>
        <w:r w:rsidR="001E471C" w:rsidRPr="001E471C">
          <w:rPr>
            <w:webHidden/>
          </w:rPr>
          <w:tab/>
        </w:r>
        <w:r w:rsidR="001E471C" w:rsidRPr="001E471C">
          <w:rPr>
            <w:webHidden/>
          </w:rPr>
          <w:fldChar w:fldCharType="begin"/>
        </w:r>
        <w:r w:rsidR="001E471C" w:rsidRPr="001E471C">
          <w:rPr>
            <w:webHidden/>
          </w:rPr>
          <w:instrText xml:space="preserve"> PAGEREF _Toc12795272 \h </w:instrText>
        </w:r>
        <w:r w:rsidR="001E471C" w:rsidRPr="001E471C">
          <w:rPr>
            <w:webHidden/>
          </w:rPr>
        </w:r>
        <w:r w:rsidR="001E471C" w:rsidRPr="001E471C">
          <w:rPr>
            <w:webHidden/>
          </w:rPr>
          <w:fldChar w:fldCharType="separate"/>
        </w:r>
        <w:r w:rsidR="00E353DF">
          <w:rPr>
            <w:webHidden/>
          </w:rPr>
          <w:t>171</w:t>
        </w:r>
        <w:r w:rsidR="001E471C" w:rsidRPr="001E471C">
          <w:rPr>
            <w:webHidden/>
          </w:rPr>
          <w:fldChar w:fldCharType="end"/>
        </w:r>
      </w:hyperlink>
    </w:p>
    <w:p w14:paraId="1B312B69" w14:textId="15622F9E" w:rsidR="001E471C" w:rsidRDefault="009D7B65" w:rsidP="00356FAA">
      <w:pPr>
        <w:pStyle w:val="TOC1"/>
        <w:rPr>
          <w:rFonts w:asciiTheme="minorHAnsi" w:eastAsiaTheme="minorEastAsia" w:hAnsiTheme="minorHAnsi" w:cstheme="minorBidi"/>
          <w:b w:val="0"/>
          <w:sz w:val="22"/>
          <w:szCs w:val="22"/>
        </w:rPr>
      </w:pPr>
      <w:hyperlink w:anchor="_Toc12795273" w:history="1">
        <w:r w:rsidR="001E471C" w:rsidRPr="00E97DC8">
          <w:rPr>
            <w:rStyle w:val="Hyperlink"/>
          </w:rPr>
          <w:t>Section 10</w:t>
        </w:r>
        <w:r w:rsidR="001E471C">
          <w:rPr>
            <w:rStyle w:val="Hyperlink"/>
          </w:rPr>
          <w:br/>
        </w:r>
        <w:r w:rsidR="001E471C" w:rsidRPr="00E97DC8">
          <w:rPr>
            <w:rStyle w:val="Hyperlink"/>
          </w:rPr>
          <w:t>Multistate and State Initiatives</w:t>
        </w:r>
        <w:r w:rsidR="001E471C">
          <w:rPr>
            <w:webHidden/>
          </w:rPr>
          <w:tab/>
        </w:r>
        <w:r w:rsidR="001E471C">
          <w:rPr>
            <w:webHidden/>
          </w:rPr>
          <w:fldChar w:fldCharType="begin"/>
        </w:r>
        <w:r w:rsidR="001E471C">
          <w:rPr>
            <w:webHidden/>
          </w:rPr>
          <w:instrText xml:space="preserve"> PAGEREF _Toc12795273 \h </w:instrText>
        </w:r>
        <w:r w:rsidR="001E471C">
          <w:rPr>
            <w:webHidden/>
          </w:rPr>
        </w:r>
        <w:r w:rsidR="001E471C">
          <w:rPr>
            <w:webHidden/>
          </w:rPr>
          <w:fldChar w:fldCharType="separate"/>
        </w:r>
        <w:r w:rsidR="00E353DF">
          <w:rPr>
            <w:webHidden/>
          </w:rPr>
          <w:t>172</w:t>
        </w:r>
        <w:r w:rsidR="001E471C">
          <w:rPr>
            <w:webHidden/>
          </w:rPr>
          <w:fldChar w:fldCharType="end"/>
        </w:r>
      </w:hyperlink>
    </w:p>
    <w:p w14:paraId="485B11D8" w14:textId="6526A0D6" w:rsidR="001E471C" w:rsidRPr="001E471C" w:rsidRDefault="009D7B65" w:rsidP="00356FAA">
      <w:pPr>
        <w:pStyle w:val="TOC2"/>
        <w:rPr>
          <w:rFonts w:asciiTheme="minorHAnsi" w:eastAsiaTheme="minorEastAsia" w:hAnsiTheme="minorHAnsi" w:cstheme="minorBidi"/>
          <w:sz w:val="22"/>
          <w:szCs w:val="22"/>
        </w:rPr>
      </w:pPr>
      <w:hyperlink w:anchor="_Toc12795274" w:history="1">
        <w:r w:rsidR="001E471C" w:rsidRPr="001E471C">
          <w:rPr>
            <w:rStyle w:val="Hyperlink"/>
          </w:rPr>
          <w:t>10.1 Multistate Initiatives</w:t>
        </w:r>
        <w:r w:rsidR="001E471C" w:rsidRPr="001E471C">
          <w:rPr>
            <w:webHidden/>
          </w:rPr>
          <w:tab/>
        </w:r>
        <w:r w:rsidR="001E471C" w:rsidRPr="001E471C">
          <w:rPr>
            <w:webHidden/>
          </w:rPr>
          <w:fldChar w:fldCharType="begin"/>
        </w:r>
        <w:r w:rsidR="001E471C" w:rsidRPr="001E471C">
          <w:rPr>
            <w:webHidden/>
          </w:rPr>
          <w:instrText xml:space="preserve"> PAGEREF _Toc12795274 \h </w:instrText>
        </w:r>
        <w:r w:rsidR="001E471C" w:rsidRPr="001E471C">
          <w:rPr>
            <w:webHidden/>
          </w:rPr>
        </w:r>
        <w:r w:rsidR="001E471C" w:rsidRPr="001E471C">
          <w:rPr>
            <w:webHidden/>
          </w:rPr>
          <w:fldChar w:fldCharType="separate"/>
        </w:r>
        <w:r w:rsidR="00E353DF">
          <w:rPr>
            <w:webHidden/>
          </w:rPr>
          <w:t>172</w:t>
        </w:r>
        <w:r w:rsidR="001E471C" w:rsidRPr="001E471C">
          <w:rPr>
            <w:webHidden/>
          </w:rPr>
          <w:fldChar w:fldCharType="end"/>
        </w:r>
      </w:hyperlink>
    </w:p>
    <w:p w14:paraId="68C855DF" w14:textId="441965BE" w:rsidR="001E471C" w:rsidRPr="00E90382" w:rsidRDefault="009D7B65" w:rsidP="00CF2B8B">
      <w:pPr>
        <w:pStyle w:val="TOC3"/>
        <w:spacing w:after="120" w:line="240" w:lineRule="auto"/>
        <w:rPr>
          <w:rFonts w:asciiTheme="minorHAnsi" w:eastAsiaTheme="minorEastAsia" w:hAnsiTheme="minorHAnsi" w:cstheme="minorBidi"/>
          <w:b w:val="0"/>
          <w:sz w:val="22"/>
          <w:szCs w:val="22"/>
        </w:rPr>
      </w:pPr>
      <w:hyperlink w:anchor="_Toc12795275" w:history="1">
        <w:r w:rsidR="001E471C" w:rsidRPr="00E90382">
          <w:rPr>
            <w:rStyle w:val="Hyperlink"/>
            <w:rFonts w:eastAsiaTheme="majorEastAsia"/>
            <w:b w:val="0"/>
          </w:rPr>
          <w:t>10.1.1</w:t>
        </w:r>
        <w:r w:rsidR="001E471C" w:rsidRPr="00E90382">
          <w:rPr>
            <w:rStyle w:val="Hyperlink"/>
            <w:rFonts w:eastAsiaTheme="majorEastAsia"/>
            <w:b w:val="0"/>
            <w:bCs/>
          </w:rPr>
          <w:t xml:space="preserve"> Coordination among the New England States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_Toc12795275 \h </w:instrText>
        </w:r>
        <w:r w:rsidR="001E471C" w:rsidRPr="00E90382">
          <w:rPr>
            <w:b w:val="0"/>
            <w:webHidden/>
          </w:rPr>
        </w:r>
        <w:r w:rsidR="001E471C" w:rsidRPr="00E90382">
          <w:rPr>
            <w:b w:val="0"/>
            <w:webHidden/>
          </w:rPr>
          <w:fldChar w:fldCharType="separate"/>
        </w:r>
        <w:r w:rsidR="00E353DF">
          <w:rPr>
            <w:b w:val="0"/>
            <w:webHidden/>
          </w:rPr>
          <w:t>172</w:t>
        </w:r>
        <w:r w:rsidR="001E471C" w:rsidRPr="00E90382">
          <w:rPr>
            <w:b w:val="0"/>
            <w:webHidden/>
          </w:rPr>
          <w:fldChar w:fldCharType="end"/>
        </w:r>
      </w:hyperlink>
    </w:p>
    <w:p w14:paraId="68933403" w14:textId="57BA78A2" w:rsidR="001E471C" w:rsidRPr="00E90382" w:rsidRDefault="009D7B65" w:rsidP="00CF2B8B">
      <w:pPr>
        <w:pStyle w:val="TOC3"/>
        <w:spacing w:after="120" w:line="240" w:lineRule="auto"/>
        <w:rPr>
          <w:rFonts w:asciiTheme="minorHAnsi" w:eastAsiaTheme="minorEastAsia" w:hAnsiTheme="minorHAnsi" w:cstheme="minorBidi"/>
          <w:b w:val="0"/>
          <w:sz w:val="22"/>
          <w:szCs w:val="22"/>
        </w:rPr>
      </w:pPr>
      <w:hyperlink w:anchor="_Toc12795276" w:history="1">
        <w:r w:rsidR="001E471C" w:rsidRPr="00E90382">
          <w:rPr>
            <w:rStyle w:val="Hyperlink"/>
            <w:rFonts w:eastAsiaTheme="majorEastAsia"/>
            <w:b w:val="0"/>
          </w:rPr>
          <w:t>10.1.2</w:t>
        </w:r>
        <w:r w:rsidR="001E471C" w:rsidRPr="00E90382">
          <w:rPr>
            <w:rStyle w:val="Hyperlink"/>
            <w:rFonts w:eastAsiaTheme="majorEastAsia"/>
            <w:b w:val="0"/>
            <w:bCs/>
          </w:rPr>
          <w:t xml:space="preserve"> Consumer Liaison Group</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_Toc12795276 \h </w:instrText>
        </w:r>
        <w:r w:rsidR="001E471C" w:rsidRPr="00E90382">
          <w:rPr>
            <w:b w:val="0"/>
            <w:webHidden/>
          </w:rPr>
        </w:r>
        <w:r w:rsidR="001E471C" w:rsidRPr="00E90382">
          <w:rPr>
            <w:b w:val="0"/>
            <w:webHidden/>
          </w:rPr>
          <w:fldChar w:fldCharType="separate"/>
        </w:r>
        <w:r w:rsidR="00E353DF">
          <w:rPr>
            <w:b w:val="0"/>
            <w:webHidden/>
          </w:rPr>
          <w:t>173</w:t>
        </w:r>
        <w:r w:rsidR="001E471C" w:rsidRPr="00E90382">
          <w:rPr>
            <w:b w:val="0"/>
            <w:webHidden/>
          </w:rPr>
          <w:fldChar w:fldCharType="end"/>
        </w:r>
      </w:hyperlink>
    </w:p>
    <w:p w14:paraId="723F356C" w14:textId="2C5A1B0F" w:rsidR="001E471C" w:rsidRPr="00E90382" w:rsidRDefault="009D7B65" w:rsidP="00CF2B8B">
      <w:pPr>
        <w:pStyle w:val="TOC3"/>
        <w:spacing w:after="120" w:line="240" w:lineRule="auto"/>
        <w:rPr>
          <w:rFonts w:asciiTheme="minorHAnsi" w:eastAsiaTheme="minorEastAsia" w:hAnsiTheme="minorHAnsi" w:cstheme="minorBidi"/>
          <w:b w:val="0"/>
          <w:sz w:val="22"/>
          <w:szCs w:val="22"/>
        </w:rPr>
      </w:pPr>
      <w:hyperlink w:anchor="_Toc12795277" w:history="1">
        <w:r w:rsidR="001E471C" w:rsidRPr="00E90382">
          <w:rPr>
            <w:rStyle w:val="Hyperlink"/>
            <w:rFonts w:eastAsiaTheme="majorEastAsia"/>
            <w:b w:val="0"/>
          </w:rPr>
          <w:t>10.1.3</w:t>
        </w:r>
        <w:r w:rsidR="001E471C" w:rsidRPr="00E90382">
          <w:rPr>
            <w:rStyle w:val="Hyperlink"/>
            <w:rFonts w:eastAsiaTheme="majorEastAsia"/>
            <w:b w:val="0"/>
            <w:bCs/>
          </w:rPr>
          <w:t xml:space="preserve"> New England State Governors’ Actions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_Toc12795277 \h </w:instrText>
        </w:r>
        <w:r w:rsidR="001E471C" w:rsidRPr="00E90382">
          <w:rPr>
            <w:b w:val="0"/>
            <w:webHidden/>
          </w:rPr>
        </w:r>
        <w:r w:rsidR="001E471C" w:rsidRPr="00E90382">
          <w:rPr>
            <w:b w:val="0"/>
            <w:webHidden/>
          </w:rPr>
          <w:fldChar w:fldCharType="separate"/>
        </w:r>
        <w:r w:rsidR="00E353DF">
          <w:rPr>
            <w:b w:val="0"/>
            <w:webHidden/>
          </w:rPr>
          <w:t>173</w:t>
        </w:r>
        <w:r w:rsidR="001E471C" w:rsidRPr="00E90382">
          <w:rPr>
            <w:b w:val="0"/>
            <w:webHidden/>
          </w:rPr>
          <w:fldChar w:fldCharType="end"/>
        </w:r>
      </w:hyperlink>
    </w:p>
    <w:p w14:paraId="7DF1645F" w14:textId="070E3AF0" w:rsidR="001E471C" w:rsidRPr="00E90382" w:rsidRDefault="009D7B65" w:rsidP="00CF2B8B">
      <w:pPr>
        <w:pStyle w:val="TOC3"/>
        <w:spacing w:after="120" w:line="240" w:lineRule="auto"/>
        <w:rPr>
          <w:rFonts w:asciiTheme="minorHAnsi" w:eastAsiaTheme="minorEastAsia" w:hAnsiTheme="minorHAnsi" w:cstheme="minorBidi"/>
          <w:b w:val="0"/>
          <w:sz w:val="22"/>
          <w:szCs w:val="22"/>
        </w:rPr>
      </w:pPr>
      <w:hyperlink w:anchor="_Toc12795278" w:history="1">
        <w:r w:rsidR="001E471C" w:rsidRPr="00E90382">
          <w:rPr>
            <w:rStyle w:val="Hyperlink"/>
            <w:rFonts w:eastAsiaTheme="majorEastAsia"/>
            <w:b w:val="0"/>
          </w:rPr>
          <w:t>10.1.4</w:t>
        </w:r>
        <w:r w:rsidR="001E471C" w:rsidRPr="00E90382">
          <w:rPr>
            <w:rStyle w:val="Hyperlink"/>
            <w:rFonts w:eastAsiaTheme="majorEastAsia"/>
            <w:b w:val="0"/>
            <w:bCs/>
          </w:rPr>
          <w:t xml:space="preserve"> New England Governors and Eastern Canadian Premiers</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_Toc12795278 \h </w:instrText>
        </w:r>
        <w:r w:rsidR="001E471C" w:rsidRPr="00E90382">
          <w:rPr>
            <w:b w:val="0"/>
            <w:webHidden/>
          </w:rPr>
        </w:r>
        <w:r w:rsidR="001E471C" w:rsidRPr="00E90382">
          <w:rPr>
            <w:b w:val="0"/>
            <w:webHidden/>
          </w:rPr>
          <w:fldChar w:fldCharType="separate"/>
        </w:r>
        <w:r w:rsidR="00E353DF">
          <w:rPr>
            <w:b w:val="0"/>
            <w:webHidden/>
          </w:rPr>
          <w:t>173</w:t>
        </w:r>
        <w:r w:rsidR="001E471C" w:rsidRPr="00E90382">
          <w:rPr>
            <w:b w:val="0"/>
            <w:webHidden/>
          </w:rPr>
          <w:fldChar w:fldCharType="end"/>
        </w:r>
      </w:hyperlink>
    </w:p>
    <w:p w14:paraId="30A47F55" w14:textId="0F7DBD27" w:rsidR="001E471C" w:rsidRPr="00E90382" w:rsidRDefault="009D7B65" w:rsidP="00356FAA">
      <w:pPr>
        <w:pStyle w:val="TOC2"/>
        <w:rPr>
          <w:rFonts w:asciiTheme="minorHAnsi" w:eastAsiaTheme="minorEastAsia" w:hAnsiTheme="minorHAnsi" w:cstheme="minorBidi"/>
          <w:sz w:val="22"/>
          <w:szCs w:val="22"/>
        </w:rPr>
      </w:pPr>
      <w:hyperlink w:anchor="_Toc12795279" w:history="1">
        <w:r w:rsidR="001E471C" w:rsidRPr="00E90382">
          <w:rPr>
            <w:rStyle w:val="Hyperlink"/>
          </w:rPr>
          <w:t>10.2 Individual State Initiatives, Activities, and Policies</w:t>
        </w:r>
        <w:r w:rsidR="001E471C" w:rsidRPr="00E90382">
          <w:rPr>
            <w:webHidden/>
          </w:rPr>
          <w:tab/>
        </w:r>
        <w:r w:rsidR="001E471C" w:rsidRPr="00E90382">
          <w:rPr>
            <w:webHidden/>
          </w:rPr>
          <w:fldChar w:fldCharType="begin"/>
        </w:r>
        <w:r w:rsidR="001E471C" w:rsidRPr="00E90382">
          <w:rPr>
            <w:webHidden/>
          </w:rPr>
          <w:instrText xml:space="preserve"> PAGEREF _Toc12795279 \h </w:instrText>
        </w:r>
        <w:r w:rsidR="001E471C" w:rsidRPr="00E90382">
          <w:rPr>
            <w:webHidden/>
          </w:rPr>
        </w:r>
        <w:r w:rsidR="001E471C" w:rsidRPr="00E90382">
          <w:rPr>
            <w:webHidden/>
          </w:rPr>
          <w:fldChar w:fldCharType="separate"/>
        </w:r>
        <w:r w:rsidR="00E353DF">
          <w:rPr>
            <w:webHidden/>
          </w:rPr>
          <w:t>174</w:t>
        </w:r>
        <w:r w:rsidR="001E471C" w:rsidRPr="00E90382">
          <w:rPr>
            <w:webHidden/>
          </w:rPr>
          <w:fldChar w:fldCharType="end"/>
        </w:r>
      </w:hyperlink>
    </w:p>
    <w:p w14:paraId="31B5AC3B" w14:textId="6E33565B" w:rsidR="001E471C" w:rsidRPr="00E90382" w:rsidRDefault="009D7B65" w:rsidP="00CF2B8B">
      <w:pPr>
        <w:pStyle w:val="TOC3"/>
        <w:spacing w:after="120" w:line="240" w:lineRule="auto"/>
        <w:rPr>
          <w:rFonts w:asciiTheme="minorHAnsi" w:eastAsiaTheme="minorEastAsia" w:hAnsiTheme="minorHAnsi" w:cstheme="minorBidi"/>
          <w:b w:val="0"/>
          <w:sz w:val="22"/>
          <w:szCs w:val="22"/>
        </w:rPr>
      </w:pPr>
      <w:hyperlink w:anchor="_Toc12795280" w:history="1">
        <w:r w:rsidR="001E471C" w:rsidRPr="00E90382">
          <w:rPr>
            <w:rStyle w:val="Hyperlink"/>
            <w:rFonts w:eastAsiaTheme="majorEastAsia"/>
            <w:b w:val="0"/>
          </w:rPr>
          <w:t>10.2.1</w:t>
        </w:r>
        <w:r w:rsidR="001E471C" w:rsidRPr="00E90382">
          <w:rPr>
            <w:rStyle w:val="Hyperlink"/>
            <w:rFonts w:eastAsiaTheme="majorEastAsia"/>
            <w:b w:val="0"/>
            <w:bCs/>
          </w:rPr>
          <w:t xml:space="preserve"> Connecticut</w:t>
        </w:r>
        <w:r w:rsidR="001E471C" w:rsidRPr="00E90382">
          <w:rPr>
            <w:b w:val="0"/>
            <w:webHidden/>
          </w:rPr>
          <w:tab/>
        </w:r>
        <w:r w:rsidR="001E471C" w:rsidRPr="00E90382">
          <w:rPr>
            <w:b w:val="0"/>
            <w:webHidden/>
          </w:rPr>
          <w:fldChar w:fldCharType="begin"/>
        </w:r>
        <w:r w:rsidR="001E471C" w:rsidRPr="00E90382">
          <w:rPr>
            <w:b w:val="0"/>
            <w:webHidden/>
          </w:rPr>
          <w:instrText xml:space="preserve"> PAGEREF _Toc12795280 \h </w:instrText>
        </w:r>
        <w:r w:rsidR="001E471C" w:rsidRPr="00E90382">
          <w:rPr>
            <w:b w:val="0"/>
            <w:webHidden/>
          </w:rPr>
        </w:r>
        <w:r w:rsidR="001E471C" w:rsidRPr="00E90382">
          <w:rPr>
            <w:b w:val="0"/>
            <w:webHidden/>
          </w:rPr>
          <w:fldChar w:fldCharType="separate"/>
        </w:r>
        <w:r w:rsidR="00E353DF">
          <w:rPr>
            <w:b w:val="0"/>
            <w:webHidden/>
          </w:rPr>
          <w:t>174</w:t>
        </w:r>
        <w:r w:rsidR="001E471C" w:rsidRPr="00E90382">
          <w:rPr>
            <w:b w:val="0"/>
            <w:webHidden/>
          </w:rPr>
          <w:fldChar w:fldCharType="end"/>
        </w:r>
      </w:hyperlink>
    </w:p>
    <w:p w14:paraId="219D30CC" w14:textId="711FBB1D"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81" w:history="1">
        <w:r w:rsidR="001E471C" w:rsidRPr="001E471C">
          <w:rPr>
            <w:rStyle w:val="Hyperlink"/>
            <w:rFonts w:eastAsiaTheme="majorEastAsia"/>
            <w:b w:val="0"/>
          </w:rPr>
          <w:t>10.2.2 Maine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_Toc12795281 \h </w:instrText>
        </w:r>
        <w:r w:rsidR="001E471C" w:rsidRPr="001E471C">
          <w:rPr>
            <w:b w:val="0"/>
            <w:webHidden/>
          </w:rPr>
        </w:r>
        <w:r w:rsidR="001E471C" w:rsidRPr="001E471C">
          <w:rPr>
            <w:b w:val="0"/>
            <w:webHidden/>
          </w:rPr>
          <w:fldChar w:fldCharType="separate"/>
        </w:r>
        <w:r w:rsidR="00E353DF">
          <w:rPr>
            <w:b w:val="0"/>
            <w:webHidden/>
          </w:rPr>
          <w:t>175</w:t>
        </w:r>
        <w:r w:rsidR="001E471C" w:rsidRPr="001E471C">
          <w:rPr>
            <w:b w:val="0"/>
            <w:webHidden/>
          </w:rPr>
          <w:fldChar w:fldCharType="end"/>
        </w:r>
      </w:hyperlink>
    </w:p>
    <w:p w14:paraId="2665C206" w14:textId="11C80811"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82" w:history="1">
        <w:r w:rsidR="001E471C" w:rsidRPr="001E471C">
          <w:rPr>
            <w:rStyle w:val="Hyperlink"/>
            <w:rFonts w:eastAsiaTheme="majorEastAsia"/>
            <w:b w:val="0"/>
          </w:rPr>
          <w:t>10.2.3 Massachusetts</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_Toc12795282 \h </w:instrText>
        </w:r>
        <w:r w:rsidR="001E471C" w:rsidRPr="001E471C">
          <w:rPr>
            <w:b w:val="0"/>
            <w:webHidden/>
          </w:rPr>
        </w:r>
        <w:r w:rsidR="001E471C" w:rsidRPr="001E471C">
          <w:rPr>
            <w:b w:val="0"/>
            <w:webHidden/>
          </w:rPr>
          <w:fldChar w:fldCharType="separate"/>
        </w:r>
        <w:r w:rsidR="00E353DF">
          <w:rPr>
            <w:b w:val="0"/>
            <w:webHidden/>
          </w:rPr>
          <w:t>176</w:t>
        </w:r>
        <w:r w:rsidR="001E471C" w:rsidRPr="001E471C">
          <w:rPr>
            <w:b w:val="0"/>
            <w:webHidden/>
          </w:rPr>
          <w:fldChar w:fldCharType="end"/>
        </w:r>
      </w:hyperlink>
    </w:p>
    <w:p w14:paraId="28D137B3" w14:textId="4A80F7A7"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83" w:history="1">
        <w:r w:rsidR="001E471C" w:rsidRPr="001E471C">
          <w:rPr>
            <w:rStyle w:val="Hyperlink"/>
            <w:rFonts w:eastAsiaTheme="majorEastAsia"/>
            <w:b w:val="0"/>
          </w:rPr>
          <w:t>10.2.4 New Hampshire</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_Toc12795283 \h </w:instrText>
        </w:r>
        <w:r w:rsidR="001E471C" w:rsidRPr="001E471C">
          <w:rPr>
            <w:b w:val="0"/>
            <w:webHidden/>
          </w:rPr>
        </w:r>
        <w:r w:rsidR="001E471C" w:rsidRPr="001E471C">
          <w:rPr>
            <w:b w:val="0"/>
            <w:webHidden/>
          </w:rPr>
          <w:fldChar w:fldCharType="separate"/>
        </w:r>
        <w:r w:rsidR="00E353DF">
          <w:rPr>
            <w:b w:val="0"/>
            <w:webHidden/>
          </w:rPr>
          <w:t>177</w:t>
        </w:r>
        <w:r w:rsidR="001E471C" w:rsidRPr="001E471C">
          <w:rPr>
            <w:b w:val="0"/>
            <w:webHidden/>
          </w:rPr>
          <w:fldChar w:fldCharType="end"/>
        </w:r>
      </w:hyperlink>
    </w:p>
    <w:p w14:paraId="7D52877E" w14:textId="19EE7730"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84" w:history="1">
        <w:r w:rsidR="001E471C" w:rsidRPr="001E471C">
          <w:rPr>
            <w:rStyle w:val="Hyperlink"/>
            <w:rFonts w:eastAsiaTheme="majorEastAsia"/>
            <w:b w:val="0"/>
          </w:rPr>
          <w:t>10.2.5 Rhode Island</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_Toc12795284 \h </w:instrText>
        </w:r>
        <w:r w:rsidR="001E471C" w:rsidRPr="001E471C">
          <w:rPr>
            <w:b w:val="0"/>
            <w:webHidden/>
          </w:rPr>
        </w:r>
        <w:r w:rsidR="001E471C" w:rsidRPr="001E471C">
          <w:rPr>
            <w:b w:val="0"/>
            <w:webHidden/>
          </w:rPr>
          <w:fldChar w:fldCharType="separate"/>
        </w:r>
        <w:r w:rsidR="00E353DF">
          <w:rPr>
            <w:b w:val="0"/>
            <w:webHidden/>
          </w:rPr>
          <w:t>177</w:t>
        </w:r>
        <w:r w:rsidR="001E471C" w:rsidRPr="001E471C">
          <w:rPr>
            <w:b w:val="0"/>
            <w:webHidden/>
          </w:rPr>
          <w:fldChar w:fldCharType="end"/>
        </w:r>
      </w:hyperlink>
    </w:p>
    <w:p w14:paraId="6224F930" w14:textId="7ADDACDF" w:rsidR="001E471C" w:rsidRPr="001E471C" w:rsidRDefault="009D7B65" w:rsidP="00CF2B8B">
      <w:pPr>
        <w:pStyle w:val="TOC3"/>
        <w:spacing w:after="120" w:line="240" w:lineRule="auto"/>
        <w:rPr>
          <w:rFonts w:asciiTheme="minorHAnsi" w:eastAsiaTheme="minorEastAsia" w:hAnsiTheme="minorHAnsi" w:cstheme="minorBidi"/>
          <w:b w:val="0"/>
          <w:sz w:val="22"/>
          <w:szCs w:val="22"/>
        </w:rPr>
      </w:pPr>
      <w:hyperlink w:anchor="_Toc12795285" w:history="1">
        <w:r w:rsidR="001E471C" w:rsidRPr="001E471C">
          <w:rPr>
            <w:rStyle w:val="Hyperlink"/>
            <w:rFonts w:eastAsiaTheme="majorEastAsia"/>
            <w:b w:val="0"/>
          </w:rPr>
          <w:t>10.2.6 Vermont</w:t>
        </w:r>
        <w:r w:rsidR="001E471C" w:rsidRPr="001E471C">
          <w:rPr>
            <w:b w:val="0"/>
            <w:webHidden/>
          </w:rPr>
          <w:tab/>
        </w:r>
        <w:r w:rsidR="001E471C" w:rsidRPr="001E471C">
          <w:rPr>
            <w:b w:val="0"/>
            <w:webHidden/>
          </w:rPr>
          <w:fldChar w:fldCharType="begin"/>
        </w:r>
        <w:r w:rsidR="001E471C" w:rsidRPr="001E471C">
          <w:rPr>
            <w:b w:val="0"/>
            <w:webHidden/>
          </w:rPr>
          <w:instrText xml:space="preserve"> PAGEREF _Toc12795285 \h </w:instrText>
        </w:r>
        <w:r w:rsidR="001E471C" w:rsidRPr="001E471C">
          <w:rPr>
            <w:b w:val="0"/>
            <w:webHidden/>
          </w:rPr>
        </w:r>
        <w:r w:rsidR="001E471C" w:rsidRPr="001E471C">
          <w:rPr>
            <w:b w:val="0"/>
            <w:webHidden/>
          </w:rPr>
          <w:fldChar w:fldCharType="separate"/>
        </w:r>
        <w:r w:rsidR="00E353DF">
          <w:rPr>
            <w:b w:val="0"/>
            <w:webHidden/>
          </w:rPr>
          <w:t>177</w:t>
        </w:r>
        <w:r w:rsidR="001E471C" w:rsidRPr="001E471C">
          <w:rPr>
            <w:b w:val="0"/>
            <w:webHidden/>
          </w:rPr>
          <w:fldChar w:fldCharType="end"/>
        </w:r>
      </w:hyperlink>
    </w:p>
    <w:p w14:paraId="3F788F90" w14:textId="71B8D008" w:rsidR="001E471C" w:rsidRPr="001E471C" w:rsidRDefault="009D7B65" w:rsidP="00356FAA">
      <w:pPr>
        <w:pStyle w:val="TOC2"/>
        <w:rPr>
          <w:rFonts w:asciiTheme="minorHAnsi" w:eastAsiaTheme="minorEastAsia" w:hAnsiTheme="minorHAnsi" w:cstheme="minorBidi"/>
          <w:sz w:val="22"/>
          <w:szCs w:val="22"/>
        </w:rPr>
      </w:pPr>
      <w:hyperlink w:anchor="_Toc12795286" w:history="1">
        <w:r w:rsidR="001E471C" w:rsidRPr="001E471C">
          <w:rPr>
            <w:rStyle w:val="Hyperlink"/>
          </w:rPr>
          <w:t>10.3 Summary of Initiatives</w:t>
        </w:r>
        <w:r w:rsidR="001E471C" w:rsidRPr="001E471C">
          <w:rPr>
            <w:webHidden/>
          </w:rPr>
          <w:tab/>
        </w:r>
        <w:r w:rsidR="001E471C" w:rsidRPr="001E471C">
          <w:rPr>
            <w:webHidden/>
          </w:rPr>
          <w:fldChar w:fldCharType="begin"/>
        </w:r>
        <w:r w:rsidR="001E471C" w:rsidRPr="001E471C">
          <w:rPr>
            <w:webHidden/>
          </w:rPr>
          <w:instrText xml:space="preserve"> PAGEREF _Toc12795286 \h </w:instrText>
        </w:r>
        <w:r w:rsidR="001E471C" w:rsidRPr="001E471C">
          <w:rPr>
            <w:webHidden/>
          </w:rPr>
        </w:r>
        <w:r w:rsidR="001E471C" w:rsidRPr="001E471C">
          <w:rPr>
            <w:webHidden/>
          </w:rPr>
          <w:fldChar w:fldCharType="separate"/>
        </w:r>
        <w:r w:rsidR="00E353DF">
          <w:rPr>
            <w:webHidden/>
          </w:rPr>
          <w:t>178</w:t>
        </w:r>
        <w:r w:rsidR="001E471C" w:rsidRPr="001E471C">
          <w:rPr>
            <w:webHidden/>
          </w:rPr>
          <w:fldChar w:fldCharType="end"/>
        </w:r>
      </w:hyperlink>
    </w:p>
    <w:p w14:paraId="0F285B16" w14:textId="0D7A83E4" w:rsidR="001E471C" w:rsidRDefault="009D7B65" w:rsidP="00356FAA">
      <w:pPr>
        <w:pStyle w:val="TOC1"/>
        <w:rPr>
          <w:rFonts w:asciiTheme="minorHAnsi" w:eastAsiaTheme="minorEastAsia" w:hAnsiTheme="minorHAnsi" w:cstheme="minorBidi"/>
          <w:b w:val="0"/>
          <w:sz w:val="22"/>
          <w:szCs w:val="22"/>
        </w:rPr>
      </w:pPr>
      <w:hyperlink w:anchor="_Toc12795287" w:history="1">
        <w:r w:rsidR="001E471C" w:rsidRPr="00E97DC8">
          <w:rPr>
            <w:rStyle w:val="Hyperlink"/>
          </w:rPr>
          <w:t>Section 11</w:t>
        </w:r>
        <w:r w:rsidR="001E471C">
          <w:rPr>
            <w:rStyle w:val="Hyperlink"/>
          </w:rPr>
          <w:br/>
        </w:r>
        <w:r w:rsidR="001E471C" w:rsidRPr="00E97DC8">
          <w:rPr>
            <w:rStyle w:val="Hyperlink"/>
          </w:rPr>
          <w:t>Key Findings and Conclusions</w:t>
        </w:r>
        <w:r w:rsidR="001E471C">
          <w:rPr>
            <w:webHidden/>
          </w:rPr>
          <w:tab/>
        </w:r>
        <w:r w:rsidR="001E471C">
          <w:rPr>
            <w:webHidden/>
          </w:rPr>
          <w:fldChar w:fldCharType="begin"/>
        </w:r>
        <w:r w:rsidR="001E471C">
          <w:rPr>
            <w:webHidden/>
          </w:rPr>
          <w:instrText xml:space="preserve"> PAGEREF _Toc12795287 \h </w:instrText>
        </w:r>
        <w:r w:rsidR="001E471C">
          <w:rPr>
            <w:webHidden/>
          </w:rPr>
        </w:r>
        <w:r w:rsidR="001E471C">
          <w:rPr>
            <w:webHidden/>
          </w:rPr>
          <w:fldChar w:fldCharType="separate"/>
        </w:r>
        <w:r w:rsidR="00E353DF">
          <w:rPr>
            <w:webHidden/>
          </w:rPr>
          <w:t>179</w:t>
        </w:r>
        <w:r w:rsidR="001E471C">
          <w:rPr>
            <w:webHidden/>
          </w:rPr>
          <w:fldChar w:fldCharType="end"/>
        </w:r>
      </w:hyperlink>
    </w:p>
    <w:p w14:paraId="1A3B1151" w14:textId="7EB282DF" w:rsidR="001E471C" w:rsidRDefault="009D7B65" w:rsidP="00356FAA">
      <w:pPr>
        <w:pStyle w:val="TOC1"/>
        <w:rPr>
          <w:rFonts w:asciiTheme="minorHAnsi" w:eastAsiaTheme="minorEastAsia" w:hAnsiTheme="minorHAnsi" w:cstheme="minorBidi"/>
          <w:b w:val="0"/>
          <w:sz w:val="22"/>
          <w:szCs w:val="22"/>
        </w:rPr>
      </w:pPr>
      <w:hyperlink w:anchor="_Toc12795288" w:history="1">
        <w:r w:rsidR="001E471C" w:rsidRPr="00E97DC8">
          <w:rPr>
            <w:rStyle w:val="Hyperlink"/>
          </w:rPr>
          <w:t>Acronyms and Abbreviations</w:t>
        </w:r>
        <w:r w:rsidR="001E471C">
          <w:rPr>
            <w:webHidden/>
          </w:rPr>
          <w:tab/>
        </w:r>
        <w:r w:rsidR="001E471C">
          <w:rPr>
            <w:webHidden/>
          </w:rPr>
          <w:fldChar w:fldCharType="begin"/>
        </w:r>
        <w:r w:rsidR="001E471C">
          <w:rPr>
            <w:webHidden/>
          </w:rPr>
          <w:instrText xml:space="preserve"> PAGEREF _Toc12795288 \h </w:instrText>
        </w:r>
        <w:r w:rsidR="001E471C">
          <w:rPr>
            <w:webHidden/>
          </w:rPr>
        </w:r>
        <w:r w:rsidR="001E471C">
          <w:rPr>
            <w:webHidden/>
          </w:rPr>
          <w:fldChar w:fldCharType="separate"/>
        </w:r>
        <w:r w:rsidR="00E353DF">
          <w:rPr>
            <w:webHidden/>
          </w:rPr>
          <w:t>182</w:t>
        </w:r>
        <w:r w:rsidR="001E471C">
          <w:rPr>
            <w:webHidden/>
          </w:rPr>
          <w:fldChar w:fldCharType="end"/>
        </w:r>
      </w:hyperlink>
    </w:p>
    <w:p w14:paraId="67141E59" w14:textId="77777777" w:rsidR="002B6DED" w:rsidRDefault="00D945E2" w:rsidP="00C37475">
      <w:pPr>
        <w:tabs>
          <w:tab w:val="right" w:leader="dot" w:pos="8910"/>
        </w:tabs>
        <w:spacing w:after="80" w:line="240" w:lineRule="auto"/>
        <w:ind w:right="-86"/>
        <w:rPr>
          <w:rFonts w:asciiTheme="majorHAnsi" w:eastAsia="Times New Roman" w:hAnsiTheme="majorHAnsi"/>
          <w:bCs/>
        </w:rPr>
      </w:pPr>
      <w:r w:rsidRPr="005A4357">
        <w:rPr>
          <w:rFonts w:asciiTheme="majorHAnsi" w:eastAsia="Times New Roman" w:hAnsiTheme="majorHAnsi"/>
          <w:bCs/>
        </w:rPr>
        <w:fldChar w:fldCharType="end"/>
      </w:r>
    </w:p>
    <w:p w14:paraId="09DD38F1" w14:textId="77777777" w:rsidR="002B6DED" w:rsidRDefault="002B6DED" w:rsidP="00D945E2">
      <w:pPr>
        <w:tabs>
          <w:tab w:val="right" w:leader="dot" w:pos="8910"/>
        </w:tabs>
        <w:spacing w:after="120" w:line="240" w:lineRule="auto"/>
        <w:ind w:right="-86"/>
        <w:rPr>
          <w:rFonts w:asciiTheme="majorHAnsi" w:eastAsia="Times New Roman" w:hAnsiTheme="majorHAnsi"/>
          <w:bCs/>
        </w:rPr>
        <w:sectPr w:rsidR="002B6DED" w:rsidSect="00443144">
          <w:headerReference w:type="default" r:id="rId17"/>
          <w:footerReference w:type="default" r:id="rId18"/>
          <w:pgSz w:w="12240" w:h="15840"/>
          <w:pgMar w:top="1440" w:right="1080" w:bottom="1440" w:left="1800" w:header="720" w:footer="720" w:gutter="0"/>
          <w:pgNumType w:fmt="lowerRoman" w:start="5"/>
          <w:cols w:space="720"/>
          <w:docGrid w:linePitch="360"/>
        </w:sectPr>
      </w:pPr>
    </w:p>
    <w:p w14:paraId="06DE2BA7" w14:textId="77777777" w:rsidR="00D945E2" w:rsidRDefault="00D945E2" w:rsidP="00D945E2">
      <w:pPr>
        <w:pStyle w:val="Heading1"/>
        <w:numPr>
          <w:ilvl w:val="0"/>
          <w:numId w:val="0"/>
        </w:numPr>
      </w:pPr>
      <w:bookmarkStart w:id="30" w:name="_Toc12795131"/>
      <w:r w:rsidRPr="00312B9F">
        <w:lastRenderedPageBreak/>
        <w:t>Figures</w:t>
      </w:r>
      <w:bookmarkEnd w:id="30"/>
    </w:p>
    <w:p w14:paraId="60C4E2B5" w14:textId="76C5F51C" w:rsidR="001659EB" w:rsidRPr="001659EB" w:rsidRDefault="00080294" w:rsidP="001659EB">
      <w:pPr>
        <w:pStyle w:val="TableofFigures"/>
        <w:tabs>
          <w:tab w:val="right" w:leader="dot" w:pos="9350"/>
        </w:tabs>
        <w:ind w:left="1080" w:hanging="1080"/>
        <w:rPr>
          <w:rFonts w:asciiTheme="minorHAnsi" w:eastAsiaTheme="minorEastAsia" w:hAnsiTheme="minorHAnsi" w:cstheme="minorBidi"/>
          <w:noProof/>
          <w:sz w:val="22"/>
          <w:szCs w:val="22"/>
        </w:rPr>
      </w:pPr>
      <w:r w:rsidRPr="00330F0D">
        <w:rPr>
          <w:rFonts w:asciiTheme="minorHAnsi" w:hAnsiTheme="minorHAnsi" w:cs="Arial"/>
        </w:rPr>
        <w:fldChar w:fldCharType="begin"/>
      </w:r>
      <w:r w:rsidRPr="00080294">
        <w:rPr>
          <w:rFonts w:asciiTheme="minorHAnsi" w:hAnsiTheme="minorHAnsi" w:cs="Arial"/>
        </w:rPr>
        <w:instrText xml:space="preserve"> TOC \h \z \c "Figure" </w:instrText>
      </w:r>
      <w:r w:rsidRPr="00330F0D">
        <w:rPr>
          <w:rFonts w:asciiTheme="minorHAnsi" w:hAnsiTheme="minorHAnsi" w:cs="Arial"/>
        </w:rPr>
        <w:fldChar w:fldCharType="separate"/>
      </w:r>
      <w:hyperlink w:anchor="_Toc17709737" w:history="1">
        <w:r w:rsidR="001659EB" w:rsidRPr="001659EB">
          <w:rPr>
            <w:rStyle w:val="Hyperlink"/>
            <w:noProof/>
          </w:rPr>
          <w:t>Figure 2</w:t>
        </w:r>
        <w:r w:rsidR="001659EB" w:rsidRPr="001659EB">
          <w:rPr>
            <w:rStyle w:val="Hyperlink"/>
            <w:noProof/>
          </w:rPr>
          <w:noBreakHyphen/>
          <w:t xml:space="preserve">1: </w:t>
        </w:r>
        <w:r w:rsidR="001659EB" w:rsidRPr="001659EB">
          <w:rPr>
            <w:rStyle w:val="Hyperlink"/>
            <w:noProof/>
          </w:rPr>
          <w:tab/>
          <w:t>ISO New England system planning process.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_Toc17709737 \h </w:instrText>
        </w:r>
        <w:r w:rsidR="001659EB" w:rsidRPr="001659EB">
          <w:rPr>
            <w:noProof/>
            <w:webHidden/>
          </w:rPr>
        </w:r>
        <w:r w:rsidR="001659EB" w:rsidRPr="001659EB">
          <w:rPr>
            <w:noProof/>
            <w:webHidden/>
          </w:rPr>
          <w:fldChar w:fldCharType="separate"/>
        </w:r>
        <w:r w:rsidR="00E353DF">
          <w:rPr>
            <w:noProof/>
            <w:webHidden/>
          </w:rPr>
          <w:t>25</w:t>
        </w:r>
        <w:r w:rsidR="001659EB" w:rsidRPr="001659EB">
          <w:rPr>
            <w:noProof/>
            <w:webHidden/>
          </w:rPr>
          <w:fldChar w:fldCharType="end"/>
        </w:r>
      </w:hyperlink>
    </w:p>
    <w:p w14:paraId="7C3A3289" w14:textId="3DDFC54B"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38" w:history="1">
        <w:r w:rsidR="001659EB" w:rsidRPr="001659EB">
          <w:rPr>
            <w:rStyle w:val="Hyperlink"/>
            <w:noProof/>
          </w:rPr>
          <w:t>Figure 2</w:t>
        </w:r>
        <w:r w:rsidR="001659EB" w:rsidRPr="001659EB">
          <w:rPr>
            <w:rStyle w:val="Hyperlink"/>
            <w:noProof/>
          </w:rPr>
          <w:noBreakHyphen/>
          <w:t xml:space="preserve">2: </w:t>
        </w:r>
        <w:r w:rsidR="001659EB" w:rsidRPr="001659EB">
          <w:rPr>
            <w:rStyle w:val="Hyperlink"/>
            <w:noProof/>
          </w:rPr>
          <w:tab/>
          <w:t>Key facts about New England’s electric power system and wholesale electricity markets.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_Toc17709738 \h </w:instrText>
        </w:r>
        <w:r w:rsidR="001659EB" w:rsidRPr="001659EB">
          <w:rPr>
            <w:noProof/>
            <w:webHidden/>
          </w:rPr>
        </w:r>
        <w:r w:rsidR="001659EB" w:rsidRPr="001659EB">
          <w:rPr>
            <w:noProof/>
            <w:webHidden/>
          </w:rPr>
          <w:fldChar w:fldCharType="separate"/>
        </w:r>
        <w:r w:rsidR="00E353DF">
          <w:rPr>
            <w:noProof/>
            <w:webHidden/>
          </w:rPr>
          <w:t>28</w:t>
        </w:r>
        <w:r w:rsidR="001659EB" w:rsidRPr="001659EB">
          <w:rPr>
            <w:noProof/>
            <w:webHidden/>
          </w:rPr>
          <w:fldChar w:fldCharType="end"/>
        </w:r>
      </w:hyperlink>
    </w:p>
    <w:p w14:paraId="5FB1AA7A" w14:textId="33EAAA9C"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39" w:history="1">
        <w:r w:rsidR="001659EB" w:rsidRPr="001659EB">
          <w:rPr>
            <w:rStyle w:val="Hyperlink"/>
            <w:noProof/>
          </w:rPr>
          <w:t>Figure 2</w:t>
        </w:r>
        <w:r w:rsidR="001659EB" w:rsidRPr="001659EB">
          <w:rPr>
            <w:rStyle w:val="Hyperlink"/>
            <w:noProof/>
          </w:rPr>
          <w:noBreakHyphen/>
          <w:t xml:space="preserve">3: </w:t>
        </w:r>
        <w:r w:rsidR="001659EB" w:rsidRPr="001659EB">
          <w:rPr>
            <w:rStyle w:val="Hyperlink"/>
            <w:noProof/>
          </w:rPr>
          <w:tab/>
          <w:t>RSP19 geographic scope of the New England electric power system.</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_Toc17709739 \h </w:instrText>
        </w:r>
        <w:r w:rsidR="001659EB" w:rsidRPr="001659EB">
          <w:rPr>
            <w:noProof/>
            <w:webHidden/>
          </w:rPr>
        </w:r>
        <w:r w:rsidR="001659EB" w:rsidRPr="001659EB">
          <w:rPr>
            <w:noProof/>
            <w:webHidden/>
          </w:rPr>
          <w:fldChar w:fldCharType="separate"/>
        </w:r>
        <w:r w:rsidR="00E353DF">
          <w:rPr>
            <w:noProof/>
            <w:webHidden/>
          </w:rPr>
          <w:t>32</w:t>
        </w:r>
        <w:r w:rsidR="001659EB" w:rsidRPr="001659EB">
          <w:rPr>
            <w:noProof/>
            <w:webHidden/>
          </w:rPr>
          <w:fldChar w:fldCharType="end"/>
        </w:r>
      </w:hyperlink>
    </w:p>
    <w:p w14:paraId="3DE5FC23" w14:textId="2DD07A04"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0" w:history="1">
        <w:r w:rsidR="001659EB" w:rsidRPr="001659EB">
          <w:rPr>
            <w:rStyle w:val="Hyperlink"/>
            <w:noProof/>
          </w:rPr>
          <w:t>Figure 2</w:t>
        </w:r>
        <w:r w:rsidR="001659EB" w:rsidRPr="001659EB">
          <w:rPr>
            <w:rStyle w:val="Hyperlink"/>
            <w:noProof/>
          </w:rPr>
          <w:noBreakHyphen/>
          <w:t xml:space="preserve">4: </w:t>
        </w:r>
        <w:r w:rsidR="001659EB" w:rsidRPr="001659EB">
          <w:rPr>
            <w:rStyle w:val="Hyperlink"/>
            <w:noProof/>
          </w:rPr>
          <w:tab/>
          <w:t>Wholesale load zones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_Toc17709740 \h </w:instrText>
        </w:r>
        <w:r w:rsidR="001659EB" w:rsidRPr="001659EB">
          <w:rPr>
            <w:noProof/>
            <w:webHidden/>
          </w:rPr>
        </w:r>
        <w:r w:rsidR="001659EB" w:rsidRPr="001659EB">
          <w:rPr>
            <w:noProof/>
            <w:webHidden/>
          </w:rPr>
          <w:fldChar w:fldCharType="separate"/>
        </w:r>
        <w:r w:rsidR="00E353DF">
          <w:rPr>
            <w:noProof/>
            <w:webHidden/>
          </w:rPr>
          <w:t>33</w:t>
        </w:r>
        <w:r w:rsidR="001659EB" w:rsidRPr="001659EB">
          <w:rPr>
            <w:noProof/>
            <w:webHidden/>
          </w:rPr>
          <w:fldChar w:fldCharType="end"/>
        </w:r>
      </w:hyperlink>
    </w:p>
    <w:p w14:paraId="3B06A12F" w14:textId="3EBBCF30"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1" w:history="1">
        <w:r w:rsidR="001659EB" w:rsidRPr="001659EB">
          <w:rPr>
            <w:rStyle w:val="Hyperlink"/>
            <w:noProof/>
          </w:rPr>
          <w:t>Figure 2</w:t>
        </w:r>
        <w:r w:rsidR="001659EB" w:rsidRPr="001659EB">
          <w:rPr>
            <w:rStyle w:val="Hyperlink"/>
            <w:noProof/>
          </w:rPr>
          <w:noBreakHyphen/>
          <w:t xml:space="preserve">5: </w:t>
        </w:r>
        <w:r w:rsidR="001659EB" w:rsidRPr="001659EB">
          <w:rPr>
            <w:rStyle w:val="Hyperlink"/>
            <w:noProof/>
          </w:rPr>
          <w:tab/>
          <w:t>Dispatch zones for active demand capacity resources in the ISO New England system.</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_Toc17709741 \h </w:instrText>
        </w:r>
        <w:r w:rsidR="001659EB" w:rsidRPr="001659EB">
          <w:rPr>
            <w:noProof/>
            <w:webHidden/>
          </w:rPr>
        </w:r>
        <w:r w:rsidR="001659EB" w:rsidRPr="001659EB">
          <w:rPr>
            <w:noProof/>
            <w:webHidden/>
          </w:rPr>
          <w:fldChar w:fldCharType="separate"/>
        </w:r>
        <w:r w:rsidR="00E353DF">
          <w:rPr>
            <w:noProof/>
            <w:webHidden/>
          </w:rPr>
          <w:t>34</w:t>
        </w:r>
        <w:r w:rsidR="001659EB" w:rsidRPr="001659EB">
          <w:rPr>
            <w:noProof/>
            <w:webHidden/>
          </w:rPr>
          <w:fldChar w:fldCharType="end"/>
        </w:r>
      </w:hyperlink>
    </w:p>
    <w:p w14:paraId="08625315" w14:textId="4E8401C0"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2" w:history="1">
        <w:r w:rsidR="001659EB" w:rsidRPr="001659EB">
          <w:rPr>
            <w:rStyle w:val="Hyperlink"/>
            <w:noProof/>
          </w:rPr>
          <w:t>Figure 2</w:t>
        </w:r>
        <w:r w:rsidR="001659EB" w:rsidRPr="001659EB">
          <w:rPr>
            <w:rStyle w:val="Hyperlink"/>
            <w:noProof/>
          </w:rPr>
          <w:noBreakHyphen/>
          <w:t xml:space="preserve">6: </w:t>
        </w:r>
        <w:r w:rsidR="001659EB" w:rsidRPr="001659EB">
          <w:rPr>
            <w:rStyle w:val="Hyperlink"/>
            <w:noProof/>
          </w:rPr>
          <w:tab/>
          <w:t>Capacity zones to be modeled for FCA 14.</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_Toc17709742 \h </w:instrText>
        </w:r>
        <w:r w:rsidR="001659EB" w:rsidRPr="001659EB">
          <w:rPr>
            <w:noProof/>
            <w:webHidden/>
          </w:rPr>
        </w:r>
        <w:r w:rsidR="001659EB" w:rsidRPr="001659EB">
          <w:rPr>
            <w:noProof/>
            <w:webHidden/>
          </w:rPr>
          <w:fldChar w:fldCharType="separate"/>
        </w:r>
        <w:r w:rsidR="00E353DF">
          <w:rPr>
            <w:noProof/>
            <w:webHidden/>
          </w:rPr>
          <w:t>35</w:t>
        </w:r>
        <w:r w:rsidR="001659EB" w:rsidRPr="001659EB">
          <w:rPr>
            <w:noProof/>
            <w:webHidden/>
          </w:rPr>
          <w:fldChar w:fldCharType="end"/>
        </w:r>
      </w:hyperlink>
    </w:p>
    <w:p w14:paraId="3F19F949" w14:textId="04834A1A"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3" w:history="1">
        <w:r w:rsidR="001659EB" w:rsidRPr="001659EB">
          <w:rPr>
            <w:rStyle w:val="Hyperlink"/>
            <w:bCs/>
            <w:noProof/>
          </w:rPr>
          <w:t>Figure 3</w:t>
        </w:r>
        <w:r w:rsidR="001659EB" w:rsidRPr="001659EB">
          <w:rPr>
            <w:rStyle w:val="Hyperlink"/>
            <w:bCs/>
            <w:noProof/>
          </w:rPr>
          <w:noBreakHyphen/>
          <w:t xml:space="preserve">1: </w:t>
        </w:r>
        <w:r w:rsidR="001659EB" w:rsidRPr="001659EB">
          <w:rPr>
            <w:rStyle w:val="Hyperlink"/>
            <w:bCs/>
            <w:noProof/>
          </w:rPr>
          <w:tab/>
          <w:t>The ISO’s historical summer gross peak loads (reconstituted to include the megawatt</w:t>
        </w:r>
        <w:r w:rsidR="001659EB">
          <w:rPr>
            <w:rStyle w:val="Hyperlink"/>
            <w:bCs/>
            <w:noProof/>
          </w:rPr>
          <w:br/>
        </w:r>
        <w:r w:rsidR="001659EB" w:rsidRPr="001659EB">
          <w:rPr>
            <w:rStyle w:val="Hyperlink"/>
            <w:bCs/>
            <w:noProof/>
          </w:rPr>
          <w:t>reductions from active demand resources, EE, and BTM PV) and the 50/50 and 90/10 forecasts,</w:t>
        </w:r>
        <w:r w:rsidR="001659EB">
          <w:rPr>
            <w:rStyle w:val="Hyperlink"/>
            <w:bCs/>
            <w:noProof/>
          </w:rPr>
          <w:br/>
        </w:r>
        <w:r w:rsidR="001659EB" w:rsidRPr="001659EB">
          <w:rPr>
            <w:rStyle w:val="Hyperlink"/>
            <w:bCs/>
            <w:noProof/>
          </w:rPr>
          <w:t>1992 to 2018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_Toc17709743 \h </w:instrText>
        </w:r>
        <w:r w:rsidR="001659EB" w:rsidRPr="001659EB">
          <w:rPr>
            <w:noProof/>
            <w:webHidden/>
          </w:rPr>
        </w:r>
        <w:r w:rsidR="001659EB" w:rsidRPr="001659EB">
          <w:rPr>
            <w:noProof/>
            <w:webHidden/>
          </w:rPr>
          <w:fldChar w:fldCharType="separate"/>
        </w:r>
        <w:r w:rsidR="00E353DF">
          <w:rPr>
            <w:noProof/>
            <w:webHidden/>
          </w:rPr>
          <w:t>40</w:t>
        </w:r>
        <w:r w:rsidR="001659EB" w:rsidRPr="001659EB">
          <w:rPr>
            <w:noProof/>
            <w:webHidden/>
          </w:rPr>
          <w:fldChar w:fldCharType="end"/>
        </w:r>
      </w:hyperlink>
    </w:p>
    <w:p w14:paraId="627D493F" w14:textId="722C69AE"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4" w:history="1">
        <w:r w:rsidR="001659EB" w:rsidRPr="001659EB">
          <w:rPr>
            <w:rStyle w:val="Hyperlink"/>
            <w:rFonts w:eastAsia="Times New Roman"/>
            <w:bCs/>
            <w:noProof/>
          </w:rPr>
          <w:t>Figure 3</w:t>
        </w:r>
        <w:r w:rsidR="001659EB" w:rsidRPr="001659EB">
          <w:rPr>
            <w:rStyle w:val="Hyperlink"/>
            <w:rFonts w:eastAsia="Times New Roman"/>
            <w:bCs/>
            <w:noProof/>
          </w:rPr>
          <w:noBreakHyphen/>
          <w:t xml:space="preserve">2: </w:t>
        </w:r>
        <w:r w:rsidR="001659EB" w:rsidRPr="001659EB">
          <w:rPr>
            <w:rStyle w:val="Hyperlink"/>
            <w:rFonts w:eastAsia="Times New Roman"/>
            <w:bCs/>
            <w:noProof/>
          </w:rPr>
          <w:tab/>
          <w:t>Cumulative New England PV forecast for each classification of PV,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_Toc17709744 \h </w:instrText>
        </w:r>
        <w:r w:rsidR="001659EB" w:rsidRPr="001659EB">
          <w:rPr>
            <w:noProof/>
            <w:webHidden/>
          </w:rPr>
        </w:r>
        <w:r w:rsidR="001659EB" w:rsidRPr="001659EB">
          <w:rPr>
            <w:noProof/>
            <w:webHidden/>
          </w:rPr>
          <w:fldChar w:fldCharType="separate"/>
        </w:r>
        <w:r w:rsidR="00E353DF">
          <w:rPr>
            <w:noProof/>
            <w:webHidden/>
          </w:rPr>
          <w:t>43</w:t>
        </w:r>
        <w:r w:rsidR="001659EB" w:rsidRPr="001659EB">
          <w:rPr>
            <w:noProof/>
            <w:webHidden/>
          </w:rPr>
          <w:fldChar w:fldCharType="end"/>
        </w:r>
      </w:hyperlink>
    </w:p>
    <w:p w14:paraId="7B6FED05" w14:textId="3CC14AD0"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5" w:history="1">
        <w:r w:rsidR="001659EB" w:rsidRPr="001659EB">
          <w:rPr>
            <w:rStyle w:val="Hyperlink"/>
            <w:noProof/>
          </w:rPr>
          <w:t>Figure 3</w:t>
        </w:r>
        <w:r w:rsidR="001659EB" w:rsidRPr="001659EB">
          <w:rPr>
            <w:rStyle w:val="Hyperlink"/>
            <w:noProof/>
          </w:rPr>
          <w:noBreakHyphen/>
          <w:t>3:</w:t>
        </w:r>
        <w:r w:rsidR="001659EB" w:rsidRPr="001659EB">
          <w:rPr>
            <w:rStyle w:val="Hyperlink"/>
            <w:rFonts w:eastAsia="Times New Roman"/>
            <w:noProof/>
          </w:rPr>
          <w:t xml:space="preserve"> </w:t>
        </w:r>
        <w:r w:rsidR="001659EB" w:rsidRPr="001659EB">
          <w:rPr>
            <w:rStyle w:val="Hyperlink"/>
            <w:rFonts w:eastAsia="Times New Roman"/>
            <w:noProof/>
          </w:rPr>
          <w:tab/>
          <w:t>RSP19 gross annual energy-use forecast; gross energy forecast minus BTM PV;</w:t>
        </w:r>
        <w:r w:rsidR="001659EB">
          <w:rPr>
            <w:rStyle w:val="Hyperlink"/>
            <w:rFonts w:eastAsia="Times New Roman"/>
            <w:noProof/>
          </w:rPr>
          <w:t xml:space="preserve"> </w:t>
        </w:r>
        <w:r w:rsidR="001659EB" w:rsidRPr="001659EB">
          <w:rPr>
            <w:rStyle w:val="Hyperlink"/>
            <w:rFonts w:eastAsia="Times New Roman"/>
            <w:noProof/>
          </w:rPr>
          <w:t>gross energy</w:t>
        </w:r>
        <w:r w:rsidR="001659EB">
          <w:rPr>
            <w:rStyle w:val="Hyperlink"/>
            <w:rFonts w:eastAsia="Times New Roman"/>
            <w:noProof/>
          </w:rPr>
          <w:br/>
        </w:r>
        <w:r w:rsidR="001659EB" w:rsidRPr="001659EB">
          <w:rPr>
            <w:rStyle w:val="Hyperlink"/>
            <w:rFonts w:eastAsia="Times New Roman"/>
            <w:noProof/>
          </w:rPr>
          <w:t>forecast net of EE and BTM PV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_Toc17709745 \h </w:instrText>
        </w:r>
        <w:r w:rsidR="001659EB" w:rsidRPr="001659EB">
          <w:rPr>
            <w:noProof/>
            <w:webHidden/>
          </w:rPr>
        </w:r>
        <w:r w:rsidR="001659EB" w:rsidRPr="001659EB">
          <w:rPr>
            <w:noProof/>
            <w:webHidden/>
          </w:rPr>
          <w:fldChar w:fldCharType="separate"/>
        </w:r>
        <w:r w:rsidR="00E353DF">
          <w:rPr>
            <w:noProof/>
            <w:webHidden/>
          </w:rPr>
          <w:t>45</w:t>
        </w:r>
        <w:r w:rsidR="001659EB" w:rsidRPr="001659EB">
          <w:rPr>
            <w:noProof/>
            <w:webHidden/>
          </w:rPr>
          <w:fldChar w:fldCharType="end"/>
        </w:r>
      </w:hyperlink>
    </w:p>
    <w:p w14:paraId="0FE4D1AE" w14:textId="7FC1FFA4"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6" w:history="1">
        <w:r w:rsidR="001659EB" w:rsidRPr="001659EB">
          <w:rPr>
            <w:rStyle w:val="Hyperlink"/>
            <w:noProof/>
          </w:rPr>
          <w:t>Figure 3</w:t>
        </w:r>
        <w:r w:rsidR="001659EB" w:rsidRPr="001659EB">
          <w:rPr>
            <w:rStyle w:val="Hyperlink"/>
            <w:noProof/>
          </w:rPr>
          <w:noBreakHyphen/>
          <w:t xml:space="preserve">4: </w:t>
        </w:r>
        <w:r w:rsidR="001659EB" w:rsidRPr="001659EB">
          <w:rPr>
            <w:rStyle w:val="Hyperlink"/>
            <w:noProof/>
          </w:rPr>
          <w:tab/>
          <w:t>RSP19 gross summer peak demand forecast (90/10); gross demand forecast minus</w:t>
        </w:r>
        <w:r w:rsidR="001659EB">
          <w:rPr>
            <w:rStyle w:val="Hyperlink"/>
            <w:noProof/>
          </w:rPr>
          <w:t xml:space="preserve"> </w:t>
        </w:r>
        <w:r w:rsidR="001659EB" w:rsidRPr="001659EB">
          <w:rPr>
            <w:rStyle w:val="Hyperlink"/>
            <w:noProof/>
          </w:rPr>
          <w:t>BTM PV;</w:t>
        </w:r>
        <w:r w:rsidR="001659EB">
          <w:rPr>
            <w:rStyle w:val="Hyperlink"/>
            <w:noProof/>
          </w:rPr>
          <w:br/>
        </w:r>
        <w:r w:rsidR="001659EB" w:rsidRPr="001659EB">
          <w:rPr>
            <w:rStyle w:val="Hyperlink"/>
            <w:noProof/>
          </w:rPr>
          <w:t>and net of EE and BTM PV demand forecast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_Toc17709746 \h </w:instrText>
        </w:r>
        <w:r w:rsidR="001659EB" w:rsidRPr="001659EB">
          <w:rPr>
            <w:noProof/>
            <w:webHidden/>
          </w:rPr>
        </w:r>
        <w:r w:rsidR="001659EB" w:rsidRPr="001659EB">
          <w:rPr>
            <w:noProof/>
            <w:webHidden/>
          </w:rPr>
          <w:fldChar w:fldCharType="separate"/>
        </w:r>
        <w:r w:rsidR="00E353DF">
          <w:rPr>
            <w:noProof/>
            <w:webHidden/>
          </w:rPr>
          <w:t>45</w:t>
        </w:r>
        <w:r w:rsidR="001659EB" w:rsidRPr="001659EB">
          <w:rPr>
            <w:noProof/>
            <w:webHidden/>
          </w:rPr>
          <w:fldChar w:fldCharType="end"/>
        </w:r>
      </w:hyperlink>
    </w:p>
    <w:p w14:paraId="584CB33C" w14:textId="20690222"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7" w:history="1">
        <w:r w:rsidR="001659EB" w:rsidRPr="001659EB">
          <w:rPr>
            <w:rStyle w:val="Hyperlink"/>
            <w:bCs/>
            <w:noProof/>
          </w:rPr>
          <w:t>Figure 3</w:t>
        </w:r>
        <w:r w:rsidR="001659EB" w:rsidRPr="001659EB">
          <w:rPr>
            <w:rStyle w:val="Hyperlink"/>
            <w:bCs/>
            <w:noProof/>
          </w:rPr>
          <w:noBreakHyphen/>
          <w:t xml:space="preserve">5: </w:t>
        </w:r>
        <w:r w:rsidR="001659EB" w:rsidRPr="001659EB">
          <w:rPr>
            <w:rStyle w:val="Hyperlink"/>
            <w:bCs/>
            <w:noProof/>
          </w:rPr>
          <w:tab/>
          <w:t>RSP19 gross winter peak demand forecast (90/10); gross demand forecast minus BTM PV;</w:t>
        </w:r>
        <w:r w:rsidR="001659EB">
          <w:rPr>
            <w:rStyle w:val="Hyperlink"/>
            <w:bCs/>
            <w:noProof/>
          </w:rPr>
          <w:br/>
        </w:r>
        <w:r w:rsidR="001659EB" w:rsidRPr="001659EB">
          <w:rPr>
            <w:rStyle w:val="Hyperlink"/>
            <w:bCs/>
            <w:noProof/>
          </w:rPr>
          <w:t>and net of EE and BTM PV demand forecast for 2019 to 2028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_Toc17709747 \h </w:instrText>
        </w:r>
        <w:r w:rsidR="001659EB" w:rsidRPr="001659EB">
          <w:rPr>
            <w:noProof/>
            <w:webHidden/>
          </w:rPr>
        </w:r>
        <w:r w:rsidR="001659EB" w:rsidRPr="001659EB">
          <w:rPr>
            <w:noProof/>
            <w:webHidden/>
          </w:rPr>
          <w:fldChar w:fldCharType="separate"/>
        </w:r>
        <w:r w:rsidR="00E353DF">
          <w:rPr>
            <w:noProof/>
            <w:webHidden/>
          </w:rPr>
          <w:t>46</w:t>
        </w:r>
        <w:r w:rsidR="001659EB" w:rsidRPr="001659EB">
          <w:rPr>
            <w:noProof/>
            <w:webHidden/>
          </w:rPr>
          <w:fldChar w:fldCharType="end"/>
        </w:r>
      </w:hyperlink>
    </w:p>
    <w:p w14:paraId="1184F963" w14:textId="5A9F83BC"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8" w:history="1">
        <w:r w:rsidR="001659EB" w:rsidRPr="001659EB">
          <w:rPr>
            <w:rStyle w:val="Hyperlink"/>
            <w:noProof/>
          </w:rPr>
          <w:t>Figure 4</w:t>
        </w:r>
        <w:r w:rsidR="001659EB" w:rsidRPr="001659EB">
          <w:rPr>
            <w:rStyle w:val="Hyperlink"/>
            <w:noProof/>
          </w:rPr>
          <w:noBreakHyphen/>
          <w:t xml:space="preserve">1: </w:t>
        </w:r>
        <w:r w:rsidR="001659EB" w:rsidRPr="001659EB">
          <w:rPr>
            <w:rStyle w:val="Hyperlink"/>
            <w:noProof/>
          </w:rPr>
          <w:tab/>
          <w:t>Comparison of cleared new summer and winter energy-efficiency resources by capacity</w:t>
        </w:r>
        <w:r w:rsidR="001659EB">
          <w:rPr>
            <w:rStyle w:val="Hyperlink"/>
            <w:noProof/>
          </w:rPr>
          <w:br/>
        </w:r>
        <w:r w:rsidR="001659EB" w:rsidRPr="001659EB">
          <w:rPr>
            <w:rStyle w:val="Hyperlink"/>
            <w:noProof/>
          </w:rPr>
          <w:t xml:space="preserve"> commitment period, CCP 2010/2011 to CCP 2022/2023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_Toc17709748 \h </w:instrText>
        </w:r>
        <w:r w:rsidR="001659EB" w:rsidRPr="001659EB">
          <w:rPr>
            <w:noProof/>
            <w:webHidden/>
          </w:rPr>
        </w:r>
        <w:r w:rsidR="001659EB" w:rsidRPr="001659EB">
          <w:rPr>
            <w:noProof/>
            <w:webHidden/>
          </w:rPr>
          <w:fldChar w:fldCharType="separate"/>
        </w:r>
        <w:r w:rsidR="00E353DF">
          <w:rPr>
            <w:noProof/>
            <w:webHidden/>
          </w:rPr>
          <w:t>58</w:t>
        </w:r>
        <w:r w:rsidR="001659EB" w:rsidRPr="001659EB">
          <w:rPr>
            <w:noProof/>
            <w:webHidden/>
          </w:rPr>
          <w:fldChar w:fldCharType="end"/>
        </w:r>
      </w:hyperlink>
    </w:p>
    <w:p w14:paraId="356016B8" w14:textId="43458457"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49" w:history="1">
        <w:r w:rsidR="001659EB" w:rsidRPr="001659EB">
          <w:rPr>
            <w:rStyle w:val="Hyperlink"/>
            <w:bCs/>
            <w:noProof/>
          </w:rPr>
          <w:t>F</w:t>
        </w:r>
        <w:r w:rsidR="001659EB" w:rsidRPr="001659EB">
          <w:rPr>
            <w:rStyle w:val="Hyperlink"/>
            <w:noProof/>
          </w:rPr>
          <w:t>igure 4</w:t>
        </w:r>
        <w:r w:rsidR="001659EB" w:rsidRPr="001659EB">
          <w:rPr>
            <w:rStyle w:val="Hyperlink"/>
            <w:noProof/>
          </w:rPr>
          <w:noBreakHyphen/>
          <w:t xml:space="preserve">2: </w:t>
        </w:r>
        <w:r w:rsidR="001659EB" w:rsidRPr="001659EB">
          <w:rPr>
            <w:rStyle w:val="Hyperlink"/>
            <w:noProof/>
          </w:rPr>
          <w:tab/>
          <w:t>Summary of new capacity additions and retirements clearing in each FCA, for FCA 8</w:t>
        </w:r>
        <w:r w:rsidR="001659EB">
          <w:rPr>
            <w:rStyle w:val="Hyperlink"/>
            <w:noProof/>
          </w:rPr>
          <w:br/>
        </w:r>
        <w:r w:rsidR="001659EB" w:rsidRPr="001659EB">
          <w:rPr>
            <w:rStyle w:val="Hyperlink"/>
            <w:noProof/>
          </w:rPr>
          <w:t>to</w:t>
        </w:r>
        <w:r w:rsidR="001659EB">
          <w:rPr>
            <w:rStyle w:val="Hyperlink"/>
            <w:noProof/>
          </w:rPr>
          <w:t xml:space="preserve"> </w:t>
        </w:r>
        <w:r w:rsidR="001659EB" w:rsidRPr="001659EB">
          <w:rPr>
            <w:rStyle w:val="Hyperlink"/>
            <w:noProof/>
          </w:rPr>
          <w:t>FCA 13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_Toc17709749 \h </w:instrText>
        </w:r>
        <w:r w:rsidR="001659EB" w:rsidRPr="001659EB">
          <w:rPr>
            <w:noProof/>
            <w:webHidden/>
          </w:rPr>
        </w:r>
        <w:r w:rsidR="001659EB" w:rsidRPr="001659EB">
          <w:rPr>
            <w:noProof/>
            <w:webHidden/>
          </w:rPr>
          <w:fldChar w:fldCharType="separate"/>
        </w:r>
        <w:r w:rsidR="00E353DF">
          <w:rPr>
            <w:noProof/>
            <w:webHidden/>
          </w:rPr>
          <w:t>60</w:t>
        </w:r>
        <w:r w:rsidR="001659EB" w:rsidRPr="001659EB">
          <w:rPr>
            <w:noProof/>
            <w:webHidden/>
          </w:rPr>
          <w:fldChar w:fldCharType="end"/>
        </w:r>
      </w:hyperlink>
    </w:p>
    <w:p w14:paraId="42545CD2" w14:textId="429E8243"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0" w:history="1">
        <w:r w:rsidR="001659EB" w:rsidRPr="001659EB">
          <w:rPr>
            <w:rStyle w:val="Hyperlink"/>
            <w:bCs/>
            <w:noProof/>
          </w:rPr>
          <w:t>Figure 4</w:t>
        </w:r>
        <w:r w:rsidR="001659EB" w:rsidRPr="001659EB">
          <w:rPr>
            <w:rStyle w:val="Hyperlink"/>
            <w:bCs/>
            <w:noProof/>
          </w:rPr>
          <w:noBreakHyphen/>
          <w:t xml:space="preserve">3: </w:t>
        </w:r>
        <w:r w:rsidR="001659EB" w:rsidRPr="001659EB">
          <w:rPr>
            <w:rStyle w:val="Hyperlink"/>
            <w:bCs/>
            <w:noProof/>
          </w:rPr>
          <w:tab/>
          <w:t>Capacity of generation-interconnection requests by load zone, November 1997</w:t>
        </w:r>
        <w:r w:rsidR="001659EB">
          <w:rPr>
            <w:rStyle w:val="Hyperlink"/>
            <w:bCs/>
            <w:noProof/>
          </w:rPr>
          <w:br/>
        </w:r>
        <w:r w:rsidR="001659EB" w:rsidRPr="001659EB">
          <w:rPr>
            <w:rStyle w:val="Hyperlink"/>
            <w:bCs/>
            <w:noProof/>
          </w:rPr>
          <w:t>to April 2019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_Toc17709750 \h </w:instrText>
        </w:r>
        <w:r w:rsidR="001659EB" w:rsidRPr="001659EB">
          <w:rPr>
            <w:noProof/>
            <w:webHidden/>
          </w:rPr>
        </w:r>
        <w:r w:rsidR="001659EB" w:rsidRPr="001659EB">
          <w:rPr>
            <w:noProof/>
            <w:webHidden/>
          </w:rPr>
          <w:fldChar w:fldCharType="separate"/>
        </w:r>
        <w:r w:rsidR="00E353DF">
          <w:rPr>
            <w:noProof/>
            <w:webHidden/>
          </w:rPr>
          <w:t>72</w:t>
        </w:r>
        <w:r w:rsidR="001659EB" w:rsidRPr="001659EB">
          <w:rPr>
            <w:noProof/>
            <w:webHidden/>
          </w:rPr>
          <w:fldChar w:fldCharType="end"/>
        </w:r>
      </w:hyperlink>
    </w:p>
    <w:p w14:paraId="3979C52C" w14:textId="0016E836"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1" w:history="1">
        <w:r w:rsidR="001659EB" w:rsidRPr="001659EB">
          <w:rPr>
            <w:rStyle w:val="Hyperlink"/>
            <w:bCs/>
            <w:noProof/>
          </w:rPr>
          <w:t>Figure 4</w:t>
        </w:r>
        <w:r w:rsidR="001659EB" w:rsidRPr="001659EB">
          <w:rPr>
            <w:rStyle w:val="Hyperlink"/>
            <w:bCs/>
            <w:noProof/>
          </w:rPr>
          <w:noBreakHyphen/>
          <w:t xml:space="preserve">4: </w:t>
        </w:r>
        <w:r w:rsidR="001659EB" w:rsidRPr="001659EB">
          <w:rPr>
            <w:rStyle w:val="Hyperlink"/>
            <w:bCs/>
            <w:noProof/>
          </w:rPr>
          <w:tab/>
          <w:t>Resources active in the ISO interconnection queue, by state and fuel type, as of April 1, 2019</w:t>
        </w:r>
        <w:r w:rsidR="001659EB">
          <w:rPr>
            <w:rStyle w:val="Hyperlink"/>
            <w:bCs/>
            <w:noProof/>
          </w:rPr>
          <w:br/>
        </w:r>
        <w:r w:rsidR="001659EB" w:rsidRPr="001659EB">
          <w:rPr>
            <w:rStyle w:val="Hyperlink"/>
            <w:bCs/>
            <w:noProof/>
          </w:rPr>
          <w:t>(MW and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_Toc17709751 \h </w:instrText>
        </w:r>
        <w:r w:rsidR="001659EB" w:rsidRPr="001659EB">
          <w:rPr>
            <w:noProof/>
            <w:webHidden/>
          </w:rPr>
        </w:r>
        <w:r w:rsidR="001659EB" w:rsidRPr="001659EB">
          <w:rPr>
            <w:noProof/>
            <w:webHidden/>
          </w:rPr>
          <w:fldChar w:fldCharType="separate"/>
        </w:r>
        <w:r w:rsidR="00E353DF">
          <w:rPr>
            <w:noProof/>
            <w:webHidden/>
          </w:rPr>
          <w:t>73</w:t>
        </w:r>
        <w:r w:rsidR="001659EB" w:rsidRPr="001659EB">
          <w:rPr>
            <w:noProof/>
            <w:webHidden/>
          </w:rPr>
          <w:fldChar w:fldCharType="end"/>
        </w:r>
      </w:hyperlink>
    </w:p>
    <w:p w14:paraId="0F8DFD82" w14:textId="31207B6C"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2" w:history="1">
        <w:r w:rsidR="001659EB" w:rsidRPr="001659EB">
          <w:rPr>
            <w:rStyle w:val="Hyperlink"/>
            <w:bCs/>
            <w:noProof/>
          </w:rPr>
          <w:t>Figure 4</w:t>
        </w:r>
        <w:r w:rsidR="001659EB" w:rsidRPr="001659EB">
          <w:rPr>
            <w:rStyle w:val="Hyperlink"/>
            <w:bCs/>
            <w:noProof/>
          </w:rPr>
          <w:noBreakHyphen/>
          <w:t xml:space="preserve">5: </w:t>
        </w:r>
        <w:r w:rsidR="001659EB" w:rsidRPr="001659EB">
          <w:rPr>
            <w:rStyle w:val="Hyperlink"/>
            <w:bCs/>
            <w:noProof/>
          </w:rPr>
          <w:tab/>
          <w:t>Resources active in the ISO interconnection queue, by fuel type in each load zone, as of April 1, 2019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_Toc17709752 \h </w:instrText>
        </w:r>
        <w:r w:rsidR="001659EB" w:rsidRPr="001659EB">
          <w:rPr>
            <w:noProof/>
            <w:webHidden/>
          </w:rPr>
        </w:r>
        <w:r w:rsidR="001659EB" w:rsidRPr="001659EB">
          <w:rPr>
            <w:noProof/>
            <w:webHidden/>
          </w:rPr>
          <w:fldChar w:fldCharType="separate"/>
        </w:r>
        <w:r w:rsidR="00E353DF">
          <w:rPr>
            <w:noProof/>
            <w:webHidden/>
          </w:rPr>
          <w:t>73</w:t>
        </w:r>
        <w:r w:rsidR="001659EB" w:rsidRPr="001659EB">
          <w:rPr>
            <w:noProof/>
            <w:webHidden/>
          </w:rPr>
          <w:fldChar w:fldCharType="end"/>
        </w:r>
      </w:hyperlink>
    </w:p>
    <w:p w14:paraId="55431381" w14:textId="7E19CF2D"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3" w:history="1">
        <w:r w:rsidR="001659EB" w:rsidRPr="001659EB">
          <w:rPr>
            <w:rStyle w:val="Hyperlink"/>
            <w:bCs/>
            <w:noProof/>
          </w:rPr>
          <w:t>Figure 5</w:t>
        </w:r>
        <w:r w:rsidR="001659EB" w:rsidRPr="001659EB">
          <w:rPr>
            <w:rStyle w:val="Hyperlink"/>
            <w:bCs/>
            <w:noProof/>
          </w:rPr>
          <w:noBreakHyphen/>
          <w:t xml:space="preserve">1: </w:t>
        </w:r>
        <w:r w:rsidR="001659EB" w:rsidRPr="001659EB">
          <w:rPr>
            <w:rStyle w:val="Hyperlink"/>
            <w:bCs/>
            <w:noProof/>
          </w:rPr>
          <w:tab/>
          <w:t>Key study areas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_Toc17709753 \h </w:instrText>
        </w:r>
        <w:r w:rsidR="001659EB" w:rsidRPr="001659EB">
          <w:rPr>
            <w:noProof/>
            <w:webHidden/>
          </w:rPr>
        </w:r>
        <w:r w:rsidR="001659EB" w:rsidRPr="001659EB">
          <w:rPr>
            <w:noProof/>
            <w:webHidden/>
          </w:rPr>
          <w:fldChar w:fldCharType="separate"/>
        </w:r>
        <w:r w:rsidR="00E353DF">
          <w:rPr>
            <w:noProof/>
            <w:webHidden/>
          </w:rPr>
          <w:t>83</w:t>
        </w:r>
        <w:r w:rsidR="001659EB" w:rsidRPr="001659EB">
          <w:rPr>
            <w:noProof/>
            <w:webHidden/>
          </w:rPr>
          <w:fldChar w:fldCharType="end"/>
        </w:r>
      </w:hyperlink>
    </w:p>
    <w:p w14:paraId="09502D4F" w14:textId="00FD5E5C"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4" w:history="1">
        <w:r w:rsidR="001659EB" w:rsidRPr="001659EB">
          <w:rPr>
            <w:rStyle w:val="Hyperlink"/>
            <w:bCs/>
            <w:noProof/>
          </w:rPr>
          <w:t>Figure 6</w:t>
        </w:r>
        <w:r w:rsidR="001659EB" w:rsidRPr="001659EB">
          <w:rPr>
            <w:rStyle w:val="Hyperlink"/>
            <w:bCs/>
            <w:noProof/>
          </w:rPr>
          <w:noBreakHyphen/>
          <w:t xml:space="preserve">1: </w:t>
        </w:r>
        <w:r w:rsidR="001659EB" w:rsidRPr="001659EB">
          <w:rPr>
            <w:rStyle w:val="Hyperlink"/>
            <w:bCs/>
            <w:noProof/>
          </w:rPr>
          <w:tab/>
          <w:t>FCA 13 Import capacity supply obligation by interface and ge</w:t>
        </w:r>
        <w:r w:rsidR="001659EB" w:rsidRPr="001659EB">
          <w:rPr>
            <w:rStyle w:val="Hyperlink"/>
            <w:rFonts w:eastAsia="Times New Roman"/>
            <w:bCs/>
            <w:noProof/>
          </w:rPr>
          <w:t>neration type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_Toc17709754 \h </w:instrText>
        </w:r>
        <w:r w:rsidR="001659EB" w:rsidRPr="001659EB">
          <w:rPr>
            <w:noProof/>
            <w:webHidden/>
          </w:rPr>
        </w:r>
        <w:r w:rsidR="001659EB" w:rsidRPr="001659EB">
          <w:rPr>
            <w:noProof/>
            <w:webHidden/>
          </w:rPr>
          <w:fldChar w:fldCharType="separate"/>
        </w:r>
        <w:r w:rsidR="00E353DF">
          <w:rPr>
            <w:noProof/>
            <w:webHidden/>
          </w:rPr>
          <w:t>112</w:t>
        </w:r>
        <w:r w:rsidR="001659EB" w:rsidRPr="001659EB">
          <w:rPr>
            <w:noProof/>
            <w:webHidden/>
          </w:rPr>
          <w:fldChar w:fldCharType="end"/>
        </w:r>
      </w:hyperlink>
    </w:p>
    <w:p w14:paraId="63E6E353" w14:textId="3A9C2C73"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5" w:history="1">
        <w:r w:rsidR="001659EB" w:rsidRPr="001659EB">
          <w:rPr>
            <w:rStyle w:val="Hyperlink"/>
            <w:bCs/>
            <w:noProof/>
          </w:rPr>
          <w:t>Figure 7</w:t>
        </w:r>
        <w:r w:rsidR="001659EB" w:rsidRPr="001659EB">
          <w:rPr>
            <w:rStyle w:val="Hyperlink"/>
            <w:bCs/>
            <w:noProof/>
          </w:rPr>
          <w:noBreakHyphen/>
          <w:t xml:space="preserve">1: </w:t>
        </w:r>
        <w:r w:rsidR="001659EB" w:rsidRPr="001659EB">
          <w:rPr>
            <w:rStyle w:val="Hyperlink"/>
            <w:bCs/>
            <w:noProof/>
          </w:rPr>
          <w:tab/>
          <w:t>New England’s generator winter seasonal claimed capability (MW, %) and annual electric energy production (GWh, %) by fuel type for 2018.</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_Toc17709755 \h </w:instrText>
        </w:r>
        <w:r w:rsidR="001659EB" w:rsidRPr="001659EB">
          <w:rPr>
            <w:noProof/>
            <w:webHidden/>
          </w:rPr>
        </w:r>
        <w:r w:rsidR="001659EB" w:rsidRPr="001659EB">
          <w:rPr>
            <w:noProof/>
            <w:webHidden/>
          </w:rPr>
          <w:fldChar w:fldCharType="separate"/>
        </w:r>
        <w:r w:rsidR="00E353DF">
          <w:rPr>
            <w:noProof/>
            <w:webHidden/>
          </w:rPr>
          <w:t>115</w:t>
        </w:r>
        <w:r w:rsidR="001659EB" w:rsidRPr="001659EB">
          <w:rPr>
            <w:noProof/>
            <w:webHidden/>
          </w:rPr>
          <w:fldChar w:fldCharType="end"/>
        </w:r>
      </w:hyperlink>
    </w:p>
    <w:p w14:paraId="2BABC6C3" w14:textId="7C66B2F2"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6" w:history="1">
        <w:r w:rsidR="001659EB" w:rsidRPr="001659EB">
          <w:rPr>
            <w:rStyle w:val="Hyperlink"/>
            <w:bCs/>
            <w:noProof/>
          </w:rPr>
          <w:t>Figure 7</w:t>
        </w:r>
        <w:r w:rsidR="001659EB" w:rsidRPr="001659EB">
          <w:rPr>
            <w:rStyle w:val="Hyperlink"/>
            <w:bCs/>
            <w:noProof/>
          </w:rPr>
          <w:noBreakHyphen/>
          <w:t xml:space="preserve">2: </w:t>
        </w:r>
        <w:r w:rsidR="001659EB" w:rsidRPr="001659EB">
          <w:rPr>
            <w:rStyle w:val="Hyperlink"/>
            <w:bCs/>
            <w:noProof/>
          </w:rPr>
          <w:tab/>
          <w:t xml:space="preserve">New England </w:t>
        </w:r>
        <w:r w:rsidR="001659EB" w:rsidRPr="001659EB">
          <w:rPr>
            <w:rStyle w:val="Hyperlink"/>
            <w:rFonts w:asciiTheme="majorHAnsi" w:hAnsiTheme="majorHAnsi"/>
            <w:bCs/>
            <w:noProof/>
          </w:rPr>
          <w:t xml:space="preserve">generator winter capability by fuel type based on the 2019 CELT Report, the interconnection queue, and FCM-cleared capacity for </w:t>
        </w:r>
        <w:r w:rsidR="001659EB" w:rsidRPr="001659EB">
          <w:rPr>
            <w:rStyle w:val="Hyperlink"/>
            <w:rFonts w:asciiTheme="majorHAnsi" w:hAnsiTheme="majorHAnsi"/>
            <w:noProof/>
          </w:rPr>
          <w:t>2019, 2023 and 2028</w:t>
        </w:r>
        <w:r w:rsidR="001659EB" w:rsidRPr="001659EB">
          <w:rPr>
            <w:rStyle w:val="Hyperlink"/>
            <w:rFonts w:asciiTheme="majorHAnsi" w:hAnsiTheme="majorHAnsi"/>
            <w:bCs/>
            <w:noProof/>
          </w:rPr>
          <w:t xml:space="preserve"> (MW,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_Toc17709756 \h </w:instrText>
        </w:r>
        <w:r w:rsidR="001659EB" w:rsidRPr="001659EB">
          <w:rPr>
            <w:noProof/>
            <w:webHidden/>
          </w:rPr>
        </w:r>
        <w:r w:rsidR="001659EB" w:rsidRPr="001659EB">
          <w:rPr>
            <w:noProof/>
            <w:webHidden/>
          </w:rPr>
          <w:fldChar w:fldCharType="separate"/>
        </w:r>
        <w:r w:rsidR="00E353DF">
          <w:rPr>
            <w:noProof/>
            <w:webHidden/>
          </w:rPr>
          <w:t>116</w:t>
        </w:r>
        <w:r w:rsidR="001659EB" w:rsidRPr="001659EB">
          <w:rPr>
            <w:noProof/>
            <w:webHidden/>
          </w:rPr>
          <w:fldChar w:fldCharType="end"/>
        </w:r>
      </w:hyperlink>
    </w:p>
    <w:p w14:paraId="77F4F7FC" w14:textId="1736FA55"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7" w:history="1">
        <w:r w:rsidR="001659EB" w:rsidRPr="001659EB">
          <w:rPr>
            <w:rStyle w:val="Hyperlink"/>
            <w:bCs/>
            <w:noProof/>
          </w:rPr>
          <w:t>Figure 7</w:t>
        </w:r>
        <w:r w:rsidR="001659EB" w:rsidRPr="001659EB">
          <w:rPr>
            <w:rStyle w:val="Hyperlink"/>
            <w:bCs/>
            <w:noProof/>
          </w:rPr>
          <w:noBreakHyphen/>
          <w:t xml:space="preserve">3: </w:t>
        </w:r>
        <w:r w:rsidR="001659EB" w:rsidRPr="001659EB">
          <w:rPr>
            <w:rStyle w:val="Hyperlink"/>
            <w:bCs/>
            <w:noProof/>
          </w:rPr>
          <w:tab/>
          <w:t>Map of natural gas infrastructure serving New England (operating pipelines, LNG import</w:t>
        </w:r>
        <w:r w:rsidR="001659EB">
          <w:rPr>
            <w:rStyle w:val="Hyperlink"/>
            <w:bCs/>
            <w:noProof/>
          </w:rPr>
          <w:br/>
        </w:r>
        <w:r w:rsidR="001659EB" w:rsidRPr="001659EB">
          <w:rPr>
            <w:rStyle w:val="Hyperlink"/>
            <w:bCs/>
            <w:noProof/>
          </w:rPr>
          <w:t>terminals, and gas hub pricing points in New England).</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_Toc17709757 \h </w:instrText>
        </w:r>
        <w:r w:rsidR="001659EB" w:rsidRPr="001659EB">
          <w:rPr>
            <w:noProof/>
            <w:webHidden/>
          </w:rPr>
        </w:r>
        <w:r w:rsidR="001659EB" w:rsidRPr="001659EB">
          <w:rPr>
            <w:noProof/>
            <w:webHidden/>
          </w:rPr>
          <w:fldChar w:fldCharType="separate"/>
        </w:r>
        <w:r w:rsidR="00E353DF">
          <w:rPr>
            <w:noProof/>
            <w:webHidden/>
          </w:rPr>
          <w:t>118</w:t>
        </w:r>
        <w:r w:rsidR="001659EB" w:rsidRPr="001659EB">
          <w:rPr>
            <w:noProof/>
            <w:webHidden/>
          </w:rPr>
          <w:fldChar w:fldCharType="end"/>
        </w:r>
      </w:hyperlink>
    </w:p>
    <w:p w14:paraId="0BDA73E3" w14:textId="50DAFA76"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8" w:history="1">
        <w:r w:rsidR="001659EB" w:rsidRPr="001659EB">
          <w:rPr>
            <w:rStyle w:val="Hyperlink"/>
            <w:bCs/>
            <w:noProof/>
          </w:rPr>
          <w:t>Figure 7</w:t>
        </w:r>
        <w:r w:rsidR="001659EB" w:rsidRPr="001659EB">
          <w:rPr>
            <w:rStyle w:val="Hyperlink"/>
            <w:bCs/>
            <w:noProof/>
          </w:rPr>
          <w:noBreakHyphen/>
          <w:t xml:space="preserve">4: </w:t>
        </w:r>
        <w:r w:rsidR="001659EB" w:rsidRPr="001659EB">
          <w:rPr>
            <w:rStyle w:val="Hyperlink"/>
            <w:bCs/>
            <w:noProof/>
          </w:rPr>
          <w:tab/>
        </w:r>
        <w:r w:rsidR="001659EB" w:rsidRPr="001659EB">
          <w:rPr>
            <w:rStyle w:val="Hyperlink"/>
            <w:noProof/>
          </w:rPr>
          <w:t>Natural gas supply basins in the continental United States, May 2019.</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_Toc17709758 \h </w:instrText>
        </w:r>
        <w:r w:rsidR="001659EB" w:rsidRPr="001659EB">
          <w:rPr>
            <w:noProof/>
            <w:webHidden/>
          </w:rPr>
        </w:r>
        <w:r w:rsidR="001659EB" w:rsidRPr="001659EB">
          <w:rPr>
            <w:noProof/>
            <w:webHidden/>
          </w:rPr>
          <w:fldChar w:fldCharType="separate"/>
        </w:r>
        <w:r w:rsidR="00E353DF">
          <w:rPr>
            <w:noProof/>
            <w:webHidden/>
          </w:rPr>
          <w:t>118</w:t>
        </w:r>
        <w:r w:rsidR="001659EB" w:rsidRPr="001659EB">
          <w:rPr>
            <w:noProof/>
            <w:webHidden/>
          </w:rPr>
          <w:fldChar w:fldCharType="end"/>
        </w:r>
      </w:hyperlink>
    </w:p>
    <w:p w14:paraId="569C9053" w14:textId="495AAAA6"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59" w:history="1">
        <w:r w:rsidR="001659EB" w:rsidRPr="001659EB">
          <w:rPr>
            <w:rStyle w:val="Hyperlink"/>
            <w:bCs/>
            <w:noProof/>
          </w:rPr>
          <w:t>Figure 7</w:t>
        </w:r>
        <w:r w:rsidR="001659EB" w:rsidRPr="001659EB">
          <w:rPr>
            <w:rStyle w:val="Hyperlink"/>
            <w:bCs/>
            <w:noProof/>
          </w:rPr>
          <w:noBreakHyphen/>
          <w:t xml:space="preserve">5: </w:t>
        </w:r>
        <w:r w:rsidR="001659EB" w:rsidRPr="001659EB">
          <w:rPr>
            <w:rStyle w:val="Hyperlink"/>
            <w:bCs/>
            <w:noProof/>
          </w:rPr>
          <w:tab/>
        </w:r>
        <w:r w:rsidR="001659EB" w:rsidRPr="001659EB">
          <w:rPr>
            <w:rStyle w:val="Hyperlink"/>
            <w:rFonts w:eastAsia="Times New Roman" w:cs="Arial"/>
            <w:bCs/>
            <w:noProof/>
          </w:rPr>
          <w:t>Natural gas interstate pipeline network in the continental United States, May 2019.</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_Toc17709759 \h </w:instrText>
        </w:r>
        <w:r w:rsidR="001659EB" w:rsidRPr="001659EB">
          <w:rPr>
            <w:noProof/>
            <w:webHidden/>
          </w:rPr>
        </w:r>
        <w:r w:rsidR="001659EB" w:rsidRPr="001659EB">
          <w:rPr>
            <w:noProof/>
            <w:webHidden/>
          </w:rPr>
          <w:fldChar w:fldCharType="separate"/>
        </w:r>
        <w:r w:rsidR="00E353DF">
          <w:rPr>
            <w:noProof/>
            <w:webHidden/>
          </w:rPr>
          <w:t>119</w:t>
        </w:r>
        <w:r w:rsidR="001659EB" w:rsidRPr="001659EB">
          <w:rPr>
            <w:noProof/>
            <w:webHidden/>
          </w:rPr>
          <w:fldChar w:fldCharType="end"/>
        </w:r>
      </w:hyperlink>
    </w:p>
    <w:p w14:paraId="4F599738" w14:textId="0E4E789C"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0" w:history="1">
        <w:r w:rsidR="001659EB" w:rsidRPr="001659EB">
          <w:rPr>
            <w:rStyle w:val="Hyperlink"/>
            <w:bCs/>
            <w:noProof/>
          </w:rPr>
          <w:t>Figure 7</w:t>
        </w:r>
        <w:r w:rsidR="001659EB" w:rsidRPr="001659EB">
          <w:rPr>
            <w:rStyle w:val="Hyperlink"/>
            <w:bCs/>
            <w:noProof/>
          </w:rPr>
          <w:noBreakHyphen/>
          <w:t xml:space="preserve">6: </w:t>
        </w:r>
        <w:r w:rsidR="001659EB" w:rsidRPr="001659EB">
          <w:rPr>
            <w:rStyle w:val="Hyperlink"/>
            <w:bCs/>
            <w:noProof/>
          </w:rPr>
          <w:tab/>
          <w:t>Monthly average natural gas prices and real-time Hub LMPs compared with regional</w:t>
        </w:r>
        <w:r w:rsidR="001659EB">
          <w:rPr>
            <w:rStyle w:val="Hyperlink"/>
            <w:bCs/>
            <w:noProof/>
          </w:rPr>
          <w:br/>
        </w:r>
        <w:r w:rsidR="001659EB" w:rsidRPr="001659EB">
          <w:rPr>
            <w:rStyle w:val="Hyperlink"/>
            <w:bCs/>
            <w:noProof/>
          </w:rPr>
          <w:t>natural gas prices, March 2003 to March 2019 ($/MWh; $/MMbtu).</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_Toc17709760 \h </w:instrText>
        </w:r>
        <w:r w:rsidR="001659EB" w:rsidRPr="001659EB">
          <w:rPr>
            <w:noProof/>
            <w:webHidden/>
          </w:rPr>
        </w:r>
        <w:r w:rsidR="001659EB" w:rsidRPr="001659EB">
          <w:rPr>
            <w:noProof/>
            <w:webHidden/>
          </w:rPr>
          <w:fldChar w:fldCharType="separate"/>
        </w:r>
        <w:r w:rsidR="00E353DF">
          <w:rPr>
            <w:noProof/>
            <w:webHidden/>
          </w:rPr>
          <w:t>122</w:t>
        </w:r>
        <w:r w:rsidR="001659EB" w:rsidRPr="001659EB">
          <w:rPr>
            <w:noProof/>
            <w:webHidden/>
          </w:rPr>
          <w:fldChar w:fldCharType="end"/>
        </w:r>
      </w:hyperlink>
    </w:p>
    <w:p w14:paraId="3B0B1BBB" w14:textId="0392C02E"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1" w:history="1">
        <w:r w:rsidR="001659EB" w:rsidRPr="001659EB">
          <w:rPr>
            <w:rStyle w:val="Hyperlink"/>
            <w:noProof/>
          </w:rPr>
          <w:t>Figure 7</w:t>
        </w:r>
        <w:r w:rsidR="001659EB" w:rsidRPr="001659EB">
          <w:rPr>
            <w:rStyle w:val="Hyperlink"/>
            <w:noProof/>
          </w:rPr>
          <w:noBreakHyphen/>
          <w:t xml:space="preserve">7: </w:t>
        </w:r>
        <w:r w:rsidR="001659EB" w:rsidRPr="001659EB">
          <w:rPr>
            <w:rStyle w:val="Hyperlink"/>
            <w:noProof/>
          </w:rPr>
          <w:tab/>
          <w:t>Natural gas market data, April 2014 to April 2019 ($/MMBtu).</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_Toc17709761 \h </w:instrText>
        </w:r>
        <w:r w:rsidR="001659EB" w:rsidRPr="001659EB">
          <w:rPr>
            <w:noProof/>
            <w:webHidden/>
          </w:rPr>
        </w:r>
        <w:r w:rsidR="001659EB" w:rsidRPr="001659EB">
          <w:rPr>
            <w:noProof/>
            <w:webHidden/>
          </w:rPr>
          <w:fldChar w:fldCharType="separate"/>
        </w:r>
        <w:r w:rsidR="00E353DF">
          <w:rPr>
            <w:noProof/>
            <w:webHidden/>
          </w:rPr>
          <w:t>123</w:t>
        </w:r>
        <w:r w:rsidR="001659EB" w:rsidRPr="001659EB">
          <w:rPr>
            <w:noProof/>
            <w:webHidden/>
          </w:rPr>
          <w:fldChar w:fldCharType="end"/>
        </w:r>
      </w:hyperlink>
    </w:p>
    <w:p w14:paraId="3433AD5A" w14:textId="287B2DBD"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2" w:history="1">
        <w:r w:rsidR="001659EB" w:rsidRPr="001659EB">
          <w:rPr>
            <w:rStyle w:val="Hyperlink"/>
            <w:bCs/>
            <w:noProof/>
          </w:rPr>
          <w:t>Figure 7</w:t>
        </w:r>
        <w:r w:rsidR="001659EB" w:rsidRPr="001659EB">
          <w:rPr>
            <w:rStyle w:val="Hyperlink"/>
            <w:bCs/>
            <w:noProof/>
          </w:rPr>
          <w:noBreakHyphen/>
          <w:t xml:space="preserve">8: </w:t>
        </w:r>
        <w:r w:rsidR="001659EB" w:rsidRPr="001659EB">
          <w:rPr>
            <w:rStyle w:val="Hyperlink"/>
            <w:bCs/>
            <w:noProof/>
          </w:rPr>
          <w:tab/>
          <w:t>Comparison of LNG deliveries for winter 2014/2015 through winter 2018/2019 (MMcf).</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_Toc17709762 \h </w:instrText>
        </w:r>
        <w:r w:rsidR="001659EB" w:rsidRPr="001659EB">
          <w:rPr>
            <w:noProof/>
            <w:webHidden/>
          </w:rPr>
        </w:r>
        <w:r w:rsidR="001659EB" w:rsidRPr="001659EB">
          <w:rPr>
            <w:noProof/>
            <w:webHidden/>
          </w:rPr>
          <w:fldChar w:fldCharType="separate"/>
        </w:r>
        <w:r w:rsidR="00E353DF">
          <w:rPr>
            <w:noProof/>
            <w:webHidden/>
          </w:rPr>
          <w:t>125</w:t>
        </w:r>
        <w:r w:rsidR="001659EB" w:rsidRPr="001659EB">
          <w:rPr>
            <w:noProof/>
            <w:webHidden/>
          </w:rPr>
          <w:fldChar w:fldCharType="end"/>
        </w:r>
      </w:hyperlink>
    </w:p>
    <w:p w14:paraId="3D8E160F" w14:textId="47C3B92E"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3" w:history="1">
        <w:r w:rsidR="001659EB" w:rsidRPr="001659EB">
          <w:rPr>
            <w:rStyle w:val="Hyperlink"/>
            <w:bCs/>
            <w:noProof/>
          </w:rPr>
          <w:t>Figure 7</w:t>
        </w:r>
        <w:r w:rsidR="001659EB" w:rsidRPr="001659EB">
          <w:rPr>
            <w:rStyle w:val="Hyperlink"/>
            <w:bCs/>
            <w:noProof/>
          </w:rPr>
          <w:noBreakHyphen/>
          <w:t xml:space="preserve">9: </w:t>
        </w:r>
        <w:r w:rsidR="001659EB" w:rsidRPr="001659EB">
          <w:rPr>
            <w:rStyle w:val="Hyperlink"/>
            <w:bCs/>
            <w:noProof/>
          </w:rPr>
          <w:tab/>
          <w:t>Shifting generation mix before and during the cold spell of winter 2017/2018 (%).</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_Toc17709763 \h </w:instrText>
        </w:r>
        <w:r w:rsidR="001659EB" w:rsidRPr="001659EB">
          <w:rPr>
            <w:noProof/>
            <w:webHidden/>
          </w:rPr>
        </w:r>
        <w:r w:rsidR="001659EB" w:rsidRPr="001659EB">
          <w:rPr>
            <w:noProof/>
            <w:webHidden/>
          </w:rPr>
          <w:fldChar w:fldCharType="separate"/>
        </w:r>
        <w:r w:rsidR="00E353DF">
          <w:rPr>
            <w:noProof/>
            <w:webHidden/>
          </w:rPr>
          <w:t>127</w:t>
        </w:r>
        <w:r w:rsidR="001659EB" w:rsidRPr="001659EB">
          <w:rPr>
            <w:noProof/>
            <w:webHidden/>
          </w:rPr>
          <w:fldChar w:fldCharType="end"/>
        </w:r>
      </w:hyperlink>
    </w:p>
    <w:p w14:paraId="0EF1186A" w14:textId="430A9899"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4" w:history="1">
        <w:r w:rsidR="001659EB" w:rsidRPr="001659EB">
          <w:rPr>
            <w:rStyle w:val="Hyperlink"/>
            <w:bCs/>
            <w:noProof/>
          </w:rPr>
          <w:t>Figure 8</w:t>
        </w:r>
        <w:r w:rsidR="001659EB" w:rsidRPr="001659EB">
          <w:rPr>
            <w:rStyle w:val="Hyperlink"/>
            <w:bCs/>
            <w:noProof/>
          </w:rPr>
          <w:noBreakHyphen/>
          <w:t>1</w:t>
        </w:r>
        <w:r w:rsidR="001659EB" w:rsidRPr="001659EB">
          <w:rPr>
            <w:rStyle w:val="Hyperlink"/>
            <w:noProof/>
          </w:rPr>
          <w:t>:</w:t>
        </w:r>
        <w:r w:rsidR="001659EB" w:rsidRPr="001659EB">
          <w:rPr>
            <w:rStyle w:val="Hyperlink"/>
            <w:rFonts w:asciiTheme="majorHAnsi" w:hAnsiTheme="majorHAnsi"/>
            <w:noProof/>
          </w:rPr>
          <w:t xml:space="preserve"> </w:t>
        </w:r>
        <w:r w:rsidR="001659EB" w:rsidRPr="001659EB">
          <w:rPr>
            <w:rStyle w:val="Hyperlink"/>
            <w:rFonts w:asciiTheme="majorHAnsi" w:hAnsiTheme="majorHAnsi"/>
            <w:noProof/>
          </w:rPr>
          <w:tab/>
          <w:t>Estimated systemwide annual water withdrawals by fuel type in New England, 2016 to 2018</w:t>
        </w:r>
        <w:r w:rsidR="001659EB">
          <w:rPr>
            <w:rStyle w:val="Hyperlink"/>
            <w:rFonts w:asciiTheme="majorHAnsi" w:hAnsiTheme="majorHAnsi"/>
            <w:noProof/>
          </w:rPr>
          <w:br/>
        </w:r>
        <w:r w:rsidR="001659EB" w:rsidRPr="001659EB">
          <w:rPr>
            <w:rStyle w:val="Hyperlink"/>
            <w:rFonts w:asciiTheme="majorHAnsi" w:hAnsiTheme="majorHAnsi"/>
            <w:noProof/>
          </w:rPr>
          <w:t>(billions of gallons).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_Toc17709764 \h </w:instrText>
        </w:r>
        <w:r w:rsidR="001659EB" w:rsidRPr="001659EB">
          <w:rPr>
            <w:noProof/>
            <w:webHidden/>
          </w:rPr>
        </w:r>
        <w:r w:rsidR="001659EB" w:rsidRPr="001659EB">
          <w:rPr>
            <w:noProof/>
            <w:webHidden/>
          </w:rPr>
          <w:fldChar w:fldCharType="separate"/>
        </w:r>
        <w:r w:rsidR="00E353DF">
          <w:rPr>
            <w:noProof/>
            <w:webHidden/>
          </w:rPr>
          <w:t>136</w:t>
        </w:r>
        <w:r w:rsidR="001659EB" w:rsidRPr="001659EB">
          <w:rPr>
            <w:noProof/>
            <w:webHidden/>
          </w:rPr>
          <w:fldChar w:fldCharType="end"/>
        </w:r>
      </w:hyperlink>
    </w:p>
    <w:p w14:paraId="5242619D" w14:textId="706E54B2"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5" w:history="1">
        <w:r w:rsidR="001659EB" w:rsidRPr="001659EB">
          <w:rPr>
            <w:rStyle w:val="Hyperlink"/>
            <w:bCs/>
            <w:noProof/>
          </w:rPr>
          <w:t>Figure 8</w:t>
        </w:r>
        <w:r w:rsidR="001659EB" w:rsidRPr="001659EB">
          <w:rPr>
            <w:rStyle w:val="Hyperlink"/>
            <w:bCs/>
            <w:noProof/>
          </w:rPr>
          <w:noBreakHyphen/>
          <w:t xml:space="preserve">2: </w:t>
        </w:r>
        <w:r w:rsidR="001659EB" w:rsidRPr="001659EB">
          <w:rPr>
            <w:rStyle w:val="Hyperlink"/>
            <w:bCs/>
            <w:noProof/>
          </w:rPr>
          <w:tab/>
        </w:r>
        <w:r w:rsidR="001659EB" w:rsidRPr="001659EB">
          <w:rPr>
            <w:rStyle w:val="Hyperlink"/>
            <w:rFonts w:asciiTheme="majorHAnsi" w:hAnsiTheme="majorHAnsi"/>
            <w:noProof/>
          </w:rPr>
          <w:t>Estimated systemwide daily water withdrawals by fuel type in New England, 2016 to 2018</w:t>
        </w:r>
        <w:r w:rsidR="001659EB">
          <w:rPr>
            <w:rStyle w:val="Hyperlink"/>
            <w:rFonts w:asciiTheme="majorHAnsi" w:hAnsiTheme="majorHAnsi"/>
            <w:noProof/>
          </w:rPr>
          <w:br/>
        </w:r>
        <w:r w:rsidR="001659EB" w:rsidRPr="001659EB">
          <w:rPr>
            <w:rStyle w:val="Hyperlink"/>
            <w:rFonts w:asciiTheme="majorHAnsi" w:hAnsiTheme="majorHAnsi"/>
            <w:noProof/>
          </w:rPr>
          <w:t>(billions of gallons).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_Toc17709765 \h </w:instrText>
        </w:r>
        <w:r w:rsidR="001659EB" w:rsidRPr="001659EB">
          <w:rPr>
            <w:noProof/>
            <w:webHidden/>
          </w:rPr>
        </w:r>
        <w:r w:rsidR="001659EB" w:rsidRPr="001659EB">
          <w:rPr>
            <w:noProof/>
            <w:webHidden/>
          </w:rPr>
          <w:fldChar w:fldCharType="separate"/>
        </w:r>
        <w:r w:rsidR="00E353DF">
          <w:rPr>
            <w:noProof/>
            <w:webHidden/>
          </w:rPr>
          <w:t>137</w:t>
        </w:r>
        <w:r w:rsidR="001659EB" w:rsidRPr="001659EB">
          <w:rPr>
            <w:noProof/>
            <w:webHidden/>
          </w:rPr>
          <w:fldChar w:fldCharType="end"/>
        </w:r>
      </w:hyperlink>
    </w:p>
    <w:p w14:paraId="57A7AC56" w14:textId="3EF4BC06"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6" w:history="1">
        <w:r w:rsidR="001659EB" w:rsidRPr="001659EB">
          <w:rPr>
            <w:rStyle w:val="Hyperlink"/>
            <w:noProof/>
          </w:rPr>
          <w:t>Figure 8</w:t>
        </w:r>
        <w:r w:rsidR="001659EB" w:rsidRPr="001659EB">
          <w:rPr>
            <w:rStyle w:val="Hyperlink"/>
            <w:noProof/>
          </w:rPr>
          <w:noBreakHyphen/>
          <w:t>3:</w:t>
        </w:r>
        <w:r w:rsidR="001659EB" w:rsidRPr="001659EB">
          <w:rPr>
            <w:rStyle w:val="Hyperlink"/>
            <w:rFonts w:asciiTheme="majorHAnsi" w:hAnsiTheme="majorHAnsi"/>
            <w:noProof/>
          </w:rPr>
          <w:t xml:space="preserve"> </w:t>
        </w:r>
        <w:r w:rsidR="001659EB" w:rsidRPr="001659EB">
          <w:rPr>
            <w:rStyle w:val="Hyperlink"/>
            <w:rFonts w:asciiTheme="majorHAnsi" w:hAnsiTheme="majorHAnsi"/>
            <w:noProof/>
          </w:rPr>
          <w:tab/>
          <w:t>Summer claimed capability and cooling technology type in New England, 2018 (MW).</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_Toc17709766 \h </w:instrText>
        </w:r>
        <w:r w:rsidR="001659EB" w:rsidRPr="001659EB">
          <w:rPr>
            <w:noProof/>
            <w:webHidden/>
          </w:rPr>
        </w:r>
        <w:r w:rsidR="001659EB" w:rsidRPr="001659EB">
          <w:rPr>
            <w:noProof/>
            <w:webHidden/>
          </w:rPr>
          <w:fldChar w:fldCharType="separate"/>
        </w:r>
        <w:r w:rsidR="00E353DF">
          <w:rPr>
            <w:noProof/>
            <w:webHidden/>
          </w:rPr>
          <w:t>138</w:t>
        </w:r>
        <w:r w:rsidR="001659EB" w:rsidRPr="001659EB">
          <w:rPr>
            <w:noProof/>
            <w:webHidden/>
          </w:rPr>
          <w:fldChar w:fldCharType="end"/>
        </w:r>
      </w:hyperlink>
    </w:p>
    <w:p w14:paraId="568B3316" w14:textId="3C1D7853"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7" w:history="1">
        <w:r w:rsidR="001659EB" w:rsidRPr="001659EB">
          <w:rPr>
            <w:rStyle w:val="Hyperlink"/>
            <w:noProof/>
          </w:rPr>
          <w:t>Figure 8</w:t>
        </w:r>
        <w:r w:rsidR="001659EB" w:rsidRPr="001659EB">
          <w:rPr>
            <w:rStyle w:val="Hyperlink"/>
            <w:noProof/>
          </w:rPr>
          <w:noBreakHyphen/>
          <w:t xml:space="preserve">4: </w:t>
        </w:r>
        <w:r w:rsidR="001659EB" w:rsidRPr="001659EB">
          <w:rPr>
            <w:rStyle w:val="Hyperlink"/>
            <w:noProof/>
          </w:rPr>
          <w:tab/>
          <w:t>New England state goals for reducing in greenhouse gas emissions (percentage reduction</w:t>
        </w:r>
        <w:r w:rsidR="001659EB">
          <w:rPr>
            <w:rStyle w:val="Hyperlink"/>
            <w:noProof/>
          </w:rPr>
          <w:br/>
        </w:r>
        <w:r w:rsidR="001659EB" w:rsidRPr="001659EB">
          <w:rPr>
            <w:rStyle w:val="Hyperlink"/>
            <w:noProof/>
          </w:rPr>
          <w:t>in GHGs economywide by 2050).</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_Toc17709767 \h </w:instrText>
        </w:r>
        <w:r w:rsidR="001659EB" w:rsidRPr="001659EB">
          <w:rPr>
            <w:noProof/>
            <w:webHidden/>
          </w:rPr>
        </w:r>
        <w:r w:rsidR="001659EB" w:rsidRPr="001659EB">
          <w:rPr>
            <w:noProof/>
            <w:webHidden/>
          </w:rPr>
          <w:fldChar w:fldCharType="separate"/>
        </w:r>
        <w:r w:rsidR="00E353DF">
          <w:rPr>
            <w:noProof/>
            <w:webHidden/>
          </w:rPr>
          <w:t>142</w:t>
        </w:r>
        <w:r w:rsidR="001659EB" w:rsidRPr="001659EB">
          <w:rPr>
            <w:noProof/>
            <w:webHidden/>
          </w:rPr>
          <w:fldChar w:fldCharType="end"/>
        </w:r>
      </w:hyperlink>
    </w:p>
    <w:p w14:paraId="3533B6A6" w14:textId="32DCEAE8"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8" w:history="1">
        <w:r w:rsidR="001659EB" w:rsidRPr="001659EB">
          <w:rPr>
            <w:rStyle w:val="Hyperlink"/>
            <w:noProof/>
          </w:rPr>
          <w:t>Figure 8</w:t>
        </w:r>
        <w:r w:rsidR="001659EB" w:rsidRPr="001659EB">
          <w:rPr>
            <w:rStyle w:val="Hyperlink"/>
            <w:noProof/>
          </w:rPr>
          <w:noBreakHyphen/>
          <w:t xml:space="preserve">5: </w:t>
        </w:r>
        <w:r w:rsidR="001659EB" w:rsidRPr="001659EB">
          <w:rPr>
            <w:rStyle w:val="Hyperlink"/>
            <w:noProof/>
          </w:rPr>
          <w:tab/>
          <w:t>Percentage of Class I (new renewable energy resources) required for the New England states’ Renewable Portfolio Standards, 2018 to 2040.</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_Toc17709768 \h </w:instrText>
        </w:r>
        <w:r w:rsidR="001659EB" w:rsidRPr="001659EB">
          <w:rPr>
            <w:noProof/>
            <w:webHidden/>
          </w:rPr>
        </w:r>
        <w:r w:rsidR="001659EB" w:rsidRPr="001659EB">
          <w:rPr>
            <w:noProof/>
            <w:webHidden/>
          </w:rPr>
          <w:fldChar w:fldCharType="separate"/>
        </w:r>
        <w:r w:rsidR="00E353DF">
          <w:rPr>
            <w:noProof/>
            <w:webHidden/>
          </w:rPr>
          <w:t>146</w:t>
        </w:r>
        <w:r w:rsidR="001659EB" w:rsidRPr="001659EB">
          <w:rPr>
            <w:noProof/>
            <w:webHidden/>
          </w:rPr>
          <w:fldChar w:fldCharType="end"/>
        </w:r>
      </w:hyperlink>
    </w:p>
    <w:p w14:paraId="1BF2C81D" w14:textId="6ED0A137"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69" w:history="1">
        <w:r w:rsidR="001659EB" w:rsidRPr="001659EB">
          <w:rPr>
            <w:rStyle w:val="Hyperlink"/>
            <w:noProof/>
          </w:rPr>
          <w:t>Figure 8</w:t>
        </w:r>
        <w:r w:rsidR="001659EB" w:rsidRPr="001659EB">
          <w:rPr>
            <w:rStyle w:val="Hyperlink"/>
            <w:noProof/>
          </w:rPr>
          <w:noBreakHyphen/>
          <w:t xml:space="preserve">6: </w:t>
        </w:r>
        <w:r w:rsidR="001659EB" w:rsidRPr="001659EB">
          <w:rPr>
            <w:rStyle w:val="Hyperlink"/>
            <w:noProof/>
          </w:rPr>
          <w:tab/>
          <w:t>RGGI annual emissions by state compared with the annual CO</w:t>
        </w:r>
        <w:r w:rsidR="001659EB" w:rsidRPr="001659EB">
          <w:rPr>
            <w:rStyle w:val="Hyperlink"/>
            <w:noProof/>
            <w:vertAlign w:val="subscript"/>
          </w:rPr>
          <w:t>2</w:t>
        </w:r>
        <w:r w:rsidR="001659EB" w:rsidRPr="001659EB">
          <w:rPr>
            <w:rStyle w:val="Hyperlink"/>
            <w:noProof/>
          </w:rPr>
          <w:t xml:space="preserve"> emissions cap, 2009 to 2018</w:t>
        </w:r>
        <w:r w:rsidR="001659EB">
          <w:rPr>
            <w:rStyle w:val="Hyperlink"/>
            <w:noProof/>
          </w:rPr>
          <w:br/>
        </w:r>
        <w:r w:rsidR="001659EB" w:rsidRPr="001659EB">
          <w:rPr>
            <w:rStyle w:val="Hyperlink"/>
            <w:bCs/>
            <w:noProof/>
          </w:rPr>
          <w:t>(million short tons).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_Toc17709769 \h </w:instrText>
        </w:r>
        <w:r w:rsidR="001659EB" w:rsidRPr="001659EB">
          <w:rPr>
            <w:noProof/>
            <w:webHidden/>
          </w:rPr>
        </w:r>
        <w:r w:rsidR="001659EB" w:rsidRPr="001659EB">
          <w:rPr>
            <w:noProof/>
            <w:webHidden/>
          </w:rPr>
          <w:fldChar w:fldCharType="separate"/>
        </w:r>
        <w:r w:rsidR="00E353DF">
          <w:rPr>
            <w:noProof/>
            <w:webHidden/>
          </w:rPr>
          <w:t>149</w:t>
        </w:r>
        <w:r w:rsidR="001659EB" w:rsidRPr="001659EB">
          <w:rPr>
            <w:noProof/>
            <w:webHidden/>
          </w:rPr>
          <w:fldChar w:fldCharType="end"/>
        </w:r>
      </w:hyperlink>
    </w:p>
    <w:p w14:paraId="4BF3B0CA" w14:textId="79E5AFB6"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0" w:history="1">
        <w:r w:rsidR="001659EB" w:rsidRPr="001659EB">
          <w:rPr>
            <w:rStyle w:val="Hyperlink"/>
            <w:noProof/>
          </w:rPr>
          <w:t>Figure 8</w:t>
        </w:r>
        <w:r w:rsidR="001659EB" w:rsidRPr="001659EB">
          <w:rPr>
            <w:rStyle w:val="Hyperlink"/>
            <w:noProof/>
          </w:rPr>
          <w:noBreakHyphen/>
          <w:t xml:space="preserve">7: </w:t>
        </w:r>
        <w:r w:rsidR="001659EB" w:rsidRPr="001659EB">
          <w:rPr>
            <w:rStyle w:val="Hyperlink"/>
            <w:noProof/>
          </w:rPr>
          <w:tab/>
          <w:t>New England system annual emissions of NO</w:t>
        </w:r>
        <w:r w:rsidR="001659EB" w:rsidRPr="001659EB">
          <w:rPr>
            <w:rStyle w:val="Hyperlink"/>
            <w:noProof/>
            <w:vertAlign w:val="subscript"/>
          </w:rPr>
          <w:t>X</w:t>
        </w:r>
        <w:r w:rsidR="001659EB" w:rsidRPr="001659EB">
          <w:rPr>
            <w:rStyle w:val="Hyperlink"/>
            <w:noProof/>
          </w:rPr>
          <w:t>, SO</w:t>
        </w:r>
        <w:r w:rsidR="001659EB" w:rsidRPr="001659EB">
          <w:rPr>
            <w:rStyle w:val="Hyperlink"/>
            <w:noProof/>
            <w:vertAlign w:val="subscript"/>
          </w:rPr>
          <w:t>2</w:t>
        </w:r>
        <w:r w:rsidR="001659EB" w:rsidRPr="001659EB">
          <w:rPr>
            <w:rStyle w:val="Hyperlink"/>
            <w:noProof/>
          </w:rPr>
          <w:t>, and CO</w:t>
        </w:r>
        <w:r w:rsidR="001659EB" w:rsidRPr="001659EB">
          <w:rPr>
            <w:rStyle w:val="Hyperlink"/>
            <w:noProof/>
            <w:vertAlign w:val="subscript"/>
          </w:rPr>
          <w:t>2</w:t>
        </w:r>
        <w:r w:rsidR="001659EB" w:rsidRPr="001659EB">
          <w:rPr>
            <w:rStyle w:val="Hyperlink"/>
            <w:noProof/>
          </w:rPr>
          <w:t>, 2007 to 2017 (thousand short tons).</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_Toc17709770 \h </w:instrText>
        </w:r>
        <w:r w:rsidR="001659EB" w:rsidRPr="001659EB">
          <w:rPr>
            <w:noProof/>
            <w:webHidden/>
          </w:rPr>
        </w:r>
        <w:r w:rsidR="001659EB" w:rsidRPr="001659EB">
          <w:rPr>
            <w:noProof/>
            <w:webHidden/>
          </w:rPr>
          <w:fldChar w:fldCharType="separate"/>
        </w:r>
        <w:r w:rsidR="00E353DF">
          <w:rPr>
            <w:noProof/>
            <w:webHidden/>
          </w:rPr>
          <w:t>150</w:t>
        </w:r>
        <w:r w:rsidR="001659EB" w:rsidRPr="001659EB">
          <w:rPr>
            <w:noProof/>
            <w:webHidden/>
          </w:rPr>
          <w:fldChar w:fldCharType="end"/>
        </w:r>
      </w:hyperlink>
    </w:p>
    <w:p w14:paraId="5ED20E52" w14:textId="1438F2EE"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1" w:history="1">
        <w:r w:rsidR="001659EB" w:rsidRPr="001659EB">
          <w:rPr>
            <w:rStyle w:val="Hyperlink"/>
            <w:noProof/>
          </w:rPr>
          <w:t>Figure 8</w:t>
        </w:r>
        <w:r w:rsidR="001659EB" w:rsidRPr="001659EB">
          <w:rPr>
            <w:rStyle w:val="Hyperlink"/>
            <w:noProof/>
          </w:rPr>
          <w:noBreakHyphen/>
          <w:t xml:space="preserve">8: </w:t>
        </w:r>
        <w:r w:rsidR="001659EB" w:rsidRPr="001659EB">
          <w:rPr>
            <w:rStyle w:val="Hyperlink"/>
            <w:noProof/>
          </w:rPr>
          <w:tab/>
          <w:t>Contribution of CO</w:t>
        </w:r>
        <w:r w:rsidR="001659EB" w:rsidRPr="001659EB">
          <w:rPr>
            <w:rStyle w:val="Hyperlink"/>
            <w:noProof/>
            <w:vertAlign w:val="subscript"/>
          </w:rPr>
          <w:t>2</w:t>
        </w:r>
        <w:r w:rsidR="001659EB" w:rsidRPr="001659EB">
          <w:rPr>
            <w:rStyle w:val="Hyperlink"/>
            <w:noProof/>
          </w:rPr>
          <w:t xml:space="preserve"> allowance costs to energy production costs, 2016 to 2018 ($/MWh).</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_Toc17709771 \h </w:instrText>
        </w:r>
        <w:r w:rsidR="001659EB" w:rsidRPr="001659EB">
          <w:rPr>
            <w:noProof/>
            <w:webHidden/>
          </w:rPr>
        </w:r>
        <w:r w:rsidR="001659EB" w:rsidRPr="001659EB">
          <w:rPr>
            <w:noProof/>
            <w:webHidden/>
          </w:rPr>
          <w:fldChar w:fldCharType="separate"/>
        </w:r>
        <w:r w:rsidR="00E353DF">
          <w:rPr>
            <w:noProof/>
            <w:webHidden/>
          </w:rPr>
          <w:t>152</w:t>
        </w:r>
        <w:r w:rsidR="001659EB" w:rsidRPr="001659EB">
          <w:rPr>
            <w:noProof/>
            <w:webHidden/>
          </w:rPr>
          <w:fldChar w:fldCharType="end"/>
        </w:r>
      </w:hyperlink>
    </w:p>
    <w:p w14:paraId="3B7C50EE" w14:textId="5CADD0B5" w:rsidR="001659EB" w:rsidRPr="001659EB" w:rsidRDefault="009D7B65" w:rsidP="001659EB">
      <w:pPr>
        <w:pStyle w:val="TableofFigures"/>
        <w:tabs>
          <w:tab w:val="right" w:leader="dot" w:pos="9350"/>
        </w:tabs>
        <w:ind w:left="1080" w:hanging="1080"/>
        <w:rPr>
          <w:rFonts w:asciiTheme="minorHAnsi" w:eastAsiaTheme="minorEastAsia" w:hAnsiTheme="minorHAnsi" w:cstheme="minorBidi"/>
          <w:noProof/>
          <w:sz w:val="22"/>
          <w:szCs w:val="22"/>
        </w:rPr>
      </w:pPr>
      <w:hyperlink w:anchor="_Toc17709772" w:history="1">
        <w:r w:rsidR="001659EB" w:rsidRPr="001659EB">
          <w:rPr>
            <w:rStyle w:val="Hyperlink"/>
            <w:bCs/>
            <w:noProof/>
          </w:rPr>
          <w:t>Figure 9</w:t>
        </w:r>
        <w:r w:rsidR="001659EB" w:rsidRPr="001659EB">
          <w:rPr>
            <w:rStyle w:val="Hyperlink"/>
            <w:bCs/>
            <w:noProof/>
          </w:rPr>
          <w:noBreakHyphen/>
          <w:t xml:space="preserve">1: </w:t>
        </w:r>
        <w:r w:rsidR="001659EB" w:rsidRPr="001659EB">
          <w:rPr>
            <w:rStyle w:val="Hyperlink"/>
            <w:bCs/>
            <w:noProof/>
          </w:rPr>
          <w:tab/>
          <w:t>Shapes of net demand on spring, summer, and winter peak days for varying levels of all PV..</w:t>
        </w:r>
        <w:r w:rsidR="001659EB" w:rsidRPr="001659EB">
          <w:rPr>
            <w:noProof/>
            <w:webHidden/>
          </w:rPr>
          <w:tab/>
        </w:r>
        <w:r w:rsidR="001659EB" w:rsidRPr="001659EB">
          <w:rPr>
            <w:noProof/>
            <w:webHidden/>
          </w:rPr>
          <w:fldChar w:fldCharType="begin"/>
        </w:r>
        <w:r w:rsidR="001659EB" w:rsidRPr="001659EB">
          <w:rPr>
            <w:noProof/>
            <w:webHidden/>
          </w:rPr>
          <w:instrText xml:space="preserve"> PAGEREF _Toc17709772 \h </w:instrText>
        </w:r>
        <w:r w:rsidR="001659EB" w:rsidRPr="001659EB">
          <w:rPr>
            <w:noProof/>
            <w:webHidden/>
          </w:rPr>
        </w:r>
        <w:r w:rsidR="001659EB" w:rsidRPr="001659EB">
          <w:rPr>
            <w:noProof/>
            <w:webHidden/>
          </w:rPr>
          <w:fldChar w:fldCharType="separate"/>
        </w:r>
        <w:r w:rsidR="00E353DF">
          <w:rPr>
            <w:noProof/>
            <w:webHidden/>
          </w:rPr>
          <w:t>157</w:t>
        </w:r>
        <w:r w:rsidR="001659EB" w:rsidRPr="001659EB">
          <w:rPr>
            <w:noProof/>
            <w:webHidden/>
          </w:rPr>
          <w:fldChar w:fldCharType="end"/>
        </w:r>
      </w:hyperlink>
    </w:p>
    <w:p w14:paraId="4D075E68" w14:textId="77777777" w:rsidR="00D945E2" w:rsidRDefault="00080294" w:rsidP="001659EB">
      <w:pPr>
        <w:tabs>
          <w:tab w:val="right" w:leader="dot" w:pos="8910"/>
        </w:tabs>
        <w:spacing w:after="120" w:line="240" w:lineRule="auto"/>
        <w:ind w:left="1080" w:right="-86" w:hanging="1080"/>
        <w:rPr>
          <w:rFonts w:asciiTheme="minorHAnsi" w:hAnsiTheme="minorHAnsi" w:cs="Arial"/>
        </w:rPr>
      </w:pPr>
      <w:r w:rsidRPr="00330F0D">
        <w:rPr>
          <w:rFonts w:asciiTheme="minorHAnsi" w:hAnsiTheme="minorHAnsi" w:cs="Arial"/>
        </w:rPr>
        <w:fldChar w:fldCharType="end"/>
      </w:r>
    </w:p>
    <w:p w14:paraId="2EBDA0C9" w14:textId="77777777" w:rsidR="00D945E2" w:rsidRDefault="00D945E2" w:rsidP="00D945E2">
      <w:pPr>
        <w:tabs>
          <w:tab w:val="right" w:leader="dot" w:pos="8910"/>
        </w:tabs>
        <w:spacing w:after="120" w:line="240" w:lineRule="auto"/>
        <w:ind w:right="-86"/>
        <w:rPr>
          <w:rFonts w:asciiTheme="minorHAnsi" w:hAnsiTheme="minorHAnsi" w:cs="Arial"/>
        </w:rPr>
        <w:sectPr w:rsidR="00D945E2" w:rsidSect="0018383B">
          <w:pgSz w:w="12240" w:h="15840"/>
          <w:pgMar w:top="1440" w:right="1080" w:bottom="1440" w:left="1800" w:header="720" w:footer="720" w:gutter="0"/>
          <w:pgNumType w:fmt="lowerRoman"/>
          <w:cols w:space="720"/>
          <w:docGrid w:linePitch="360"/>
        </w:sectPr>
      </w:pPr>
    </w:p>
    <w:p w14:paraId="3BCE132A" w14:textId="77777777" w:rsidR="00D945E2" w:rsidRPr="00330F0D" w:rsidRDefault="00D945E2" w:rsidP="00330F0D">
      <w:pPr>
        <w:pStyle w:val="Heading1"/>
        <w:numPr>
          <w:ilvl w:val="0"/>
          <w:numId w:val="0"/>
        </w:numPr>
        <w:spacing w:after="120" w:line="240" w:lineRule="auto"/>
        <w:ind w:left="1080" w:hanging="1080"/>
      </w:pPr>
      <w:bookmarkStart w:id="31" w:name="_Toc12795132"/>
      <w:r w:rsidRPr="00CF2B8B">
        <w:lastRenderedPageBreak/>
        <w:t>Tables</w:t>
      </w:r>
      <w:bookmarkEnd w:id="31"/>
    </w:p>
    <w:p w14:paraId="6BC20B6C" w14:textId="301F8D68" w:rsidR="001E471C" w:rsidRPr="00FC0417" w:rsidRDefault="00330F0D" w:rsidP="00FC0417">
      <w:pPr>
        <w:pStyle w:val="TableofFigures"/>
        <w:tabs>
          <w:tab w:val="right" w:leader="dot" w:pos="9350"/>
        </w:tabs>
        <w:ind w:left="1080" w:hanging="1080"/>
        <w:rPr>
          <w:rFonts w:asciiTheme="minorHAnsi" w:eastAsiaTheme="minorEastAsia" w:hAnsiTheme="minorHAnsi" w:cstheme="minorBidi"/>
          <w:noProof/>
          <w:sz w:val="22"/>
          <w:szCs w:val="22"/>
        </w:rPr>
      </w:pPr>
      <w:r w:rsidRPr="00FC0417">
        <w:rPr>
          <w:rFonts w:asciiTheme="minorHAnsi" w:hAnsiTheme="minorHAnsi" w:cs="Arial"/>
        </w:rPr>
        <w:fldChar w:fldCharType="begin"/>
      </w:r>
      <w:r w:rsidRPr="00FC0417">
        <w:rPr>
          <w:rFonts w:asciiTheme="minorHAnsi" w:hAnsiTheme="minorHAnsi" w:cs="Arial"/>
        </w:rPr>
        <w:instrText xml:space="preserve"> TOC \h \z \c "Table" </w:instrText>
      </w:r>
      <w:r w:rsidRPr="00FC0417">
        <w:rPr>
          <w:rFonts w:asciiTheme="minorHAnsi" w:hAnsiTheme="minorHAnsi" w:cs="Arial"/>
        </w:rPr>
        <w:fldChar w:fldCharType="separate"/>
      </w:r>
      <w:hyperlink w:anchor="_Toc12795324" w:history="1">
        <w:r w:rsidR="001E471C" w:rsidRPr="00FC0417">
          <w:rPr>
            <w:rStyle w:val="Hyperlink"/>
            <w:noProof/>
          </w:rPr>
          <w:t>Table 3</w:t>
        </w:r>
        <w:r w:rsidR="001E471C" w:rsidRPr="00FC0417">
          <w:rPr>
            <w:rStyle w:val="Hyperlink"/>
            <w:noProof/>
          </w:rPr>
          <w:noBreakHyphen/>
          <w:t>1</w:t>
        </w:r>
        <w:r w:rsidR="001E471C" w:rsidRPr="00FC0417">
          <w:rPr>
            <w:rStyle w:val="Hyperlink"/>
            <w:bCs/>
            <w:noProof/>
          </w:rPr>
          <w:t xml:space="preserve"> </w:t>
        </w:r>
        <w:r w:rsidR="00FC0417">
          <w:rPr>
            <w:rStyle w:val="Hyperlink"/>
            <w:bCs/>
            <w:noProof/>
          </w:rPr>
          <w:tab/>
        </w:r>
        <w:r w:rsidR="001E471C" w:rsidRPr="00FC0417">
          <w:rPr>
            <w:rStyle w:val="Hyperlink"/>
            <w:noProof/>
          </w:rPr>
          <w:t>Summary of Annual Gross Electric Energy Use and Gross Peak Demand Forecast for</w:t>
        </w:r>
        <w:r w:rsidR="00FC0417">
          <w:rPr>
            <w:rStyle w:val="Hyperlink"/>
            <w:noProof/>
          </w:rPr>
          <w:br/>
        </w:r>
        <w:r w:rsidR="001E471C" w:rsidRPr="00FC0417">
          <w:rPr>
            <w:rStyle w:val="Hyperlink"/>
            <w:noProof/>
          </w:rPr>
          <w:t>New England and the States, 2019/2020 and 2028/2029</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_Toc12795324 \h </w:instrText>
        </w:r>
        <w:r w:rsidR="001E471C" w:rsidRPr="00FC0417">
          <w:rPr>
            <w:noProof/>
            <w:webHidden/>
          </w:rPr>
        </w:r>
        <w:r w:rsidR="001E471C" w:rsidRPr="00FC0417">
          <w:rPr>
            <w:noProof/>
            <w:webHidden/>
          </w:rPr>
          <w:fldChar w:fldCharType="separate"/>
        </w:r>
        <w:r w:rsidR="00E353DF">
          <w:rPr>
            <w:noProof/>
            <w:webHidden/>
          </w:rPr>
          <w:t>38</w:t>
        </w:r>
        <w:r w:rsidR="001E471C" w:rsidRPr="00FC0417">
          <w:rPr>
            <w:noProof/>
            <w:webHidden/>
          </w:rPr>
          <w:fldChar w:fldCharType="end"/>
        </w:r>
      </w:hyperlink>
    </w:p>
    <w:p w14:paraId="0E3D0DEC" w14:textId="32DA6765"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5" w:history="1">
        <w:r w:rsidR="001E471C" w:rsidRPr="00FC0417">
          <w:rPr>
            <w:rStyle w:val="Hyperlink"/>
            <w:bCs/>
            <w:noProof/>
          </w:rPr>
          <w:t>Table 3</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Summary of EE Forecast Annual Electric Energy Savings and Peak Demand Reductions</w:t>
        </w:r>
        <w:r w:rsidR="00FC0417">
          <w:rPr>
            <w:rStyle w:val="Hyperlink"/>
            <w:bCs/>
            <w:noProof/>
          </w:rPr>
          <w:br/>
        </w:r>
        <w:r w:rsidR="001E471C" w:rsidRPr="00FC0417">
          <w:rPr>
            <w:rStyle w:val="Hyperlink"/>
            <w:bCs/>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_Toc12795325 \h </w:instrText>
        </w:r>
        <w:r w:rsidR="001E471C" w:rsidRPr="00FC0417">
          <w:rPr>
            <w:noProof/>
            <w:webHidden/>
          </w:rPr>
        </w:r>
        <w:r w:rsidR="001E471C" w:rsidRPr="00FC0417">
          <w:rPr>
            <w:noProof/>
            <w:webHidden/>
          </w:rPr>
          <w:fldChar w:fldCharType="separate"/>
        </w:r>
        <w:r w:rsidR="00E353DF">
          <w:rPr>
            <w:noProof/>
            <w:webHidden/>
          </w:rPr>
          <w:t>41</w:t>
        </w:r>
        <w:r w:rsidR="001E471C" w:rsidRPr="00FC0417">
          <w:rPr>
            <w:noProof/>
            <w:webHidden/>
          </w:rPr>
          <w:fldChar w:fldCharType="end"/>
        </w:r>
      </w:hyperlink>
    </w:p>
    <w:p w14:paraId="574BC890" w14:textId="192D78ED"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6" w:history="1">
        <w:r w:rsidR="001E471C" w:rsidRPr="00FC0417">
          <w:rPr>
            <w:rStyle w:val="Hyperlink"/>
            <w:bCs/>
            <w:noProof/>
          </w:rPr>
          <w:t>Table 3</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States’ Annual and Cumulative PV Nameplate Capacities, 2019 to 2028 (MW</w:t>
        </w:r>
        <w:r w:rsidR="001E471C" w:rsidRPr="00FC0417">
          <w:rPr>
            <w:rStyle w:val="Hyperlink"/>
            <w:bCs/>
            <w:noProof/>
            <w:vertAlign w:val="subscript"/>
          </w:rPr>
          <w:t>AC</w:t>
        </w:r>
        <w:r w:rsidR="001E471C" w:rsidRPr="00FC0417">
          <w:rPr>
            <w:rStyle w:val="Hyperlink"/>
            <w:bCs/>
            <w:noProof/>
          </w:rPr>
          <w:t>)</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_Toc12795326 \h </w:instrText>
        </w:r>
        <w:r w:rsidR="001E471C" w:rsidRPr="00FC0417">
          <w:rPr>
            <w:noProof/>
            <w:webHidden/>
          </w:rPr>
        </w:r>
        <w:r w:rsidR="001E471C" w:rsidRPr="00FC0417">
          <w:rPr>
            <w:noProof/>
            <w:webHidden/>
          </w:rPr>
          <w:fldChar w:fldCharType="separate"/>
        </w:r>
        <w:r w:rsidR="00E353DF">
          <w:rPr>
            <w:noProof/>
            <w:webHidden/>
          </w:rPr>
          <w:t>43</w:t>
        </w:r>
        <w:r w:rsidR="001E471C" w:rsidRPr="00FC0417">
          <w:rPr>
            <w:noProof/>
            <w:webHidden/>
          </w:rPr>
          <w:fldChar w:fldCharType="end"/>
        </w:r>
      </w:hyperlink>
    </w:p>
    <w:p w14:paraId="115A0E23" w14:textId="225D34A9"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7" w:history="1">
        <w:r w:rsidR="001E471C" w:rsidRPr="00FC0417">
          <w:rPr>
            <w:rStyle w:val="Hyperlink"/>
            <w:bCs/>
            <w:noProof/>
          </w:rPr>
          <w:t>Table 3</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Cumulative New England PV Forecast for Each Classification of PV, 2019 to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_Toc12795327 \h </w:instrText>
        </w:r>
        <w:r w:rsidR="001E471C" w:rsidRPr="00FC0417">
          <w:rPr>
            <w:noProof/>
            <w:webHidden/>
          </w:rPr>
        </w:r>
        <w:r w:rsidR="001E471C" w:rsidRPr="00FC0417">
          <w:rPr>
            <w:noProof/>
            <w:webHidden/>
          </w:rPr>
          <w:fldChar w:fldCharType="separate"/>
        </w:r>
        <w:r w:rsidR="00E353DF">
          <w:rPr>
            <w:noProof/>
            <w:webHidden/>
          </w:rPr>
          <w:t>44</w:t>
        </w:r>
        <w:r w:rsidR="001E471C" w:rsidRPr="00FC0417">
          <w:rPr>
            <w:noProof/>
            <w:webHidden/>
          </w:rPr>
          <w:fldChar w:fldCharType="end"/>
        </w:r>
      </w:hyperlink>
    </w:p>
    <w:p w14:paraId="46DD15AD" w14:textId="531D0160"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8" w:history="1">
        <w:r w:rsidR="001E471C" w:rsidRPr="00FC0417">
          <w:rPr>
            <w:rStyle w:val="Hyperlink"/>
            <w:bCs/>
            <w:noProof/>
          </w:rPr>
          <w:t>Table 3</w:t>
        </w:r>
        <w:r w:rsidR="001E471C" w:rsidRPr="00FC0417">
          <w:rPr>
            <w:rStyle w:val="Hyperlink"/>
            <w:bCs/>
            <w:noProof/>
          </w:rPr>
          <w:noBreakHyphen/>
          <w:t>5</w:t>
        </w:r>
        <w:r w:rsidR="001E471C" w:rsidRPr="00FC0417">
          <w:rPr>
            <w:rStyle w:val="Hyperlink"/>
            <w:noProof/>
          </w:rPr>
          <w:t xml:space="preserve"> </w:t>
        </w:r>
        <w:r w:rsidR="00FC0417">
          <w:rPr>
            <w:rStyle w:val="Hyperlink"/>
            <w:noProof/>
          </w:rPr>
          <w:tab/>
        </w:r>
        <w:r w:rsidR="001E471C" w:rsidRPr="00FC0417">
          <w:rPr>
            <w:rStyle w:val="Hyperlink"/>
            <w:noProof/>
          </w:rPr>
          <w:t>Summary of BTM PV Forecast Annual Electric Energy Savings and Peak Demand Reductions</w:t>
        </w:r>
        <w:r w:rsidR="00FC0417">
          <w:rPr>
            <w:rStyle w:val="Hyperlink"/>
            <w:noProof/>
          </w:rPr>
          <w:br/>
        </w:r>
        <w:r w:rsidR="001E471C" w:rsidRPr="00FC0417">
          <w:rPr>
            <w:rStyle w:val="Hyperlink"/>
            <w:noProof/>
          </w:rPr>
          <w:t>for New England and the States, 2019 and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_Toc12795328 \h </w:instrText>
        </w:r>
        <w:r w:rsidR="001E471C" w:rsidRPr="00FC0417">
          <w:rPr>
            <w:noProof/>
            <w:webHidden/>
          </w:rPr>
        </w:r>
        <w:r w:rsidR="001E471C" w:rsidRPr="00FC0417">
          <w:rPr>
            <w:noProof/>
            <w:webHidden/>
          </w:rPr>
          <w:fldChar w:fldCharType="separate"/>
        </w:r>
        <w:r w:rsidR="00E353DF">
          <w:rPr>
            <w:noProof/>
            <w:webHidden/>
          </w:rPr>
          <w:t>44</w:t>
        </w:r>
        <w:r w:rsidR="001E471C" w:rsidRPr="00FC0417">
          <w:rPr>
            <w:noProof/>
            <w:webHidden/>
          </w:rPr>
          <w:fldChar w:fldCharType="end"/>
        </w:r>
      </w:hyperlink>
    </w:p>
    <w:p w14:paraId="2A957A32" w14:textId="28E76EA4"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29" w:history="1">
        <w:r w:rsidR="001E471C" w:rsidRPr="00FC0417">
          <w:rPr>
            <w:rStyle w:val="Hyperlink"/>
            <w:bCs/>
            <w:noProof/>
          </w:rPr>
          <w:t>Table 3</w:t>
        </w:r>
        <w:r w:rsidR="001E471C" w:rsidRPr="00FC0417">
          <w:rPr>
            <w:rStyle w:val="Hyperlink"/>
            <w:bCs/>
            <w:noProof/>
          </w:rPr>
          <w:noBreakHyphen/>
          <w:t xml:space="preserve">6 </w:t>
        </w:r>
        <w:r w:rsidR="00FC0417">
          <w:rPr>
            <w:rStyle w:val="Hyperlink"/>
            <w:bCs/>
            <w:noProof/>
          </w:rPr>
          <w:tab/>
        </w:r>
        <w:r w:rsidR="001E471C" w:rsidRPr="00FC0417">
          <w:rPr>
            <w:rStyle w:val="Hyperlink"/>
            <w:bCs/>
            <w:noProof/>
          </w:rPr>
          <w:t>Percentage Growth Rates of the Gross and Net Forecasts of Annual and Peak Electric Energy</w:t>
        </w:r>
        <w:r w:rsidR="00FC0417">
          <w:rPr>
            <w:rStyle w:val="Hyperlink"/>
            <w:bCs/>
            <w:noProof/>
          </w:rPr>
          <w:br/>
        </w:r>
        <w:r w:rsidR="001E471C" w:rsidRPr="00FC0417">
          <w:rPr>
            <w:rStyle w:val="Hyperlink"/>
            <w:bCs/>
            <w:noProof/>
          </w:rPr>
          <w:t>Use, 2019 to 2028</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_Toc12795329 \h </w:instrText>
        </w:r>
        <w:r w:rsidR="001E471C" w:rsidRPr="00FC0417">
          <w:rPr>
            <w:noProof/>
            <w:webHidden/>
          </w:rPr>
        </w:r>
        <w:r w:rsidR="001E471C" w:rsidRPr="00FC0417">
          <w:rPr>
            <w:noProof/>
            <w:webHidden/>
          </w:rPr>
          <w:fldChar w:fldCharType="separate"/>
        </w:r>
        <w:r w:rsidR="00E353DF">
          <w:rPr>
            <w:noProof/>
            <w:webHidden/>
          </w:rPr>
          <w:t>46</w:t>
        </w:r>
        <w:r w:rsidR="001E471C" w:rsidRPr="00FC0417">
          <w:rPr>
            <w:noProof/>
            <w:webHidden/>
          </w:rPr>
          <w:fldChar w:fldCharType="end"/>
        </w:r>
      </w:hyperlink>
    </w:p>
    <w:p w14:paraId="437D9CAA" w14:textId="38BB243A"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0" w:history="1">
        <w:r w:rsidR="001E471C" w:rsidRPr="00FC0417">
          <w:rPr>
            <w:rStyle w:val="Hyperlink"/>
            <w:bCs/>
            <w:noProof/>
          </w:rPr>
          <w:t>Table 3</w:t>
        </w:r>
        <w:r w:rsidR="001E471C" w:rsidRPr="00FC0417">
          <w:rPr>
            <w:rStyle w:val="Hyperlink"/>
            <w:bCs/>
            <w:noProof/>
          </w:rPr>
          <w:noBreakHyphen/>
          <w:t xml:space="preserve">7 </w:t>
        </w:r>
        <w:r w:rsidR="00FC0417">
          <w:rPr>
            <w:rStyle w:val="Hyperlink"/>
            <w:bCs/>
            <w:noProof/>
          </w:rPr>
          <w:tab/>
        </w:r>
        <w:r w:rsidR="001E471C" w:rsidRPr="00FC0417">
          <w:rPr>
            <w:rStyle w:val="Hyperlink"/>
            <w:bCs/>
            <w:noProof/>
          </w:rPr>
          <w:t>State and Systemwide Net Forecasts of Annual and Peak Electric Energy Use, 2019</w:t>
        </w:r>
        <w:r w:rsidR="00A956A8">
          <w:rPr>
            <w:rStyle w:val="Hyperlink"/>
            <w:bCs/>
            <w:noProof/>
          </w:rPr>
          <w:t xml:space="preserve"> to </w:t>
        </w:r>
        <w:r w:rsidR="001E471C" w:rsidRPr="00FC0417">
          <w:rPr>
            <w:rStyle w:val="Hyperlink"/>
            <w:bCs/>
            <w:noProof/>
          </w:rPr>
          <w:t>2028</w:t>
        </w:r>
        <w:r w:rsidR="00FC0417">
          <w:rPr>
            <w:rStyle w:val="Hyperlink"/>
            <w:bCs/>
            <w:noProof/>
          </w:rPr>
          <w:br/>
        </w:r>
        <w:r w:rsidR="001E471C" w:rsidRPr="00FC0417">
          <w:rPr>
            <w:rStyle w:val="Hyperlink"/>
            <w:bCs/>
            <w:noProof/>
          </w:rPr>
          <w:t>(MWh,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_Toc12795330 \h </w:instrText>
        </w:r>
        <w:r w:rsidR="001E471C" w:rsidRPr="00FC0417">
          <w:rPr>
            <w:noProof/>
            <w:webHidden/>
          </w:rPr>
        </w:r>
        <w:r w:rsidR="001E471C" w:rsidRPr="00FC0417">
          <w:rPr>
            <w:noProof/>
            <w:webHidden/>
          </w:rPr>
          <w:fldChar w:fldCharType="separate"/>
        </w:r>
        <w:r w:rsidR="00E353DF">
          <w:rPr>
            <w:noProof/>
            <w:webHidden/>
          </w:rPr>
          <w:t>47</w:t>
        </w:r>
        <w:r w:rsidR="001E471C" w:rsidRPr="00FC0417">
          <w:rPr>
            <w:noProof/>
            <w:webHidden/>
          </w:rPr>
          <w:fldChar w:fldCharType="end"/>
        </w:r>
      </w:hyperlink>
    </w:p>
    <w:p w14:paraId="44F0110E" w14:textId="3254B08E"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1" w:history="1">
        <w:r w:rsidR="001E471C" w:rsidRPr="00FC0417">
          <w:rPr>
            <w:rStyle w:val="Hyperlink"/>
            <w:bCs/>
            <w:noProof/>
          </w:rPr>
          <w:t>Table 3</w:t>
        </w:r>
        <w:r w:rsidR="001E471C" w:rsidRPr="00FC0417">
          <w:rPr>
            <w:rStyle w:val="Hyperlink"/>
            <w:bCs/>
            <w:noProof/>
          </w:rPr>
          <w:noBreakHyphen/>
          <w:t xml:space="preserve">8 </w:t>
        </w:r>
        <w:r w:rsidR="00FC0417">
          <w:rPr>
            <w:rStyle w:val="Hyperlink"/>
            <w:bCs/>
            <w:noProof/>
          </w:rPr>
          <w:tab/>
        </w:r>
        <w:r w:rsidR="001E471C" w:rsidRPr="00FC0417">
          <w:rPr>
            <w:rStyle w:val="Hyperlink"/>
            <w:bCs/>
            <w:noProof/>
          </w:rPr>
          <w:t>Forecast of Net Demand in RSP Subareas, 2019 to 2028 (GWh,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_Toc12795331 \h </w:instrText>
        </w:r>
        <w:r w:rsidR="001E471C" w:rsidRPr="00FC0417">
          <w:rPr>
            <w:noProof/>
            <w:webHidden/>
          </w:rPr>
        </w:r>
        <w:r w:rsidR="001E471C" w:rsidRPr="00FC0417">
          <w:rPr>
            <w:noProof/>
            <w:webHidden/>
          </w:rPr>
          <w:fldChar w:fldCharType="separate"/>
        </w:r>
        <w:r w:rsidR="00E353DF">
          <w:rPr>
            <w:noProof/>
            <w:webHidden/>
          </w:rPr>
          <w:t>48</w:t>
        </w:r>
        <w:r w:rsidR="001E471C" w:rsidRPr="00FC0417">
          <w:rPr>
            <w:noProof/>
            <w:webHidden/>
          </w:rPr>
          <w:fldChar w:fldCharType="end"/>
        </w:r>
      </w:hyperlink>
    </w:p>
    <w:p w14:paraId="48CB241F" w14:textId="17715FAA"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2" w:history="1">
        <w:r w:rsidR="001E471C" w:rsidRPr="00FC0417">
          <w:rPr>
            <w:rStyle w:val="Hyperlink"/>
            <w:bCs/>
            <w:noProof/>
          </w:rPr>
          <w:t>Table 4</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Actual and Representative New England Net Installed Capacity Requirements</w:t>
        </w:r>
        <w:r w:rsidR="00FC0417">
          <w:rPr>
            <w:rStyle w:val="Hyperlink"/>
            <w:bCs/>
            <w:noProof/>
          </w:rPr>
          <w:br/>
        </w:r>
        <w:r w:rsidR="001E471C" w:rsidRPr="00FC0417">
          <w:rPr>
            <w:rStyle w:val="Hyperlink"/>
            <w:bCs/>
            <w:noProof/>
          </w:rPr>
          <w:t>and Resulting Reserves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_Toc12795332 \h </w:instrText>
        </w:r>
        <w:r w:rsidR="001E471C" w:rsidRPr="00FC0417">
          <w:rPr>
            <w:noProof/>
            <w:webHidden/>
          </w:rPr>
        </w:r>
        <w:r w:rsidR="001E471C" w:rsidRPr="00FC0417">
          <w:rPr>
            <w:noProof/>
            <w:webHidden/>
          </w:rPr>
          <w:fldChar w:fldCharType="separate"/>
        </w:r>
        <w:r w:rsidR="00E353DF">
          <w:rPr>
            <w:noProof/>
            <w:webHidden/>
          </w:rPr>
          <w:t>52</w:t>
        </w:r>
        <w:r w:rsidR="001E471C" w:rsidRPr="00FC0417">
          <w:rPr>
            <w:noProof/>
            <w:webHidden/>
          </w:rPr>
          <w:fldChar w:fldCharType="end"/>
        </w:r>
      </w:hyperlink>
    </w:p>
    <w:p w14:paraId="34359187" w14:textId="6D1F428A"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3" w:history="1">
        <w:r w:rsidR="001E471C" w:rsidRPr="00FC0417">
          <w:rPr>
            <w:rStyle w:val="Hyperlink"/>
            <w:bCs/>
            <w:noProof/>
          </w:rPr>
          <w:t>Table 4</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Actual LSRs and MCLs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_Toc12795333 \h </w:instrText>
        </w:r>
        <w:r w:rsidR="001E471C" w:rsidRPr="00FC0417">
          <w:rPr>
            <w:noProof/>
            <w:webHidden/>
          </w:rPr>
        </w:r>
        <w:r w:rsidR="001E471C" w:rsidRPr="00FC0417">
          <w:rPr>
            <w:noProof/>
            <w:webHidden/>
          </w:rPr>
          <w:fldChar w:fldCharType="separate"/>
        </w:r>
        <w:r w:rsidR="00E353DF">
          <w:rPr>
            <w:noProof/>
            <w:webHidden/>
          </w:rPr>
          <w:t>54</w:t>
        </w:r>
        <w:r w:rsidR="001E471C" w:rsidRPr="00FC0417">
          <w:rPr>
            <w:noProof/>
            <w:webHidden/>
          </w:rPr>
          <w:fldChar w:fldCharType="end"/>
        </w:r>
      </w:hyperlink>
    </w:p>
    <w:p w14:paraId="061CC0D6" w14:textId="30E1C597"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4" w:history="1">
        <w:r w:rsidR="001E471C" w:rsidRPr="00FC0417">
          <w:rPr>
            <w:rStyle w:val="Hyperlink"/>
            <w:bCs/>
            <w:noProof/>
          </w:rPr>
          <w:t>Table 4</w:t>
        </w:r>
        <w:r w:rsidR="001E471C" w:rsidRPr="00FC0417">
          <w:rPr>
            <w:rStyle w:val="Hyperlink"/>
            <w:bCs/>
            <w:noProof/>
          </w:rPr>
          <w:noBreakHyphen/>
          <w:t xml:space="preserve">3 </w:t>
        </w:r>
        <w:r w:rsidR="00FC0417">
          <w:rPr>
            <w:rStyle w:val="Hyperlink"/>
            <w:bCs/>
            <w:noProof/>
          </w:rPr>
          <w:tab/>
        </w:r>
        <w:r w:rsidR="001E471C" w:rsidRPr="00FC0417">
          <w:rPr>
            <w:rStyle w:val="Hyperlink"/>
            <w:rFonts w:cs="Arial"/>
            <w:bCs/>
            <w:noProof/>
          </w:rPr>
          <w:t>Summary of the FCA Obligations at the Conclusion of Each Auction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_Toc12795334 \h </w:instrText>
        </w:r>
        <w:r w:rsidR="001E471C" w:rsidRPr="00FC0417">
          <w:rPr>
            <w:noProof/>
            <w:webHidden/>
          </w:rPr>
        </w:r>
        <w:r w:rsidR="001E471C" w:rsidRPr="00FC0417">
          <w:rPr>
            <w:noProof/>
            <w:webHidden/>
          </w:rPr>
          <w:fldChar w:fldCharType="separate"/>
        </w:r>
        <w:r w:rsidR="00E353DF">
          <w:rPr>
            <w:noProof/>
            <w:webHidden/>
          </w:rPr>
          <w:t>55</w:t>
        </w:r>
        <w:r w:rsidR="001E471C" w:rsidRPr="00FC0417">
          <w:rPr>
            <w:noProof/>
            <w:webHidden/>
          </w:rPr>
          <w:fldChar w:fldCharType="end"/>
        </w:r>
      </w:hyperlink>
    </w:p>
    <w:p w14:paraId="181E8E96" w14:textId="3D980062"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5" w:history="1">
        <w:r w:rsidR="001E471C" w:rsidRPr="00FC0417">
          <w:rPr>
            <w:rStyle w:val="Hyperlink"/>
            <w:bCs/>
            <w:noProof/>
          </w:rPr>
          <w:t>Table 4</w:t>
        </w:r>
        <w:r w:rsidR="001E471C" w:rsidRPr="00FC0417">
          <w:rPr>
            <w:rStyle w:val="Hyperlink"/>
            <w:bCs/>
            <w:noProof/>
          </w:rPr>
          <w:noBreakHyphen/>
          <w:t>4</w:t>
        </w:r>
        <w:r w:rsidR="001E471C" w:rsidRPr="00FC0417">
          <w:rPr>
            <w:rStyle w:val="Hyperlink"/>
            <w:noProof/>
          </w:rPr>
          <w:t xml:space="preserve"> </w:t>
        </w:r>
        <w:r w:rsidR="00FC0417">
          <w:rPr>
            <w:rStyle w:val="Hyperlink"/>
            <w:noProof/>
          </w:rPr>
          <w:tab/>
        </w:r>
        <w:r w:rsidR="001E471C" w:rsidRPr="00FC0417">
          <w:rPr>
            <w:rStyle w:val="Hyperlink"/>
            <w:rFonts w:cs="Arial"/>
            <w:bCs/>
            <w:noProof/>
          </w:rPr>
          <w:t>Capacity Supply Obligation for New Capacity Procured during the Forward Capacity</w:t>
        </w:r>
        <w:r w:rsidR="00FC0417">
          <w:rPr>
            <w:rStyle w:val="Hyperlink"/>
            <w:rFonts w:cs="Arial"/>
            <w:bCs/>
            <w:noProof/>
          </w:rPr>
          <w:br/>
        </w:r>
        <w:r w:rsidR="001E471C" w:rsidRPr="00FC0417">
          <w:rPr>
            <w:rStyle w:val="Hyperlink"/>
            <w:rFonts w:cs="Arial"/>
            <w:bCs/>
            <w:noProof/>
          </w:rPr>
          <w:t>Auctions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_Toc12795335 \h </w:instrText>
        </w:r>
        <w:r w:rsidR="001E471C" w:rsidRPr="00FC0417">
          <w:rPr>
            <w:noProof/>
            <w:webHidden/>
          </w:rPr>
        </w:r>
        <w:r w:rsidR="001E471C" w:rsidRPr="00FC0417">
          <w:rPr>
            <w:noProof/>
            <w:webHidden/>
          </w:rPr>
          <w:fldChar w:fldCharType="separate"/>
        </w:r>
        <w:r w:rsidR="00E353DF">
          <w:rPr>
            <w:noProof/>
            <w:webHidden/>
          </w:rPr>
          <w:t>56</w:t>
        </w:r>
        <w:r w:rsidR="001E471C" w:rsidRPr="00FC0417">
          <w:rPr>
            <w:noProof/>
            <w:webHidden/>
          </w:rPr>
          <w:fldChar w:fldCharType="end"/>
        </w:r>
      </w:hyperlink>
    </w:p>
    <w:p w14:paraId="6750D6D9" w14:textId="44940C4E"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6" w:history="1">
        <w:r w:rsidR="001E471C" w:rsidRPr="00FC0417">
          <w:rPr>
            <w:rStyle w:val="Hyperlink"/>
            <w:bCs/>
            <w:noProof/>
          </w:rPr>
          <w:t>Table 4</w:t>
        </w:r>
        <w:r w:rsidR="001E471C" w:rsidRPr="00FC0417">
          <w:rPr>
            <w:rStyle w:val="Hyperlink"/>
            <w:bCs/>
            <w:noProof/>
          </w:rPr>
          <w:noBreakHyphen/>
          <w:t xml:space="preserve">5 </w:t>
        </w:r>
        <w:r w:rsidR="00FC0417">
          <w:rPr>
            <w:rStyle w:val="Hyperlink"/>
            <w:bCs/>
            <w:noProof/>
          </w:rPr>
          <w:tab/>
        </w:r>
        <w:r w:rsidR="001E471C" w:rsidRPr="00FC0417">
          <w:rPr>
            <w:rStyle w:val="Hyperlink"/>
            <w:bCs/>
            <w:noProof/>
          </w:rPr>
          <w:t>Future Systemwide Needs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_Toc12795336 \h </w:instrText>
        </w:r>
        <w:r w:rsidR="001E471C" w:rsidRPr="00FC0417">
          <w:rPr>
            <w:noProof/>
            <w:webHidden/>
          </w:rPr>
        </w:r>
        <w:r w:rsidR="001E471C" w:rsidRPr="00FC0417">
          <w:rPr>
            <w:noProof/>
            <w:webHidden/>
          </w:rPr>
          <w:fldChar w:fldCharType="separate"/>
        </w:r>
        <w:r w:rsidR="00E353DF">
          <w:rPr>
            <w:noProof/>
            <w:webHidden/>
          </w:rPr>
          <w:t>59</w:t>
        </w:r>
        <w:r w:rsidR="001E471C" w:rsidRPr="00FC0417">
          <w:rPr>
            <w:noProof/>
            <w:webHidden/>
          </w:rPr>
          <w:fldChar w:fldCharType="end"/>
        </w:r>
      </w:hyperlink>
    </w:p>
    <w:p w14:paraId="234F322D" w14:textId="586365AA"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7" w:history="1">
        <w:r w:rsidR="001E471C" w:rsidRPr="00FC0417">
          <w:rPr>
            <w:rStyle w:val="Hyperlink"/>
            <w:noProof/>
          </w:rPr>
          <w:t>Table 4</w:t>
        </w:r>
        <w:r w:rsidR="001E471C" w:rsidRPr="00FC0417">
          <w:rPr>
            <w:rStyle w:val="Hyperlink"/>
            <w:noProof/>
          </w:rPr>
          <w:noBreakHyphen/>
          <w:t xml:space="preserve">6 </w:t>
        </w:r>
        <w:r w:rsidR="00FC0417" w:rsidRPr="00FC0417">
          <w:rPr>
            <w:rStyle w:val="Hyperlink"/>
            <w:noProof/>
          </w:rPr>
          <w:tab/>
        </w:r>
        <w:r w:rsidR="001E471C" w:rsidRPr="00FC0417">
          <w:rPr>
            <w:rStyle w:val="Hyperlink"/>
            <w:noProof/>
          </w:rPr>
          <w:t xml:space="preserve">Projected New England Operable-Capacity Analysis for Summer 2020 </w:t>
        </w:r>
        <w:r w:rsidR="001E471C" w:rsidRPr="00FC0417">
          <w:rPr>
            <w:rStyle w:val="Hyperlink"/>
            <w:rFonts w:cs="Arial"/>
            <w:noProof/>
          </w:rPr>
          <w:t xml:space="preserve">to </w:t>
        </w:r>
        <w:r w:rsidR="001E471C" w:rsidRPr="00FC0417">
          <w:rPr>
            <w:rStyle w:val="Hyperlink"/>
            <w:noProof/>
          </w:rPr>
          <w:t>2028,</w:t>
        </w:r>
        <w:r w:rsidR="00FC0417" w:rsidRPr="00FC0417">
          <w:rPr>
            <w:rStyle w:val="Hyperlink"/>
            <w:noProof/>
          </w:rPr>
          <w:br/>
        </w:r>
        <w:r w:rsidR="001E471C" w:rsidRPr="00FC0417">
          <w:rPr>
            <w:rStyle w:val="Hyperlink"/>
            <w:noProof/>
          </w:rPr>
          <w:t>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_Toc12795337 \h </w:instrText>
        </w:r>
        <w:r w:rsidR="001E471C" w:rsidRPr="00FC0417">
          <w:rPr>
            <w:noProof/>
            <w:webHidden/>
          </w:rPr>
        </w:r>
        <w:r w:rsidR="001E471C" w:rsidRPr="00FC0417">
          <w:rPr>
            <w:noProof/>
            <w:webHidden/>
          </w:rPr>
          <w:fldChar w:fldCharType="separate"/>
        </w:r>
        <w:r w:rsidR="00E353DF">
          <w:rPr>
            <w:noProof/>
            <w:webHidden/>
          </w:rPr>
          <w:t>62</w:t>
        </w:r>
        <w:r w:rsidR="001E471C" w:rsidRPr="00FC0417">
          <w:rPr>
            <w:noProof/>
            <w:webHidden/>
          </w:rPr>
          <w:fldChar w:fldCharType="end"/>
        </w:r>
      </w:hyperlink>
    </w:p>
    <w:p w14:paraId="3044BF0A" w14:textId="17ACD962"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8" w:history="1">
        <w:r w:rsidR="001E471C" w:rsidRPr="00FC0417">
          <w:rPr>
            <w:rStyle w:val="Hyperlink"/>
            <w:bCs/>
            <w:noProof/>
          </w:rPr>
          <w:t>Table 4</w:t>
        </w:r>
        <w:r w:rsidR="001E471C" w:rsidRPr="00FC0417">
          <w:rPr>
            <w:rStyle w:val="Hyperlink"/>
            <w:bCs/>
            <w:noProof/>
          </w:rPr>
          <w:noBreakHyphen/>
          <w:t>7</w:t>
        </w:r>
        <w:r w:rsidR="001E471C" w:rsidRPr="00FC0417">
          <w:rPr>
            <w:rStyle w:val="Hyperlink"/>
            <w:noProof/>
          </w:rPr>
          <w:t xml:space="preserve"> </w:t>
        </w:r>
        <w:r w:rsidR="00FC0417" w:rsidRPr="00FC0417">
          <w:rPr>
            <w:rStyle w:val="Hyperlink"/>
            <w:noProof/>
          </w:rPr>
          <w:tab/>
        </w:r>
        <w:r w:rsidR="001E471C" w:rsidRPr="00FC0417">
          <w:rPr>
            <w:rStyle w:val="Hyperlink"/>
            <w:noProof/>
          </w:rPr>
          <w:t xml:space="preserve">Projected New England Operable Capacity Analysis for Winter, 2020/2021 </w:t>
        </w:r>
        <w:r w:rsidR="001E471C" w:rsidRPr="00FC0417">
          <w:rPr>
            <w:rStyle w:val="Hyperlink"/>
            <w:rFonts w:cs="Arial"/>
            <w:noProof/>
          </w:rPr>
          <w:t xml:space="preserve">to </w:t>
        </w:r>
        <w:r w:rsidR="001E471C" w:rsidRPr="00FC0417">
          <w:rPr>
            <w:rStyle w:val="Hyperlink"/>
            <w:noProof/>
          </w:rPr>
          <w:t>2028/2029 Assuming 50/50 and 90/10 Loads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_Toc12795338 \h </w:instrText>
        </w:r>
        <w:r w:rsidR="001E471C" w:rsidRPr="00FC0417">
          <w:rPr>
            <w:noProof/>
            <w:webHidden/>
          </w:rPr>
        </w:r>
        <w:r w:rsidR="001E471C" w:rsidRPr="00FC0417">
          <w:rPr>
            <w:noProof/>
            <w:webHidden/>
          </w:rPr>
          <w:fldChar w:fldCharType="separate"/>
        </w:r>
        <w:r w:rsidR="00E353DF">
          <w:rPr>
            <w:noProof/>
            <w:webHidden/>
          </w:rPr>
          <w:t>64</w:t>
        </w:r>
        <w:r w:rsidR="001E471C" w:rsidRPr="00FC0417">
          <w:rPr>
            <w:noProof/>
            <w:webHidden/>
          </w:rPr>
          <w:fldChar w:fldCharType="end"/>
        </w:r>
      </w:hyperlink>
    </w:p>
    <w:p w14:paraId="5861C28A" w14:textId="0C9993DB"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39" w:history="1">
        <w:r w:rsidR="001E471C" w:rsidRPr="00FC0417">
          <w:rPr>
            <w:rStyle w:val="Hyperlink"/>
            <w:bCs/>
            <w:noProof/>
          </w:rPr>
          <w:t>Table 4</w:t>
        </w:r>
        <w:r w:rsidR="001E471C" w:rsidRPr="00FC0417">
          <w:rPr>
            <w:rStyle w:val="Hyperlink"/>
            <w:bCs/>
            <w:noProof/>
          </w:rPr>
          <w:noBreakHyphen/>
          <w:t>8</w:t>
        </w:r>
        <w:r w:rsidR="001E471C" w:rsidRPr="00FC0417">
          <w:rPr>
            <w:rStyle w:val="Hyperlink"/>
            <w:noProof/>
          </w:rPr>
          <w:t xml:space="preserve"> </w:t>
        </w:r>
        <w:r w:rsidR="00FC0417">
          <w:rPr>
            <w:rStyle w:val="Hyperlink"/>
            <w:noProof/>
          </w:rPr>
          <w:tab/>
        </w:r>
        <w:r w:rsidR="001E471C" w:rsidRPr="00FC0417">
          <w:rPr>
            <w:rStyle w:val="Hyperlink"/>
            <w:noProof/>
          </w:rPr>
          <w:t>Representative Future Operating-Reserve Needs in Major New England Import Areas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_Toc12795339 \h </w:instrText>
        </w:r>
        <w:r w:rsidR="001E471C" w:rsidRPr="00FC0417">
          <w:rPr>
            <w:noProof/>
            <w:webHidden/>
          </w:rPr>
        </w:r>
        <w:r w:rsidR="001E471C" w:rsidRPr="00FC0417">
          <w:rPr>
            <w:noProof/>
            <w:webHidden/>
          </w:rPr>
          <w:fldChar w:fldCharType="separate"/>
        </w:r>
        <w:r w:rsidR="00E353DF">
          <w:rPr>
            <w:noProof/>
            <w:webHidden/>
          </w:rPr>
          <w:t>68</w:t>
        </w:r>
        <w:r w:rsidR="001E471C" w:rsidRPr="00FC0417">
          <w:rPr>
            <w:noProof/>
            <w:webHidden/>
          </w:rPr>
          <w:fldChar w:fldCharType="end"/>
        </w:r>
      </w:hyperlink>
    </w:p>
    <w:p w14:paraId="39711527" w14:textId="7382003A"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0" w:history="1">
        <w:r w:rsidR="001E471C" w:rsidRPr="00FC0417">
          <w:rPr>
            <w:rStyle w:val="Hyperlink"/>
            <w:bCs/>
            <w:noProof/>
          </w:rPr>
          <w:t>Table 4</w:t>
        </w:r>
        <w:r w:rsidR="001E471C" w:rsidRPr="00FC0417">
          <w:rPr>
            <w:rStyle w:val="Hyperlink"/>
            <w:bCs/>
            <w:noProof/>
          </w:rPr>
          <w:noBreakHyphen/>
          <w:t>9</w:t>
        </w:r>
        <w:r w:rsidR="001E471C" w:rsidRPr="00FC0417">
          <w:rPr>
            <w:rStyle w:val="Hyperlink"/>
            <w:noProof/>
          </w:rPr>
          <w:t xml:space="preserve"> </w:t>
        </w:r>
        <w:r w:rsidR="00FC0417">
          <w:rPr>
            <w:rStyle w:val="Hyperlink"/>
            <w:noProof/>
          </w:rPr>
          <w:tab/>
        </w:r>
        <w:r w:rsidR="001E471C" w:rsidRPr="00FC0417">
          <w:rPr>
            <w:rStyle w:val="Hyperlink"/>
            <w:noProof/>
          </w:rPr>
          <w:t>2019 Generating Capacity by State and Load Zone (MW,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_Toc12795340 \h </w:instrText>
        </w:r>
        <w:r w:rsidR="001E471C" w:rsidRPr="00FC0417">
          <w:rPr>
            <w:noProof/>
            <w:webHidden/>
          </w:rPr>
        </w:r>
        <w:r w:rsidR="001E471C" w:rsidRPr="00FC0417">
          <w:rPr>
            <w:noProof/>
            <w:webHidden/>
          </w:rPr>
          <w:fldChar w:fldCharType="separate"/>
        </w:r>
        <w:r w:rsidR="00E353DF">
          <w:rPr>
            <w:noProof/>
            <w:webHidden/>
          </w:rPr>
          <w:t>70</w:t>
        </w:r>
        <w:r w:rsidR="001E471C" w:rsidRPr="00FC0417">
          <w:rPr>
            <w:noProof/>
            <w:webHidden/>
          </w:rPr>
          <w:fldChar w:fldCharType="end"/>
        </w:r>
      </w:hyperlink>
    </w:p>
    <w:p w14:paraId="42455E06" w14:textId="750CE5EE"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1" w:history="1">
        <w:r w:rsidR="001E471C" w:rsidRPr="00FC0417">
          <w:rPr>
            <w:rStyle w:val="Hyperlink"/>
            <w:bCs/>
            <w:noProof/>
          </w:rPr>
          <w:t>Table 4</w:t>
        </w:r>
        <w:r w:rsidR="001E471C" w:rsidRPr="00FC0417">
          <w:rPr>
            <w:rStyle w:val="Hyperlink"/>
            <w:bCs/>
            <w:noProof/>
          </w:rPr>
          <w:noBreakHyphen/>
          <w:t>10</w:t>
        </w:r>
        <w:r w:rsidR="001E471C" w:rsidRPr="00FC0417">
          <w:rPr>
            <w:rStyle w:val="Hyperlink"/>
            <w:noProof/>
          </w:rPr>
          <w:t xml:space="preserve"> </w:t>
        </w:r>
        <w:r w:rsidR="00FC0417">
          <w:rPr>
            <w:rStyle w:val="Hyperlink"/>
            <w:noProof/>
          </w:rPr>
          <w:tab/>
        </w:r>
        <w:r w:rsidR="001E471C" w:rsidRPr="00FC0417">
          <w:rPr>
            <w:rStyle w:val="Hyperlink"/>
            <w:noProof/>
          </w:rPr>
          <w:t>Summer and Winter Seasonal Claimed Capabilities for ISO New England Generating Resources,</w:t>
        </w:r>
        <w:r w:rsidR="00FC0417">
          <w:rPr>
            <w:rStyle w:val="Hyperlink"/>
            <w:noProof/>
          </w:rPr>
          <w:br/>
        </w:r>
        <w:r w:rsidR="001E471C" w:rsidRPr="00FC0417">
          <w:rPr>
            <w:rStyle w:val="Hyperlink"/>
            <w:noProof/>
          </w:rPr>
          <w:t>by Assumed Operating Classification, Systemwide and by Load Zone, 2019 to 2020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_Toc12795341 \h </w:instrText>
        </w:r>
        <w:r w:rsidR="001E471C" w:rsidRPr="00FC0417">
          <w:rPr>
            <w:noProof/>
            <w:webHidden/>
          </w:rPr>
        </w:r>
        <w:r w:rsidR="001E471C" w:rsidRPr="00FC0417">
          <w:rPr>
            <w:noProof/>
            <w:webHidden/>
          </w:rPr>
          <w:fldChar w:fldCharType="separate"/>
        </w:r>
        <w:r w:rsidR="00E353DF">
          <w:rPr>
            <w:noProof/>
            <w:webHidden/>
          </w:rPr>
          <w:t>71</w:t>
        </w:r>
        <w:r w:rsidR="001E471C" w:rsidRPr="00FC0417">
          <w:rPr>
            <w:noProof/>
            <w:webHidden/>
          </w:rPr>
          <w:fldChar w:fldCharType="end"/>
        </w:r>
      </w:hyperlink>
    </w:p>
    <w:p w14:paraId="7A34D262" w14:textId="3B983B01"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2" w:history="1">
        <w:r w:rsidR="001E471C" w:rsidRPr="00FC0417">
          <w:rPr>
            <w:rStyle w:val="Hyperlink"/>
            <w:bCs/>
            <w:noProof/>
          </w:rPr>
          <w:t>Table 5</w:t>
        </w:r>
        <w:r w:rsidR="001E471C" w:rsidRPr="00FC0417">
          <w:rPr>
            <w:rStyle w:val="Hyperlink"/>
            <w:bCs/>
            <w:noProof/>
          </w:rPr>
          <w:noBreakHyphen/>
          <w:t xml:space="preserve">1 </w:t>
        </w:r>
        <w:r w:rsidR="00FC0417">
          <w:rPr>
            <w:rStyle w:val="Hyperlink"/>
            <w:bCs/>
            <w:noProof/>
          </w:rPr>
          <w:tab/>
        </w:r>
        <w:r w:rsidR="001E471C" w:rsidRPr="00FC0417">
          <w:rPr>
            <w:rStyle w:val="Hyperlink"/>
            <w:rFonts w:eastAsia="Times New Roman"/>
            <w:bCs/>
            <w:noProof/>
          </w:rPr>
          <w:t>Estimated C</w:t>
        </w:r>
        <w:r w:rsidR="001E471C" w:rsidRPr="00FC0417">
          <w:rPr>
            <w:rStyle w:val="Hyperlink"/>
            <w:rFonts w:eastAsia="Times New Roman"/>
            <w:noProof/>
          </w:rPr>
          <w:t>ost of Reliability Projects as of June</w:t>
        </w:r>
        <w:r w:rsidR="001E471C" w:rsidRPr="00FC0417">
          <w:rPr>
            <w:rStyle w:val="Hyperlink"/>
            <w:rFonts w:eastAsia="Times New Roman"/>
            <w:bCs/>
            <w:noProof/>
          </w:rPr>
          <w:t xml:space="preserve"> 201</w:t>
        </w:r>
        <w:r w:rsidR="00FC0417" w:rsidRPr="00FC0417">
          <w:rPr>
            <w:rStyle w:val="Hyperlink"/>
            <w:rFonts w:eastAsia="Times New Roman"/>
            <w:bCs/>
            <w:noProof/>
          </w:rPr>
          <w:t>8</w:t>
        </w:r>
        <w:r w:rsidR="001E471C" w:rsidRPr="00FC0417">
          <w:rPr>
            <w:rStyle w:val="Hyperlink"/>
            <w:rFonts w:eastAsia="Times New Roman"/>
            <w:noProof/>
          </w:rPr>
          <w:t xml:space="preserve"> Plan Update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_Toc12795342 \h </w:instrText>
        </w:r>
        <w:r w:rsidR="001E471C" w:rsidRPr="00FC0417">
          <w:rPr>
            <w:noProof/>
            <w:webHidden/>
          </w:rPr>
        </w:r>
        <w:r w:rsidR="001E471C" w:rsidRPr="00FC0417">
          <w:rPr>
            <w:noProof/>
            <w:webHidden/>
          </w:rPr>
          <w:fldChar w:fldCharType="separate"/>
        </w:r>
        <w:r w:rsidR="00E353DF">
          <w:rPr>
            <w:noProof/>
            <w:webHidden/>
          </w:rPr>
          <w:t>95</w:t>
        </w:r>
        <w:r w:rsidR="001E471C" w:rsidRPr="00FC0417">
          <w:rPr>
            <w:noProof/>
            <w:webHidden/>
          </w:rPr>
          <w:fldChar w:fldCharType="end"/>
        </w:r>
      </w:hyperlink>
    </w:p>
    <w:p w14:paraId="5778015F" w14:textId="690A8691"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3" w:history="1">
        <w:r w:rsidR="001E471C" w:rsidRPr="00FC0417">
          <w:rPr>
            <w:rStyle w:val="Hyperlink"/>
            <w:bCs/>
            <w:noProof/>
          </w:rPr>
          <w:t>Table 5</w:t>
        </w:r>
        <w:r w:rsidR="001E471C" w:rsidRPr="00FC0417">
          <w:rPr>
            <w:rStyle w:val="Hyperlink"/>
            <w:bCs/>
            <w:noProof/>
          </w:rPr>
          <w:noBreakHyphen/>
          <w:t>2</w:t>
        </w:r>
        <w:r w:rsidR="001E471C" w:rsidRPr="00FC0417">
          <w:rPr>
            <w:rStyle w:val="Hyperlink"/>
            <w:noProof/>
          </w:rPr>
          <w:t xml:space="preserve"> </w:t>
        </w:r>
        <w:r w:rsidR="00FC0417" w:rsidRPr="00FC0417">
          <w:rPr>
            <w:rStyle w:val="Hyperlink"/>
            <w:noProof/>
          </w:rPr>
          <w:tab/>
        </w:r>
        <w:r w:rsidR="001E471C" w:rsidRPr="00FC0417">
          <w:rPr>
            <w:rStyle w:val="Hyperlink"/>
            <w:noProof/>
          </w:rPr>
          <w:t>Actual and Forecast Regional Transmission Service Rates, 201</w:t>
        </w:r>
        <w:r w:rsidR="00FC0417" w:rsidRPr="00FC0417">
          <w:rPr>
            <w:rStyle w:val="Hyperlink"/>
            <w:noProof/>
          </w:rPr>
          <w:t>7</w:t>
        </w:r>
        <w:r w:rsidR="001E471C" w:rsidRPr="00FC0417">
          <w:rPr>
            <w:rStyle w:val="Hyperlink"/>
            <w:noProof/>
          </w:rPr>
          <w:t xml:space="preserve"> to 202</w:t>
        </w:r>
        <w:r w:rsidR="00FC0417" w:rsidRPr="00FC0417">
          <w:rPr>
            <w:rStyle w:val="Hyperlink"/>
            <w:noProof/>
          </w:rPr>
          <w:t>2</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_Toc12795343 \h </w:instrText>
        </w:r>
        <w:r w:rsidR="001E471C" w:rsidRPr="00FC0417">
          <w:rPr>
            <w:noProof/>
            <w:webHidden/>
          </w:rPr>
        </w:r>
        <w:r w:rsidR="001E471C" w:rsidRPr="00FC0417">
          <w:rPr>
            <w:noProof/>
            <w:webHidden/>
          </w:rPr>
          <w:fldChar w:fldCharType="separate"/>
        </w:r>
        <w:r w:rsidR="00E353DF">
          <w:rPr>
            <w:noProof/>
            <w:webHidden/>
          </w:rPr>
          <w:t>96</w:t>
        </w:r>
        <w:r w:rsidR="001E471C" w:rsidRPr="00FC0417">
          <w:rPr>
            <w:noProof/>
            <w:webHidden/>
          </w:rPr>
          <w:fldChar w:fldCharType="end"/>
        </w:r>
      </w:hyperlink>
    </w:p>
    <w:p w14:paraId="31D97872" w14:textId="64CCD2DB"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4" w:history="1">
        <w:r w:rsidR="001E471C" w:rsidRPr="00FC0417">
          <w:rPr>
            <w:rStyle w:val="Hyperlink"/>
            <w:bCs/>
            <w:noProof/>
          </w:rPr>
          <w:t>Table 5</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ISO New England Transmission System Day-Ahead, Real-Time, and Total Congestion Costs and Credits, 2003 to 2018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_Toc12795344 \h </w:instrText>
        </w:r>
        <w:r w:rsidR="001E471C" w:rsidRPr="00FC0417">
          <w:rPr>
            <w:noProof/>
            <w:webHidden/>
          </w:rPr>
        </w:r>
        <w:r w:rsidR="001E471C" w:rsidRPr="00FC0417">
          <w:rPr>
            <w:noProof/>
            <w:webHidden/>
          </w:rPr>
          <w:fldChar w:fldCharType="separate"/>
        </w:r>
        <w:r w:rsidR="00E353DF">
          <w:rPr>
            <w:noProof/>
            <w:webHidden/>
          </w:rPr>
          <w:t>97</w:t>
        </w:r>
        <w:r w:rsidR="001E471C" w:rsidRPr="00FC0417">
          <w:rPr>
            <w:noProof/>
            <w:webHidden/>
          </w:rPr>
          <w:fldChar w:fldCharType="end"/>
        </w:r>
      </w:hyperlink>
    </w:p>
    <w:p w14:paraId="7EEE8C92" w14:textId="04410C91"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5" w:history="1">
        <w:r w:rsidR="001E471C" w:rsidRPr="00FC0417">
          <w:rPr>
            <w:rStyle w:val="Hyperlink"/>
            <w:bCs/>
            <w:noProof/>
          </w:rPr>
          <w:t>Table 5</w:t>
        </w:r>
        <w:r w:rsidR="001E471C" w:rsidRPr="00FC0417">
          <w:rPr>
            <w:rStyle w:val="Hyperlink"/>
            <w:bCs/>
            <w:noProof/>
          </w:rPr>
          <w:noBreakHyphen/>
          <w:t xml:space="preserve">4 </w:t>
        </w:r>
        <w:r w:rsidR="00FC0417">
          <w:rPr>
            <w:rStyle w:val="Hyperlink"/>
            <w:bCs/>
            <w:noProof/>
          </w:rPr>
          <w:tab/>
        </w:r>
        <w:r w:rsidR="001E471C" w:rsidRPr="00FC0417">
          <w:rPr>
            <w:rStyle w:val="Hyperlink"/>
            <w:bCs/>
            <w:noProof/>
          </w:rPr>
          <w:t>Net Commitment-Period Compensation by Type and Year (Million $)</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_Toc12795345 \h </w:instrText>
        </w:r>
        <w:r w:rsidR="001E471C" w:rsidRPr="00FC0417">
          <w:rPr>
            <w:noProof/>
            <w:webHidden/>
          </w:rPr>
        </w:r>
        <w:r w:rsidR="001E471C" w:rsidRPr="00FC0417">
          <w:rPr>
            <w:noProof/>
            <w:webHidden/>
          </w:rPr>
          <w:fldChar w:fldCharType="separate"/>
        </w:r>
        <w:r w:rsidR="00E353DF">
          <w:rPr>
            <w:noProof/>
            <w:webHidden/>
          </w:rPr>
          <w:t>99</w:t>
        </w:r>
        <w:r w:rsidR="001E471C" w:rsidRPr="00FC0417">
          <w:rPr>
            <w:noProof/>
            <w:webHidden/>
          </w:rPr>
          <w:fldChar w:fldCharType="end"/>
        </w:r>
      </w:hyperlink>
    </w:p>
    <w:p w14:paraId="2093B11B" w14:textId="57F2FA69"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6" w:history="1">
        <w:r w:rsidR="001E471C" w:rsidRPr="00FC0417">
          <w:rPr>
            <w:rStyle w:val="Hyperlink"/>
            <w:bCs/>
            <w:noProof/>
          </w:rPr>
          <w:t>Table 6</w:t>
        </w:r>
        <w:r w:rsidR="001E471C" w:rsidRPr="00FC0417">
          <w:rPr>
            <w:rStyle w:val="Hyperlink"/>
            <w:bCs/>
            <w:noProof/>
          </w:rPr>
          <w:noBreakHyphen/>
          <w:t xml:space="preserve">1 </w:t>
        </w:r>
        <w:r w:rsidR="00FC0417">
          <w:rPr>
            <w:rStyle w:val="Hyperlink"/>
            <w:bCs/>
            <w:noProof/>
          </w:rPr>
          <w:tab/>
        </w:r>
        <w:r w:rsidR="001E471C" w:rsidRPr="00FC0417">
          <w:rPr>
            <w:rStyle w:val="Hyperlink"/>
            <w:bCs/>
            <w:noProof/>
          </w:rPr>
          <w:t>Assumed External Interface Import Capability, Summer 2019 to Summer 2028 (MW)</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_Toc12795346 \h </w:instrText>
        </w:r>
        <w:r w:rsidR="001E471C" w:rsidRPr="00FC0417">
          <w:rPr>
            <w:noProof/>
            <w:webHidden/>
          </w:rPr>
        </w:r>
        <w:r w:rsidR="001E471C" w:rsidRPr="00FC0417">
          <w:rPr>
            <w:noProof/>
            <w:webHidden/>
          </w:rPr>
          <w:fldChar w:fldCharType="separate"/>
        </w:r>
        <w:r w:rsidR="00E353DF">
          <w:rPr>
            <w:noProof/>
            <w:webHidden/>
          </w:rPr>
          <w:t>111</w:t>
        </w:r>
        <w:r w:rsidR="001E471C" w:rsidRPr="00FC0417">
          <w:rPr>
            <w:noProof/>
            <w:webHidden/>
          </w:rPr>
          <w:fldChar w:fldCharType="end"/>
        </w:r>
      </w:hyperlink>
    </w:p>
    <w:p w14:paraId="5CFE1A38" w14:textId="3732424F"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7" w:history="1">
        <w:r w:rsidR="001E471C" w:rsidRPr="00FC0417">
          <w:rPr>
            <w:rStyle w:val="Hyperlink"/>
            <w:bCs/>
            <w:noProof/>
          </w:rPr>
          <w:t>Table 6</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Estimated Avoided Emissions in New England Due to Imports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_Toc12795347 \h </w:instrText>
        </w:r>
        <w:r w:rsidR="001E471C" w:rsidRPr="00FC0417">
          <w:rPr>
            <w:noProof/>
            <w:webHidden/>
          </w:rPr>
        </w:r>
        <w:r w:rsidR="001E471C" w:rsidRPr="00FC0417">
          <w:rPr>
            <w:noProof/>
            <w:webHidden/>
          </w:rPr>
          <w:fldChar w:fldCharType="separate"/>
        </w:r>
        <w:r w:rsidR="00E353DF">
          <w:rPr>
            <w:noProof/>
            <w:webHidden/>
          </w:rPr>
          <w:t>113</w:t>
        </w:r>
        <w:r w:rsidR="001E471C" w:rsidRPr="00FC0417">
          <w:rPr>
            <w:noProof/>
            <w:webHidden/>
          </w:rPr>
          <w:fldChar w:fldCharType="end"/>
        </w:r>
      </w:hyperlink>
    </w:p>
    <w:p w14:paraId="1B40C624" w14:textId="0FA6FE48"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8" w:history="1">
        <w:r w:rsidR="001E471C" w:rsidRPr="00FC0417">
          <w:rPr>
            <w:rStyle w:val="Hyperlink"/>
            <w:bCs/>
            <w:noProof/>
          </w:rPr>
          <w:t>Table 7</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Summary of Pipeline Modifications Benefiting New England</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_Toc12795348 \h </w:instrText>
        </w:r>
        <w:r w:rsidR="001E471C" w:rsidRPr="00FC0417">
          <w:rPr>
            <w:noProof/>
            <w:webHidden/>
          </w:rPr>
        </w:r>
        <w:r w:rsidR="001E471C" w:rsidRPr="00FC0417">
          <w:rPr>
            <w:noProof/>
            <w:webHidden/>
          </w:rPr>
          <w:fldChar w:fldCharType="separate"/>
        </w:r>
        <w:r w:rsidR="00E353DF">
          <w:rPr>
            <w:noProof/>
            <w:webHidden/>
          </w:rPr>
          <w:t>120</w:t>
        </w:r>
        <w:r w:rsidR="001E471C" w:rsidRPr="00FC0417">
          <w:rPr>
            <w:noProof/>
            <w:webHidden/>
          </w:rPr>
          <w:fldChar w:fldCharType="end"/>
        </w:r>
      </w:hyperlink>
    </w:p>
    <w:p w14:paraId="1EFE06DB" w14:textId="7C275429"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49" w:history="1">
        <w:r w:rsidR="001E471C" w:rsidRPr="00FC0417">
          <w:rPr>
            <w:rStyle w:val="Hyperlink"/>
            <w:bCs/>
            <w:noProof/>
          </w:rPr>
          <w:t>Table 7</w:t>
        </w:r>
        <w:r w:rsidR="001E471C" w:rsidRPr="00FC0417">
          <w:rPr>
            <w:rStyle w:val="Hyperlink"/>
            <w:bCs/>
            <w:noProof/>
          </w:rPr>
          <w:noBreakHyphen/>
          <w:t xml:space="preserve">2 </w:t>
        </w:r>
        <w:r w:rsidR="00FC0417">
          <w:rPr>
            <w:rStyle w:val="Hyperlink"/>
            <w:bCs/>
            <w:noProof/>
          </w:rPr>
          <w:tab/>
        </w:r>
        <w:r w:rsidR="001E471C" w:rsidRPr="00FC0417">
          <w:rPr>
            <w:rStyle w:val="Hyperlink"/>
            <w:bCs/>
            <w:noProof/>
          </w:rPr>
          <w:t>Comparison of 2014 to 2019 Winter Futures Prices ($/MMBtu, $/MWh)</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_Toc12795349 \h </w:instrText>
        </w:r>
        <w:r w:rsidR="001E471C" w:rsidRPr="00FC0417">
          <w:rPr>
            <w:noProof/>
            <w:webHidden/>
          </w:rPr>
        </w:r>
        <w:r w:rsidR="001E471C" w:rsidRPr="00FC0417">
          <w:rPr>
            <w:noProof/>
            <w:webHidden/>
          </w:rPr>
          <w:fldChar w:fldCharType="separate"/>
        </w:r>
        <w:r w:rsidR="00E353DF">
          <w:rPr>
            <w:noProof/>
            <w:webHidden/>
          </w:rPr>
          <w:t>124</w:t>
        </w:r>
        <w:r w:rsidR="001E471C" w:rsidRPr="00FC0417">
          <w:rPr>
            <w:noProof/>
            <w:webHidden/>
          </w:rPr>
          <w:fldChar w:fldCharType="end"/>
        </w:r>
      </w:hyperlink>
    </w:p>
    <w:p w14:paraId="1259C6BE" w14:textId="4F66AB0E"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0" w:history="1">
        <w:r w:rsidR="001E471C" w:rsidRPr="00FC0417">
          <w:rPr>
            <w:rStyle w:val="Hyperlink"/>
            <w:bCs/>
            <w:noProof/>
          </w:rPr>
          <w:t>Table 8</w:t>
        </w:r>
        <w:r w:rsidR="001E471C" w:rsidRPr="00FC0417">
          <w:rPr>
            <w:rStyle w:val="Hyperlink"/>
            <w:bCs/>
            <w:noProof/>
          </w:rPr>
          <w:noBreakHyphen/>
          <w:t>1</w:t>
        </w:r>
        <w:r w:rsidR="001E471C" w:rsidRPr="00FC0417">
          <w:rPr>
            <w:rStyle w:val="Hyperlink"/>
            <w:noProof/>
          </w:rPr>
          <w:t xml:space="preserve"> </w:t>
        </w:r>
        <w:r w:rsidR="00FC0417">
          <w:rPr>
            <w:rStyle w:val="Hyperlink"/>
            <w:noProof/>
          </w:rPr>
          <w:tab/>
        </w:r>
        <w:r w:rsidR="001E471C" w:rsidRPr="00FC0417">
          <w:rPr>
            <w:rStyle w:val="Hyperlink"/>
            <w:noProof/>
          </w:rPr>
          <w:t xml:space="preserve">Major US </w:t>
        </w:r>
        <w:r w:rsidR="001E471C" w:rsidRPr="00FC0417">
          <w:rPr>
            <w:rStyle w:val="Hyperlink"/>
            <w:bCs/>
            <w:i/>
            <w:noProof/>
          </w:rPr>
          <w:t>Clean Water Act</w:t>
        </w:r>
        <w:r w:rsidR="001E471C" w:rsidRPr="00FC0417">
          <w:rPr>
            <w:rStyle w:val="Hyperlink"/>
            <w:noProof/>
          </w:rPr>
          <w:t xml:space="preserve"> and </w:t>
        </w:r>
        <w:r w:rsidR="001E471C" w:rsidRPr="00FC0417">
          <w:rPr>
            <w:rStyle w:val="Hyperlink"/>
            <w:bCs/>
            <w:i/>
            <w:noProof/>
          </w:rPr>
          <w:t>Resource Conservation and Recovery Act</w:t>
        </w:r>
        <w:r w:rsidR="001E471C" w:rsidRPr="00FC0417">
          <w:rPr>
            <w:rStyle w:val="Hyperlink"/>
            <w:noProof/>
          </w:rPr>
          <w:t xml:space="preserve"> Rules Affecting Coal,</w:t>
        </w:r>
        <w:r w:rsidR="00FC0417">
          <w:rPr>
            <w:rStyle w:val="Hyperlink"/>
            <w:noProof/>
          </w:rPr>
          <w:br/>
        </w:r>
        <w:r w:rsidR="001E471C" w:rsidRPr="00FC0417">
          <w:rPr>
            <w:rStyle w:val="Hyperlink"/>
            <w:noProof/>
          </w:rPr>
          <w:t>Natural Gas, and Nuclear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_Toc12795350 \h </w:instrText>
        </w:r>
        <w:r w:rsidR="001E471C" w:rsidRPr="00FC0417">
          <w:rPr>
            <w:noProof/>
            <w:webHidden/>
          </w:rPr>
        </w:r>
        <w:r w:rsidR="001E471C" w:rsidRPr="00FC0417">
          <w:rPr>
            <w:noProof/>
            <w:webHidden/>
          </w:rPr>
          <w:fldChar w:fldCharType="separate"/>
        </w:r>
        <w:r w:rsidR="00E353DF">
          <w:rPr>
            <w:noProof/>
            <w:webHidden/>
          </w:rPr>
          <w:t>135</w:t>
        </w:r>
        <w:r w:rsidR="001E471C" w:rsidRPr="00FC0417">
          <w:rPr>
            <w:noProof/>
            <w:webHidden/>
          </w:rPr>
          <w:fldChar w:fldCharType="end"/>
        </w:r>
      </w:hyperlink>
    </w:p>
    <w:p w14:paraId="192A2FEE" w14:textId="5A403727"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1" w:history="1">
        <w:r w:rsidR="001E471C" w:rsidRPr="00FC0417">
          <w:rPr>
            <w:rStyle w:val="Hyperlink"/>
            <w:noProof/>
          </w:rPr>
          <w:t>Table 8</w:t>
        </w:r>
        <w:r w:rsidR="001E471C" w:rsidRPr="00FC0417">
          <w:rPr>
            <w:rStyle w:val="Hyperlink"/>
            <w:noProof/>
          </w:rPr>
          <w:noBreakHyphen/>
          <w:t xml:space="preserve">2 </w:t>
        </w:r>
        <w:r w:rsidR="00FC0417">
          <w:rPr>
            <w:rStyle w:val="Hyperlink"/>
            <w:noProof/>
          </w:rPr>
          <w:tab/>
        </w:r>
        <w:r w:rsidR="001E471C" w:rsidRPr="00FC0417">
          <w:rPr>
            <w:rStyle w:val="Hyperlink"/>
            <w:noProof/>
          </w:rPr>
          <w:t xml:space="preserve">Major </w:t>
        </w:r>
        <w:r w:rsidR="001E471C" w:rsidRPr="00FC0417">
          <w:rPr>
            <w:rStyle w:val="Hyperlink"/>
            <w:i/>
            <w:noProof/>
          </w:rPr>
          <w:t>Clean Air Act</w:t>
        </w:r>
        <w:r w:rsidR="001E471C" w:rsidRPr="00FC0417">
          <w:rPr>
            <w:rStyle w:val="Hyperlink"/>
            <w:noProof/>
          </w:rPr>
          <w:t xml:space="preserve"> Rules Impacting Coal, Natural Gas, and Oil-Fired Generation</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_Toc12795351 \h </w:instrText>
        </w:r>
        <w:r w:rsidR="001E471C" w:rsidRPr="00FC0417">
          <w:rPr>
            <w:noProof/>
            <w:webHidden/>
          </w:rPr>
        </w:r>
        <w:r w:rsidR="001E471C" w:rsidRPr="00FC0417">
          <w:rPr>
            <w:noProof/>
            <w:webHidden/>
          </w:rPr>
          <w:fldChar w:fldCharType="separate"/>
        </w:r>
        <w:r w:rsidR="00E353DF">
          <w:rPr>
            <w:noProof/>
            <w:webHidden/>
          </w:rPr>
          <w:t>139</w:t>
        </w:r>
        <w:r w:rsidR="001E471C" w:rsidRPr="00FC0417">
          <w:rPr>
            <w:noProof/>
            <w:webHidden/>
          </w:rPr>
          <w:fldChar w:fldCharType="end"/>
        </w:r>
      </w:hyperlink>
    </w:p>
    <w:p w14:paraId="027D8D30" w14:textId="1475CEE0" w:rsidR="001E471C" w:rsidRPr="00FC0417" w:rsidRDefault="009D7B65" w:rsidP="00FC0417">
      <w:pPr>
        <w:pStyle w:val="TableofFigures"/>
        <w:tabs>
          <w:tab w:val="right" w:leader="dot" w:pos="9350"/>
        </w:tabs>
        <w:ind w:left="1080" w:hanging="1080"/>
        <w:rPr>
          <w:rFonts w:asciiTheme="minorHAnsi" w:eastAsiaTheme="minorEastAsia" w:hAnsiTheme="minorHAnsi" w:cstheme="minorBidi"/>
          <w:noProof/>
          <w:sz w:val="22"/>
          <w:szCs w:val="22"/>
        </w:rPr>
      </w:pPr>
      <w:hyperlink w:anchor="_Toc12795352" w:history="1">
        <w:r w:rsidR="001E471C" w:rsidRPr="00FC0417">
          <w:rPr>
            <w:rStyle w:val="Hyperlink"/>
            <w:bCs/>
            <w:noProof/>
          </w:rPr>
          <w:t>Table 8</w:t>
        </w:r>
        <w:r w:rsidR="001E471C" w:rsidRPr="00FC0417">
          <w:rPr>
            <w:rStyle w:val="Hyperlink"/>
            <w:bCs/>
            <w:noProof/>
          </w:rPr>
          <w:noBreakHyphen/>
          <w:t xml:space="preserve">3 </w:t>
        </w:r>
        <w:r w:rsidR="00FC0417">
          <w:rPr>
            <w:rStyle w:val="Hyperlink"/>
            <w:bCs/>
            <w:noProof/>
          </w:rPr>
          <w:tab/>
        </w:r>
        <w:r w:rsidR="001E471C" w:rsidRPr="00FC0417">
          <w:rPr>
            <w:rStyle w:val="Hyperlink"/>
            <w:bCs/>
            <w:noProof/>
          </w:rPr>
          <w:t>New England Operating Nuclear Power Plants</w:t>
        </w:r>
        <w:r w:rsidR="001E471C" w:rsidRPr="00FC0417">
          <w:rPr>
            <w:noProof/>
            <w:webHidden/>
          </w:rPr>
          <w:tab/>
        </w:r>
        <w:r w:rsidR="001E471C" w:rsidRPr="00FC0417">
          <w:rPr>
            <w:noProof/>
            <w:webHidden/>
          </w:rPr>
          <w:fldChar w:fldCharType="begin"/>
        </w:r>
        <w:r w:rsidR="001E471C" w:rsidRPr="00FC0417">
          <w:rPr>
            <w:noProof/>
            <w:webHidden/>
          </w:rPr>
          <w:instrText xml:space="preserve"> PAGEREF _Toc12795352 \h </w:instrText>
        </w:r>
        <w:r w:rsidR="001E471C" w:rsidRPr="00FC0417">
          <w:rPr>
            <w:noProof/>
            <w:webHidden/>
          </w:rPr>
        </w:r>
        <w:r w:rsidR="001E471C" w:rsidRPr="00FC0417">
          <w:rPr>
            <w:noProof/>
            <w:webHidden/>
          </w:rPr>
          <w:fldChar w:fldCharType="separate"/>
        </w:r>
        <w:r w:rsidR="00E353DF">
          <w:rPr>
            <w:noProof/>
            <w:webHidden/>
          </w:rPr>
          <w:t>152</w:t>
        </w:r>
        <w:r w:rsidR="001E471C" w:rsidRPr="00FC0417">
          <w:rPr>
            <w:noProof/>
            <w:webHidden/>
          </w:rPr>
          <w:fldChar w:fldCharType="end"/>
        </w:r>
      </w:hyperlink>
    </w:p>
    <w:p w14:paraId="259E281B" w14:textId="77777777" w:rsidR="00D945E2" w:rsidRPr="00B84735" w:rsidRDefault="00330F0D" w:rsidP="00FC0417">
      <w:pPr>
        <w:tabs>
          <w:tab w:val="right" w:leader="dot" w:pos="8910"/>
        </w:tabs>
        <w:spacing w:after="120" w:line="240" w:lineRule="auto"/>
        <w:ind w:left="1080" w:right="-86" w:hanging="1080"/>
        <w:rPr>
          <w:rFonts w:asciiTheme="minorHAnsi" w:hAnsiTheme="minorHAnsi" w:cs="Arial"/>
        </w:rPr>
      </w:pPr>
      <w:r w:rsidRPr="00FC0417">
        <w:rPr>
          <w:rFonts w:asciiTheme="minorHAnsi" w:hAnsiTheme="minorHAnsi" w:cs="Arial"/>
        </w:rPr>
        <w:fldChar w:fldCharType="end"/>
      </w:r>
    </w:p>
    <w:p w14:paraId="3F755A18" w14:textId="77777777" w:rsidR="00443144" w:rsidRPr="00B84735" w:rsidRDefault="00443144" w:rsidP="00B84735">
      <w:pPr>
        <w:tabs>
          <w:tab w:val="right" w:leader="dot" w:pos="8910"/>
        </w:tabs>
        <w:spacing w:after="120" w:line="240" w:lineRule="auto"/>
        <w:ind w:left="1260" w:right="-86" w:hanging="1260"/>
        <w:rPr>
          <w:rFonts w:asciiTheme="minorHAnsi" w:hAnsiTheme="minorHAnsi" w:cs="Arial"/>
        </w:rPr>
        <w:sectPr w:rsidR="00443144" w:rsidRPr="00B84735" w:rsidSect="009272ED">
          <w:pgSz w:w="12240" w:h="15840"/>
          <w:pgMar w:top="1440" w:right="1080" w:bottom="1440" w:left="1800" w:header="720" w:footer="720" w:gutter="0"/>
          <w:pgNumType w:fmt="lowerRoman"/>
          <w:cols w:space="720"/>
          <w:docGrid w:linePitch="360"/>
        </w:sectPr>
      </w:pPr>
    </w:p>
    <w:p w14:paraId="140E23BD" w14:textId="77777777" w:rsidR="00D945E2" w:rsidRPr="00B84735" w:rsidRDefault="00D945E2" w:rsidP="00B84735">
      <w:pPr>
        <w:tabs>
          <w:tab w:val="right" w:leader="dot" w:pos="8910"/>
        </w:tabs>
        <w:spacing w:after="120" w:line="240" w:lineRule="auto"/>
        <w:ind w:left="1260" w:right="-86" w:hanging="1260"/>
        <w:rPr>
          <w:rFonts w:asciiTheme="minorHAnsi" w:hAnsiTheme="minorHAnsi" w:cs="Arial"/>
        </w:rPr>
        <w:sectPr w:rsidR="00D945E2" w:rsidRPr="00B84735" w:rsidSect="009272ED">
          <w:headerReference w:type="default" r:id="rId19"/>
          <w:footerReference w:type="default" r:id="rId20"/>
          <w:pgSz w:w="12240" w:h="15840"/>
          <w:pgMar w:top="1440" w:right="1080" w:bottom="1440" w:left="1800" w:header="720" w:footer="720" w:gutter="0"/>
          <w:pgNumType w:fmt="lowerRoman"/>
          <w:cols w:space="720"/>
          <w:docGrid w:linePitch="360"/>
        </w:sectPr>
      </w:pPr>
    </w:p>
    <w:p w14:paraId="7D7DB50A" w14:textId="77777777" w:rsidR="00DF00D4" w:rsidRPr="000C6312" w:rsidRDefault="00DF00D4" w:rsidP="00D03D4C">
      <w:pPr>
        <w:pStyle w:val="Heading1"/>
      </w:pPr>
      <w:bookmarkStart w:id="32" w:name="_Toc201669910"/>
      <w:bookmarkStart w:id="33" w:name="_Toc201670756"/>
      <w:bookmarkStart w:id="34" w:name="_Toc201671447"/>
      <w:bookmarkStart w:id="35" w:name="RANGE!A26"/>
      <w:bookmarkStart w:id="36" w:name="_Toc271552420"/>
      <w:bookmarkStart w:id="37" w:name="_Toc303086947"/>
      <w:bookmarkStart w:id="38" w:name="_Ref262120425"/>
      <w:bookmarkStart w:id="39" w:name="_Toc481053250"/>
      <w:bookmarkStart w:id="40" w:name="_Toc481053253"/>
      <w:bookmarkStart w:id="41" w:name="_Toc481053254"/>
      <w:bookmarkStart w:id="42" w:name="_Toc481053255"/>
      <w:bookmarkStart w:id="43" w:name="_Toc481053256"/>
      <w:bookmarkStart w:id="44" w:name="_Toc481053257"/>
      <w:bookmarkStart w:id="45" w:name="_Toc481053259"/>
      <w:bookmarkStart w:id="46" w:name="_Toc481053260"/>
      <w:bookmarkStart w:id="47" w:name="_Toc481053261"/>
      <w:bookmarkStart w:id="48" w:name="_Toc481053262"/>
      <w:bookmarkStart w:id="49" w:name="_Toc481053263"/>
      <w:bookmarkEnd w:id="3"/>
      <w:bookmarkEnd w:id="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DF00D4">
        <w:lastRenderedPageBreak/>
        <w:br/>
      </w:r>
      <w:bookmarkStart w:id="50" w:name="_Toc8727169"/>
      <w:bookmarkStart w:id="51" w:name="_Toc12795133"/>
      <w:r w:rsidRPr="000C6312">
        <w:t>Executive Summary</w:t>
      </w:r>
      <w:bookmarkEnd w:id="50"/>
      <w:bookmarkEnd w:id="51"/>
    </w:p>
    <w:p w14:paraId="5A97475A" w14:textId="77777777" w:rsidR="001B747C" w:rsidRPr="00B55F12" w:rsidRDefault="001B747C" w:rsidP="001B747C">
      <w:r w:rsidRPr="00DF00D4">
        <w:t xml:space="preserve">Over the past 22 years, the </w:t>
      </w:r>
      <w:r w:rsidR="004432B4">
        <w:t xml:space="preserve">ISO </w:t>
      </w:r>
      <w:r w:rsidRPr="00DF00D4">
        <w:t xml:space="preserve">New England </w:t>
      </w:r>
      <w:r w:rsidR="004432B4">
        <w:t xml:space="preserve">(ISO) </w:t>
      </w:r>
      <w:r w:rsidRPr="00DF00D4">
        <w:t xml:space="preserve">region has benefited from the successful </w:t>
      </w:r>
      <w:r w:rsidRPr="002C4AFC">
        <w:t>implementation of wholesale electricity markets and transmission planning and development, which have significantly enhanced syst</w:t>
      </w:r>
      <w:r w:rsidRPr="00383AFC">
        <w:t>em reliability and improved overall market efficiency. New England has the resource base and transmission system needed to meet consumer demand for power at competitive prices. However, challenges</w:t>
      </w:r>
      <w:r w:rsidRPr="00BF2C88">
        <w:t xml:space="preserve"> remain.</w:t>
      </w:r>
      <w:r w:rsidR="00BF2C88">
        <w:t xml:space="preserve"> </w:t>
      </w:r>
      <w:r w:rsidRPr="00BF2C88">
        <w:t xml:space="preserve">The </w:t>
      </w:r>
      <w:r w:rsidRPr="00383AFC">
        <w:t xml:space="preserve">region now faces three key issues, which the ISO is addressing through a number of </w:t>
      </w:r>
      <w:r w:rsidR="00E71586" w:rsidRPr="00383AFC">
        <w:t xml:space="preserve">planning, </w:t>
      </w:r>
      <w:r w:rsidRPr="00383AFC">
        <w:t xml:space="preserve">operational, </w:t>
      </w:r>
      <w:r w:rsidR="00E71586" w:rsidRPr="00383AFC">
        <w:t>and market</w:t>
      </w:r>
      <w:r w:rsidRPr="00383AFC">
        <w:t xml:space="preserve"> measures:</w:t>
      </w:r>
    </w:p>
    <w:p w14:paraId="7899384F" w14:textId="597A795B" w:rsidR="001B747C" w:rsidRPr="0072751C" w:rsidRDefault="001B747C" w:rsidP="002C4AFC">
      <w:pPr>
        <w:numPr>
          <w:ilvl w:val="0"/>
          <w:numId w:val="733"/>
        </w:numPr>
        <w:spacing w:after="120"/>
        <w:rPr>
          <w:rFonts w:eastAsia="Times New Roman"/>
          <w:szCs w:val="24"/>
        </w:rPr>
      </w:pPr>
      <w:r w:rsidRPr="00383AFC">
        <w:rPr>
          <w:rFonts w:eastAsia="Times New Roman"/>
          <w:b/>
          <w:szCs w:val="24"/>
        </w:rPr>
        <w:t>Energy security—</w:t>
      </w:r>
      <w:r w:rsidR="006F68B8" w:rsidRPr="00383AFC">
        <w:rPr>
          <w:rFonts w:eastAsia="Times New Roman"/>
          <w:szCs w:val="24"/>
        </w:rPr>
        <w:t>Although</w:t>
      </w:r>
      <w:r w:rsidR="00F068A9" w:rsidRPr="00383AFC">
        <w:rPr>
          <w:rFonts w:eastAsia="Times New Roman"/>
          <w:szCs w:val="24"/>
        </w:rPr>
        <w:t xml:space="preserve"> many pro</w:t>
      </w:r>
      <w:r w:rsidR="004432B4" w:rsidRPr="00383AFC">
        <w:rPr>
          <w:rFonts w:eastAsia="Times New Roman"/>
          <w:szCs w:val="24"/>
        </w:rPr>
        <w:t xml:space="preserve">jects for </w:t>
      </w:r>
      <w:r w:rsidR="00F068A9" w:rsidRPr="00383AFC">
        <w:rPr>
          <w:rFonts w:eastAsia="Times New Roman"/>
          <w:szCs w:val="24"/>
        </w:rPr>
        <w:t xml:space="preserve">resource development </w:t>
      </w:r>
      <w:r w:rsidR="004432B4" w:rsidRPr="00383AFC">
        <w:rPr>
          <w:rFonts w:eastAsia="Times New Roman"/>
          <w:szCs w:val="24"/>
        </w:rPr>
        <w:t xml:space="preserve">have been proposed </w:t>
      </w:r>
      <w:r w:rsidR="00F068A9" w:rsidRPr="00383AFC">
        <w:rPr>
          <w:rFonts w:eastAsia="Times New Roman"/>
          <w:szCs w:val="24"/>
        </w:rPr>
        <w:t>in the region,</w:t>
      </w:r>
      <w:r w:rsidR="00F068A9" w:rsidRPr="00383AFC">
        <w:rPr>
          <w:rFonts w:eastAsia="Times New Roman"/>
          <w:b/>
          <w:szCs w:val="24"/>
        </w:rPr>
        <w:t xml:space="preserve"> </w:t>
      </w:r>
      <w:r w:rsidR="004A4F5D" w:rsidRPr="00383AFC">
        <w:rPr>
          <w:rFonts w:eastAsia="Times New Roman"/>
          <w:szCs w:val="24"/>
        </w:rPr>
        <w:t>energy-</w:t>
      </w:r>
      <w:r w:rsidR="008B64C2" w:rsidRPr="00383AFC">
        <w:rPr>
          <w:rFonts w:eastAsia="Times New Roman"/>
          <w:szCs w:val="24"/>
        </w:rPr>
        <w:t xml:space="preserve">security </w:t>
      </w:r>
      <w:r w:rsidR="00AF66BD" w:rsidRPr="00383AFC">
        <w:rPr>
          <w:rFonts w:eastAsia="Times New Roman"/>
          <w:szCs w:val="24"/>
        </w:rPr>
        <w:t>and reliability issu</w:t>
      </w:r>
      <w:r w:rsidR="00AF66BD" w:rsidRPr="00AA4430">
        <w:rPr>
          <w:rFonts w:eastAsia="Times New Roman"/>
          <w:szCs w:val="24"/>
        </w:rPr>
        <w:t xml:space="preserve">es </w:t>
      </w:r>
      <w:r w:rsidR="001B3117" w:rsidRPr="00AA4430">
        <w:rPr>
          <w:rFonts w:eastAsia="Times New Roman"/>
          <w:szCs w:val="24"/>
        </w:rPr>
        <w:t xml:space="preserve">may </w:t>
      </w:r>
      <w:r w:rsidR="004432B4" w:rsidRPr="00383AFC">
        <w:rPr>
          <w:rFonts w:eastAsia="Times New Roman"/>
          <w:szCs w:val="24"/>
        </w:rPr>
        <w:t xml:space="preserve">arise </w:t>
      </w:r>
      <w:r w:rsidR="00AF66BD" w:rsidRPr="00383AFC">
        <w:rPr>
          <w:rFonts w:eastAsia="Times New Roman"/>
          <w:szCs w:val="24"/>
        </w:rPr>
        <w:t xml:space="preserve">from </w:t>
      </w:r>
      <w:r w:rsidR="008B64C2" w:rsidRPr="00383AFC">
        <w:rPr>
          <w:rFonts w:eastAsia="Times New Roman"/>
          <w:szCs w:val="24"/>
        </w:rPr>
        <w:t xml:space="preserve">energy-production </w:t>
      </w:r>
      <w:r w:rsidRPr="00383AFC">
        <w:rPr>
          <w:rFonts w:eastAsia="Times New Roman"/>
          <w:szCs w:val="24"/>
        </w:rPr>
        <w:t xml:space="preserve">limitations associated with “just-in-time” </w:t>
      </w:r>
      <w:r w:rsidR="004A4F5D" w:rsidRPr="00383AFC">
        <w:rPr>
          <w:rFonts w:eastAsia="Times New Roman"/>
          <w:szCs w:val="24"/>
        </w:rPr>
        <w:t>fuel</w:t>
      </w:r>
      <w:r w:rsidRPr="00383AFC">
        <w:rPr>
          <w:rFonts w:eastAsia="Times New Roman"/>
          <w:szCs w:val="24"/>
        </w:rPr>
        <w:t xml:space="preserve"> sources </w:t>
      </w:r>
      <w:r w:rsidRPr="007B60EC">
        <w:rPr>
          <w:rFonts w:eastAsia="Times New Roman"/>
          <w:szCs w:val="24"/>
        </w:rPr>
        <w:t xml:space="preserve">(i.e., </w:t>
      </w:r>
      <w:r w:rsidR="00285674">
        <w:rPr>
          <w:rFonts w:eastAsia="Times New Roman"/>
          <w:szCs w:val="24"/>
        </w:rPr>
        <w:t xml:space="preserve">natural gas); </w:t>
      </w:r>
      <w:r w:rsidR="00285674">
        <w:rPr>
          <w:rFonts w:eastAsia="Times New Roman"/>
          <w:i/>
          <w:szCs w:val="24"/>
        </w:rPr>
        <w:t xml:space="preserve">variable energy resources </w:t>
      </w:r>
      <w:r w:rsidR="00285674">
        <w:rPr>
          <w:rFonts w:eastAsia="Times New Roman"/>
          <w:szCs w:val="24"/>
        </w:rPr>
        <w:t xml:space="preserve">(VERs), like intermittent </w:t>
      </w:r>
      <w:r w:rsidRPr="007B60EC">
        <w:rPr>
          <w:rFonts w:eastAsia="Times New Roman"/>
          <w:szCs w:val="24"/>
        </w:rPr>
        <w:t>wind</w:t>
      </w:r>
      <w:r w:rsidR="00285674">
        <w:rPr>
          <w:rFonts w:eastAsia="Times New Roman"/>
          <w:szCs w:val="24"/>
        </w:rPr>
        <w:t xml:space="preserve"> and </w:t>
      </w:r>
      <w:r w:rsidRPr="007B60EC">
        <w:rPr>
          <w:rFonts w:eastAsia="Times New Roman"/>
          <w:szCs w:val="24"/>
        </w:rPr>
        <w:t xml:space="preserve">photovoltaics </w:t>
      </w:r>
      <w:r w:rsidR="00285674">
        <w:rPr>
          <w:rFonts w:eastAsia="Times New Roman"/>
          <w:szCs w:val="24"/>
        </w:rPr>
        <w:t>(</w:t>
      </w:r>
      <w:r w:rsidRPr="007B60EC">
        <w:rPr>
          <w:rFonts w:eastAsia="Times New Roman"/>
          <w:szCs w:val="24"/>
        </w:rPr>
        <w:t>PV</w:t>
      </w:r>
      <w:r w:rsidR="00285674">
        <w:rPr>
          <w:rFonts w:eastAsia="Times New Roman"/>
          <w:szCs w:val="24"/>
        </w:rPr>
        <w:t xml:space="preserve">); </w:t>
      </w:r>
      <w:r w:rsidRPr="00383AFC">
        <w:rPr>
          <w:rFonts w:eastAsia="Times New Roman"/>
          <w:szCs w:val="24"/>
        </w:rPr>
        <w:t xml:space="preserve">and compliance with environmental regulations. </w:t>
      </w:r>
      <w:r w:rsidRPr="00420A98">
        <w:rPr>
          <w:rFonts w:eastAsia="Times New Roman"/>
          <w:szCs w:val="24"/>
        </w:rPr>
        <w:t xml:space="preserve">In response, </w:t>
      </w:r>
      <w:r w:rsidR="003C27B1">
        <w:rPr>
          <w:rFonts w:eastAsia="Times New Roman"/>
          <w:szCs w:val="24"/>
        </w:rPr>
        <w:t xml:space="preserve">New England state policies and incentives </w:t>
      </w:r>
      <w:r w:rsidR="00920128">
        <w:rPr>
          <w:rFonts w:eastAsia="Times New Roman"/>
          <w:szCs w:val="24"/>
        </w:rPr>
        <w:t xml:space="preserve">for </w:t>
      </w:r>
      <w:r w:rsidR="00F068A9" w:rsidRPr="00420A98">
        <w:rPr>
          <w:rFonts w:eastAsia="Times New Roman"/>
          <w:szCs w:val="24"/>
        </w:rPr>
        <w:t>develop</w:t>
      </w:r>
      <w:r w:rsidR="00F24961" w:rsidRPr="00420A98">
        <w:rPr>
          <w:rFonts w:eastAsia="Times New Roman"/>
          <w:szCs w:val="24"/>
        </w:rPr>
        <w:t>ing</w:t>
      </w:r>
      <w:r w:rsidR="00F068A9" w:rsidRPr="00420A98">
        <w:rPr>
          <w:rFonts w:eastAsia="Times New Roman"/>
          <w:szCs w:val="24"/>
        </w:rPr>
        <w:t xml:space="preserve"> renewable resources, </w:t>
      </w:r>
      <w:r w:rsidR="00E259D1" w:rsidRPr="00420A98">
        <w:rPr>
          <w:rFonts w:eastAsia="Times New Roman"/>
          <w:szCs w:val="24"/>
        </w:rPr>
        <w:t xml:space="preserve">as well as </w:t>
      </w:r>
      <w:r w:rsidR="00F068A9" w:rsidRPr="00420A98">
        <w:rPr>
          <w:rFonts w:eastAsia="Times New Roman"/>
          <w:szCs w:val="24"/>
        </w:rPr>
        <w:t xml:space="preserve">energy efficiency (EE) and imports from neighboring regions, </w:t>
      </w:r>
      <w:r w:rsidR="004432B4" w:rsidRPr="00420A98">
        <w:rPr>
          <w:rFonts w:eastAsia="Times New Roman"/>
          <w:szCs w:val="24"/>
        </w:rPr>
        <w:t>are helping</w:t>
      </w:r>
      <w:r w:rsidR="0035466E" w:rsidRPr="00420A98">
        <w:rPr>
          <w:rFonts w:eastAsia="Times New Roman"/>
          <w:szCs w:val="24"/>
        </w:rPr>
        <w:t xml:space="preserve"> off</w:t>
      </w:r>
      <w:r w:rsidR="0035466E" w:rsidRPr="0072751C">
        <w:rPr>
          <w:rFonts w:eastAsia="Times New Roman"/>
          <w:szCs w:val="24"/>
        </w:rPr>
        <w:t>set regional natural gas demand</w:t>
      </w:r>
      <w:r w:rsidR="00F068A9" w:rsidRPr="0072751C">
        <w:rPr>
          <w:rFonts w:eastAsia="Times New Roman"/>
          <w:szCs w:val="24"/>
        </w:rPr>
        <w:t xml:space="preserve">. Additionally, </w:t>
      </w:r>
      <w:r w:rsidRPr="0072751C">
        <w:rPr>
          <w:rFonts w:eastAsia="Times New Roman"/>
          <w:szCs w:val="24"/>
        </w:rPr>
        <w:t xml:space="preserve">the ISO, with stakeholder input, is working on </w:t>
      </w:r>
      <w:r w:rsidR="002C4AFC" w:rsidRPr="0072751C">
        <w:rPr>
          <w:rFonts w:eastAsia="Times New Roman"/>
          <w:szCs w:val="24"/>
        </w:rPr>
        <w:t xml:space="preserve">near-term and </w:t>
      </w:r>
      <w:r w:rsidRPr="0072751C">
        <w:rPr>
          <w:rFonts w:eastAsia="Times New Roman"/>
          <w:szCs w:val="24"/>
        </w:rPr>
        <w:t>long-term market improvements to expand the existing suite of energy and ancillary services that will cost effectively address uncertainties and</w:t>
      </w:r>
      <w:r w:rsidR="00B46E97">
        <w:rPr>
          <w:rFonts w:eastAsia="Times New Roman"/>
          <w:szCs w:val="24"/>
        </w:rPr>
        <w:t xml:space="preserve"> </w:t>
      </w:r>
      <w:r w:rsidRPr="0072751C">
        <w:rPr>
          <w:rFonts w:eastAsia="Times New Roman"/>
          <w:szCs w:val="24"/>
        </w:rPr>
        <w:t>supply limitations</w:t>
      </w:r>
      <w:r w:rsidR="002C4AFC" w:rsidRPr="0072751C">
        <w:rPr>
          <w:rFonts w:eastAsia="Times New Roman"/>
          <w:szCs w:val="24"/>
        </w:rPr>
        <w:t xml:space="preserve"> and enhance e</w:t>
      </w:r>
      <w:r w:rsidR="002C4AFC" w:rsidRPr="002C4AFC">
        <w:rPr>
          <w:rFonts w:eastAsia="Times New Roman"/>
          <w:szCs w:val="24"/>
        </w:rPr>
        <w:t>nergy security</w:t>
      </w:r>
      <w:r w:rsidRPr="0072751C">
        <w:rPr>
          <w:rFonts w:eastAsia="Times New Roman"/>
          <w:szCs w:val="24"/>
        </w:rPr>
        <w:t>.</w:t>
      </w:r>
      <w:r w:rsidR="002C4AFC" w:rsidRPr="0072751C">
        <w:t xml:space="preserve"> </w:t>
      </w:r>
    </w:p>
    <w:p w14:paraId="29122F21" w14:textId="7DCB87CD" w:rsidR="001B747C" w:rsidRPr="0072751C" w:rsidRDefault="001B747C" w:rsidP="001B747C">
      <w:pPr>
        <w:numPr>
          <w:ilvl w:val="0"/>
          <w:numId w:val="733"/>
        </w:numPr>
        <w:spacing w:after="120"/>
        <w:rPr>
          <w:rFonts w:eastAsia="Times New Roman"/>
          <w:szCs w:val="24"/>
        </w:rPr>
      </w:pPr>
      <w:r w:rsidRPr="0072751C">
        <w:rPr>
          <w:rFonts w:eastAsia="Times New Roman"/>
          <w:b/>
          <w:szCs w:val="24"/>
        </w:rPr>
        <w:t>Transmission development—</w:t>
      </w:r>
      <w:r w:rsidRPr="0072751C">
        <w:rPr>
          <w:rFonts w:eastAsia="Times New Roman"/>
          <w:szCs w:val="24"/>
        </w:rPr>
        <w:t xml:space="preserve">Transmission improvements are </w:t>
      </w:r>
      <w:r w:rsidR="002C4AFC" w:rsidRPr="0072751C">
        <w:rPr>
          <w:rFonts w:eastAsia="Times New Roman"/>
          <w:szCs w:val="24"/>
        </w:rPr>
        <w:t>needed</w:t>
      </w:r>
      <w:r w:rsidRPr="0072751C">
        <w:rPr>
          <w:rFonts w:eastAsia="Times New Roman"/>
          <w:szCs w:val="24"/>
        </w:rPr>
        <w:t xml:space="preserve"> to </w:t>
      </w:r>
      <w:r w:rsidR="00747822">
        <w:rPr>
          <w:rFonts w:eastAsia="Times New Roman"/>
          <w:szCs w:val="24"/>
        </w:rPr>
        <w:t xml:space="preserve">maintain and </w:t>
      </w:r>
      <w:r w:rsidRPr="0072751C">
        <w:rPr>
          <w:rFonts w:eastAsia="Times New Roman"/>
          <w:szCs w:val="24"/>
        </w:rPr>
        <w:t>enhance the reliabilit</w:t>
      </w:r>
      <w:r w:rsidRPr="00C62C9A">
        <w:rPr>
          <w:rFonts w:eastAsia="Times New Roman"/>
          <w:szCs w:val="24"/>
        </w:rPr>
        <w:t xml:space="preserve">y of the regional power system </w:t>
      </w:r>
      <w:r w:rsidRPr="0072751C">
        <w:rPr>
          <w:rFonts w:eastAsia="Times New Roman"/>
          <w:szCs w:val="24"/>
        </w:rPr>
        <w:t>and support state policies</w:t>
      </w:r>
      <w:r w:rsidR="003C27B1">
        <w:rPr>
          <w:rFonts w:eastAsia="Times New Roman"/>
          <w:szCs w:val="24"/>
        </w:rPr>
        <w:t xml:space="preserve"> to access remotely located sources of clean energy</w:t>
      </w:r>
      <w:r w:rsidRPr="0072751C">
        <w:rPr>
          <w:rFonts w:eastAsia="Times New Roman"/>
          <w:szCs w:val="24"/>
        </w:rPr>
        <w:t>. Transmission plans are in place throughout the region to meet system needs.</w:t>
      </w:r>
    </w:p>
    <w:p w14:paraId="39A6C55A" w14:textId="20CA2987" w:rsidR="00BA1BF9" w:rsidRPr="00DF00D4" w:rsidRDefault="001B747C" w:rsidP="00D60094">
      <w:pPr>
        <w:numPr>
          <w:ilvl w:val="0"/>
          <w:numId w:val="733"/>
        </w:numPr>
        <w:rPr>
          <w:rFonts w:eastAsia="Times New Roman"/>
          <w:szCs w:val="24"/>
        </w:rPr>
      </w:pPr>
      <w:r w:rsidRPr="0072751C">
        <w:rPr>
          <w:rFonts w:eastAsia="Times New Roman"/>
          <w:b/>
          <w:szCs w:val="24"/>
        </w:rPr>
        <w:t>Grid transformation—</w:t>
      </w:r>
      <w:r w:rsidRPr="0072751C">
        <w:rPr>
          <w:rFonts w:eastAsia="Times New Roman"/>
          <w:szCs w:val="24"/>
        </w:rPr>
        <w:t>The widespread addition of inverter-based technologies</w:t>
      </w:r>
      <w:r w:rsidR="00276843">
        <w:rPr>
          <w:rFonts w:eastAsia="Times New Roman"/>
          <w:szCs w:val="24"/>
        </w:rPr>
        <w:t xml:space="preserve"> (</w:t>
      </w:r>
      <w:r w:rsidR="00BF2C88">
        <w:rPr>
          <w:rFonts w:eastAsia="Times New Roman"/>
          <w:szCs w:val="24"/>
        </w:rPr>
        <w:t>which</w:t>
      </w:r>
      <w:r w:rsidRPr="00BF2C88">
        <w:rPr>
          <w:rFonts w:eastAsia="Times New Roman"/>
          <w:szCs w:val="24"/>
        </w:rPr>
        <w:t xml:space="preserve"> </w:t>
      </w:r>
      <w:r w:rsidR="00BF2C88">
        <w:t>use power el</w:t>
      </w:r>
      <w:r w:rsidR="00BF2C88" w:rsidRPr="0072751C">
        <w:t xml:space="preserve">ectronics </w:t>
      </w:r>
      <w:r w:rsidR="001B3117">
        <w:t xml:space="preserve">to convert between </w:t>
      </w:r>
      <w:r w:rsidR="000524EA">
        <w:t>alternating cur</w:t>
      </w:r>
      <w:r w:rsidR="000524EA" w:rsidRPr="00920128">
        <w:t>rent [</w:t>
      </w:r>
      <w:r w:rsidR="001B3117" w:rsidRPr="00920128">
        <w:t>AC</w:t>
      </w:r>
      <w:r w:rsidR="000524EA" w:rsidRPr="00920128">
        <w:t>]</w:t>
      </w:r>
      <w:r w:rsidR="001B3117" w:rsidRPr="00920128">
        <w:t xml:space="preserve"> frequencies or between AC and </w:t>
      </w:r>
      <w:r w:rsidR="000524EA" w:rsidRPr="00285674">
        <w:t>direct current [</w:t>
      </w:r>
      <w:r w:rsidR="001B3117" w:rsidRPr="00920128">
        <w:t>DC</w:t>
      </w:r>
      <w:r w:rsidR="000524EA" w:rsidRPr="00920128">
        <w:t>]</w:t>
      </w:r>
      <w:r w:rsidR="001B3117" w:rsidRPr="00920128">
        <w:t xml:space="preserve"> frequencies</w:t>
      </w:r>
      <w:r w:rsidR="000524EA" w:rsidRPr="00920128">
        <w:t>)</w:t>
      </w:r>
      <w:r w:rsidR="001B3117" w:rsidRPr="00920128">
        <w:t xml:space="preserve"> </w:t>
      </w:r>
      <w:r w:rsidRPr="00920128">
        <w:rPr>
          <w:rFonts w:eastAsia="Times New Roman"/>
          <w:szCs w:val="24"/>
        </w:rPr>
        <w:t>and d</w:t>
      </w:r>
      <w:r w:rsidR="00FA7507" w:rsidRPr="00920128">
        <w:rPr>
          <w:rFonts w:eastAsia="Times New Roman"/>
          <w:szCs w:val="24"/>
        </w:rPr>
        <w:t xml:space="preserve">istributed </w:t>
      </w:r>
      <w:r w:rsidR="00BE7A79">
        <w:rPr>
          <w:rFonts w:eastAsia="Times New Roman"/>
          <w:szCs w:val="24"/>
        </w:rPr>
        <w:t xml:space="preserve">energy </w:t>
      </w:r>
      <w:r w:rsidRPr="00BE7A79">
        <w:rPr>
          <w:rFonts w:eastAsia="Times New Roman"/>
          <w:szCs w:val="24"/>
        </w:rPr>
        <w:t>r</w:t>
      </w:r>
      <w:r w:rsidRPr="0072751C">
        <w:rPr>
          <w:rFonts w:eastAsia="Times New Roman"/>
          <w:szCs w:val="24"/>
        </w:rPr>
        <w:t>es</w:t>
      </w:r>
      <w:r w:rsidR="006F74F6" w:rsidRPr="0072751C">
        <w:rPr>
          <w:rFonts w:eastAsia="Times New Roman"/>
          <w:szCs w:val="24"/>
        </w:rPr>
        <w:t>ourc</w:t>
      </w:r>
      <w:r w:rsidR="006F74F6" w:rsidRPr="00920128">
        <w:rPr>
          <w:rFonts w:eastAsia="Times New Roman"/>
          <w:szCs w:val="24"/>
        </w:rPr>
        <w:t>es</w:t>
      </w:r>
      <w:r w:rsidR="00276843" w:rsidRPr="00950E1F">
        <w:rPr>
          <w:rFonts w:eastAsia="Times New Roman"/>
          <w:szCs w:val="24"/>
        </w:rPr>
        <w:t xml:space="preserve"> (</w:t>
      </w:r>
      <w:r w:rsidR="00950E1F" w:rsidRPr="00285674">
        <w:rPr>
          <w:rFonts w:eastAsia="Times New Roman"/>
          <w:szCs w:val="24"/>
        </w:rPr>
        <w:t xml:space="preserve">most </w:t>
      </w:r>
      <w:r w:rsidR="00BF2C88" w:rsidRPr="00950E1F">
        <w:rPr>
          <w:rFonts w:eastAsia="Times New Roman"/>
          <w:szCs w:val="24"/>
        </w:rPr>
        <w:t>which the ISO cannot</w:t>
      </w:r>
      <w:r w:rsidR="00950E1F">
        <w:rPr>
          <w:rFonts w:eastAsia="Times New Roman"/>
          <w:szCs w:val="24"/>
        </w:rPr>
        <w:t xml:space="preserve"> </w:t>
      </w:r>
      <w:r w:rsidR="00BF2C88" w:rsidRPr="00920128">
        <w:rPr>
          <w:rFonts w:eastAsia="Times New Roman"/>
          <w:szCs w:val="24"/>
        </w:rPr>
        <w:t>o</w:t>
      </w:r>
      <w:r w:rsidR="00BF2C88" w:rsidRPr="0072751C">
        <w:rPr>
          <w:rFonts w:eastAsia="Times New Roman"/>
          <w:szCs w:val="24"/>
        </w:rPr>
        <w:t>bserve or control like traditional resources</w:t>
      </w:r>
      <w:r w:rsidR="00276843">
        <w:rPr>
          <w:rFonts w:eastAsia="Times New Roman"/>
          <w:szCs w:val="24"/>
        </w:rPr>
        <w:t>)</w:t>
      </w:r>
      <w:r w:rsidRPr="0072751C">
        <w:rPr>
          <w:rFonts w:eastAsia="Times New Roman"/>
          <w:szCs w:val="24"/>
        </w:rPr>
        <w:t xml:space="preserve"> </w:t>
      </w:r>
      <w:r w:rsidR="001B3117">
        <w:rPr>
          <w:rFonts w:eastAsia="Times New Roman"/>
          <w:szCs w:val="24"/>
        </w:rPr>
        <w:t xml:space="preserve">would </w:t>
      </w:r>
      <w:r w:rsidRPr="0072751C">
        <w:rPr>
          <w:rFonts w:eastAsia="Times New Roman"/>
          <w:szCs w:val="24"/>
        </w:rPr>
        <w:t xml:space="preserve">require </w:t>
      </w:r>
      <w:r w:rsidR="00A63FA8" w:rsidRPr="0072751C">
        <w:rPr>
          <w:rFonts w:eastAsia="Times New Roman"/>
          <w:szCs w:val="24"/>
        </w:rPr>
        <w:t>transmission upgrades</w:t>
      </w:r>
      <w:r w:rsidR="00BF2C88" w:rsidRPr="0072751C">
        <w:rPr>
          <w:rFonts w:eastAsia="Times New Roman"/>
          <w:szCs w:val="24"/>
        </w:rPr>
        <w:t xml:space="preserve"> and </w:t>
      </w:r>
      <w:r w:rsidRPr="0072751C">
        <w:rPr>
          <w:rFonts w:eastAsia="Times New Roman"/>
          <w:szCs w:val="24"/>
        </w:rPr>
        <w:t xml:space="preserve">control system improvements </w:t>
      </w:r>
      <w:r w:rsidR="00A63FA8" w:rsidRPr="0072751C">
        <w:rPr>
          <w:rFonts w:eastAsia="Times New Roman"/>
          <w:szCs w:val="24"/>
        </w:rPr>
        <w:t>for reliably interconnecting these resources to the grid</w:t>
      </w:r>
      <w:r w:rsidR="00BF2C88" w:rsidRPr="0072751C">
        <w:rPr>
          <w:rFonts w:eastAsia="Times New Roman"/>
          <w:szCs w:val="24"/>
        </w:rPr>
        <w:t>.</w:t>
      </w:r>
      <w:r w:rsidR="0072751C">
        <w:rPr>
          <w:rStyle w:val="FootnoteReference"/>
          <w:rFonts w:eastAsia="Times New Roman"/>
          <w:szCs w:val="24"/>
        </w:rPr>
        <w:footnoteReference w:id="2"/>
      </w:r>
      <w:r w:rsidR="00A63FA8" w:rsidRPr="0072751C">
        <w:rPr>
          <w:rFonts w:eastAsia="Times New Roman"/>
          <w:szCs w:val="24"/>
        </w:rPr>
        <w:t xml:space="preserve"> </w:t>
      </w:r>
      <w:r w:rsidRPr="0072751C">
        <w:rPr>
          <w:rFonts w:eastAsia="Times New Roman"/>
          <w:szCs w:val="24"/>
        </w:rPr>
        <w:t xml:space="preserve">Structural changes to the transmission and distribution systems </w:t>
      </w:r>
      <w:r w:rsidR="00B55F12" w:rsidRPr="0072751C">
        <w:rPr>
          <w:rFonts w:eastAsia="Times New Roman"/>
          <w:szCs w:val="24"/>
        </w:rPr>
        <w:t xml:space="preserve">are being analyzed and implemented, and new procedures put in place, to </w:t>
      </w:r>
      <w:r w:rsidRPr="0072751C">
        <w:rPr>
          <w:rFonts w:eastAsia="Times New Roman"/>
          <w:szCs w:val="24"/>
        </w:rPr>
        <w:t>help transform the grid and improve the reliable, economical, and environmental performance of the system overall.</w:t>
      </w:r>
    </w:p>
    <w:p w14:paraId="4DEDE8A8" w14:textId="1464C77F" w:rsidR="00042A9D" w:rsidRPr="00383AFC" w:rsidRDefault="001B747C" w:rsidP="001B747C">
      <w:r w:rsidRPr="00DF00D4">
        <w:t xml:space="preserve">New England </w:t>
      </w:r>
      <w:r>
        <w:t xml:space="preserve">is currently </w:t>
      </w:r>
      <w:r w:rsidR="001B3117">
        <w:t>energy</w:t>
      </w:r>
      <w:r>
        <w:t xml:space="preserve"> constrained, which remains the greatest reliability risk to the </w:t>
      </w:r>
      <w:r w:rsidRPr="00285674">
        <w:t xml:space="preserve">region. </w:t>
      </w:r>
      <w:r w:rsidR="00E429FD" w:rsidRPr="00285674">
        <w:t>Variable energy resources a</w:t>
      </w:r>
      <w:r w:rsidR="00E429FD" w:rsidRPr="008D6E30">
        <w:t xml:space="preserve">nd </w:t>
      </w:r>
      <w:r w:rsidR="00A92973" w:rsidRPr="008D6E30">
        <w:t xml:space="preserve">natural gas </w:t>
      </w:r>
      <w:r w:rsidR="00E429FD" w:rsidRPr="008D6E30">
        <w:t xml:space="preserve">generators with infrastructure </w:t>
      </w:r>
      <w:r w:rsidR="00E429FD" w:rsidRPr="00285674">
        <w:t xml:space="preserve">and operational </w:t>
      </w:r>
      <w:r w:rsidR="000014B3" w:rsidRPr="008D6E30">
        <w:t xml:space="preserve">limitations on </w:t>
      </w:r>
      <w:r w:rsidR="003C27B1" w:rsidRPr="00285674">
        <w:t>their</w:t>
      </w:r>
      <w:r w:rsidR="000014B3" w:rsidRPr="00285674">
        <w:t xml:space="preserve"> energy production</w:t>
      </w:r>
      <w:r w:rsidR="000014B3">
        <w:t xml:space="preserve"> are replacing </w:t>
      </w:r>
      <w:r w:rsidRPr="00D46AFD">
        <w:t>nuclear, coal, and oil</w:t>
      </w:r>
      <w:r w:rsidR="00E429FD">
        <w:t xml:space="preserve"> </w:t>
      </w:r>
      <w:r w:rsidR="00B836AF">
        <w:t>resources</w:t>
      </w:r>
      <w:r w:rsidR="00E429FD">
        <w:t>, which have backup fuel storage but are retiring</w:t>
      </w:r>
      <w:r w:rsidRPr="000014B3">
        <w:t>.</w:t>
      </w:r>
      <w:r w:rsidRPr="00D46AFD">
        <w:t xml:space="preserve"> </w:t>
      </w:r>
      <w:r w:rsidR="00B836AF">
        <w:t>W</w:t>
      </w:r>
      <w:r w:rsidR="00B836AF" w:rsidRPr="00DF00D4">
        <w:t>ith its existing fuel infrastructure</w:t>
      </w:r>
      <w:r w:rsidR="00B836AF">
        <w:t xml:space="preserve">, </w:t>
      </w:r>
      <w:r>
        <w:t xml:space="preserve">New England </w:t>
      </w:r>
      <w:r w:rsidRPr="00DF00D4">
        <w:t xml:space="preserve">has </w:t>
      </w:r>
      <w:r w:rsidR="00B836AF">
        <w:t xml:space="preserve">at times </w:t>
      </w:r>
      <w:r w:rsidRPr="00DF00D4">
        <w:t xml:space="preserve">been challenged </w:t>
      </w:r>
      <w:r>
        <w:t xml:space="preserve">to </w:t>
      </w:r>
      <w:r w:rsidRPr="00DF00D4">
        <w:t xml:space="preserve">meet electricity demands, </w:t>
      </w:r>
      <w:r w:rsidRPr="007F0DE4">
        <w:t>particularly in winter</w:t>
      </w:r>
      <w:r w:rsidR="00B836AF">
        <w:t>. G</w:t>
      </w:r>
      <w:r w:rsidR="00D46AFD">
        <w:t xml:space="preserve">iven the shift </w:t>
      </w:r>
      <w:r w:rsidR="00D46AFD" w:rsidRPr="00420A98">
        <w:t>in the resource mix, these challenges are likely to extend to all seasons</w:t>
      </w:r>
      <w:r w:rsidR="00950E1F">
        <w:t xml:space="preserve"> longer term</w:t>
      </w:r>
      <w:r w:rsidR="00D46AFD" w:rsidRPr="00420A98">
        <w:t xml:space="preserve">. </w:t>
      </w:r>
      <w:r w:rsidR="000014B3" w:rsidRPr="00420A98">
        <w:t xml:space="preserve">During extreme cold periods, electricity needs have been met through a combination of generators using </w:t>
      </w:r>
      <w:r w:rsidR="00D46AFD" w:rsidRPr="00420A98">
        <w:t xml:space="preserve">natural gas from pipelines and liquefied natural gas (LNG), but also, now-declining </w:t>
      </w:r>
      <w:r w:rsidR="001B3117">
        <w:t xml:space="preserve">uses of </w:t>
      </w:r>
      <w:r w:rsidR="000014B3" w:rsidRPr="00420A98">
        <w:t xml:space="preserve">nuclear, coal, </w:t>
      </w:r>
      <w:r w:rsidR="00D46AFD" w:rsidRPr="00420A98">
        <w:t xml:space="preserve">and </w:t>
      </w:r>
      <w:r w:rsidR="000014B3" w:rsidRPr="00420A98">
        <w:t>oil</w:t>
      </w:r>
      <w:r w:rsidR="001B3117">
        <w:t xml:space="preserve"> fuels</w:t>
      </w:r>
      <w:r w:rsidR="00D46AFD" w:rsidRPr="00420A98">
        <w:t xml:space="preserve">. </w:t>
      </w:r>
      <w:r w:rsidR="00551024">
        <w:t>Although</w:t>
      </w:r>
      <w:r w:rsidR="00D46AFD" w:rsidRPr="00420A98">
        <w:t xml:space="preserve"> n</w:t>
      </w:r>
      <w:r w:rsidRPr="00420A98">
        <w:t xml:space="preserve">ew incremental natural gas </w:t>
      </w:r>
      <w:r w:rsidRPr="00420A98">
        <w:lastRenderedPageBreak/>
        <w:t xml:space="preserve">generation is being added, </w:t>
      </w:r>
      <w:r w:rsidR="00420A98" w:rsidRPr="00420A98">
        <w:t xml:space="preserve">the </w:t>
      </w:r>
      <w:r w:rsidRPr="00420A98">
        <w:t xml:space="preserve">pipelines </w:t>
      </w:r>
      <w:r w:rsidR="00420A98" w:rsidRPr="00420A98">
        <w:t xml:space="preserve">continue to </w:t>
      </w:r>
      <w:r w:rsidRPr="00420A98">
        <w:t>have limited availability</w:t>
      </w:r>
      <w:r w:rsidR="00D31C38">
        <w:t xml:space="preserve"> for electric power generators without firm gas contracts</w:t>
      </w:r>
      <w:r w:rsidR="00420A98" w:rsidRPr="00420A98">
        <w:t>,</w:t>
      </w:r>
      <w:r w:rsidRPr="00420A98">
        <w:t xml:space="preserve"> </w:t>
      </w:r>
      <w:r w:rsidR="00E429FD" w:rsidRPr="00420A98">
        <w:t>potentially at any time of the year</w:t>
      </w:r>
      <w:r w:rsidR="00420A98" w:rsidRPr="00420A98">
        <w:t>,</w:t>
      </w:r>
      <w:r w:rsidR="00E429FD" w:rsidRPr="00420A98">
        <w:t xml:space="preserve"> </w:t>
      </w:r>
      <w:r w:rsidRPr="00420A98">
        <w:t>for supporting the increased capability.</w:t>
      </w:r>
      <w:r w:rsidR="008B64C2" w:rsidRPr="00420A98">
        <w:t xml:space="preserve"> </w:t>
      </w:r>
      <w:r w:rsidR="00420A98" w:rsidRPr="00420A98">
        <w:t xml:space="preserve">Additionally, </w:t>
      </w:r>
      <w:r w:rsidR="008B64C2" w:rsidRPr="00420A98">
        <w:t>LNG deliveries to New England</w:t>
      </w:r>
      <w:r w:rsidR="00D46AFD" w:rsidRPr="00420A98">
        <w:t xml:space="preserve">, which </w:t>
      </w:r>
      <w:r w:rsidR="008B64C2" w:rsidRPr="00420A98">
        <w:t>are influenced by economics</w:t>
      </w:r>
      <w:r w:rsidR="00D46AFD" w:rsidRPr="00420A98">
        <w:t xml:space="preserve"> and logistics,</w:t>
      </w:r>
      <w:r w:rsidR="008B64C2" w:rsidRPr="00420A98">
        <w:t xml:space="preserve"> </w:t>
      </w:r>
      <w:r w:rsidR="00D31C38">
        <w:t>can be</w:t>
      </w:r>
      <w:r w:rsidR="008B64C2" w:rsidRPr="00420A98">
        <w:t xml:space="preserve"> uncertain</w:t>
      </w:r>
      <w:r w:rsidR="00420A98" w:rsidRPr="00420A98">
        <w:t>, and e</w:t>
      </w:r>
      <w:r w:rsidRPr="00420A98">
        <w:t>nvironmental permitting for new dual-fuel capability (typically, natural gas and oil) is becoming more difficult</w:t>
      </w:r>
      <w:r w:rsidR="00420A98" w:rsidRPr="00420A98">
        <w:t>. E</w:t>
      </w:r>
      <w:r w:rsidRPr="00420A98">
        <w:t xml:space="preserve">ven when these units have permits, their run times for burning oil may be restricted to limit their air emissions, similar to existing </w:t>
      </w:r>
      <w:r w:rsidRPr="005F6B8A">
        <w:t>oil generation and dual-fuel units.</w:t>
      </w:r>
      <w:r w:rsidR="000E5701" w:rsidRPr="00383AFC">
        <w:t xml:space="preserve"> </w:t>
      </w:r>
    </w:p>
    <w:p w14:paraId="3B036281" w14:textId="0145B835" w:rsidR="00042A9D" w:rsidRDefault="000E5701" w:rsidP="00042A9D">
      <w:r w:rsidRPr="00CF2B8B">
        <w:t xml:space="preserve">The ISO has implemented near-term market and operational changes to address </w:t>
      </w:r>
      <w:r w:rsidR="00551024">
        <w:t xml:space="preserve">the region’s </w:t>
      </w:r>
      <w:r w:rsidRPr="00CF2B8B">
        <w:t xml:space="preserve">energy-security risks, and </w:t>
      </w:r>
      <w:r w:rsidR="005576FC" w:rsidRPr="00CF2B8B">
        <w:t xml:space="preserve">is discussing long-term market solutions </w:t>
      </w:r>
      <w:r w:rsidRPr="00CF2B8B">
        <w:t>with stakeholders.</w:t>
      </w:r>
      <w:r w:rsidR="00042A9D" w:rsidRPr="00CF2B8B">
        <w:t xml:space="preserve"> </w:t>
      </w:r>
      <w:r w:rsidRPr="00CF2B8B">
        <w:t xml:space="preserve">The development of renewable resources, </w:t>
      </w:r>
      <w:r w:rsidR="00042A9D" w:rsidRPr="00CF2B8B">
        <w:t>EE</w:t>
      </w:r>
      <w:r w:rsidRPr="00353985">
        <w:t xml:space="preserve">, </w:t>
      </w:r>
      <w:r w:rsidR="00AA4430" w:rsidRPr="00353985">
        <w:t xml:space="preserve">energy storage, </w:t>
      </w:r>
      <w:r w:rsidR="00042A9D" w:rsidRPr="00353985">
        <w:t xml:space="preserve">and </w:t>
      </w:r>
      <w:r w:rsidRPr="00353985">
        <w:t>i</w:t>
      </w:r>
      <w:r w:rsidRPr="00CF2B8B">
        <w:t xml:space="preserve">mports and </w:t>
      </w:r>
      <w:r w:rsidR="00042A9D" w:rsidRPr="00CF2B8B">
        <w:t xml:space="preserve">the </w:t>
      </w:r>
      <w:r w:rsidRPr="00CF2B8B">
        <w:t xml:space="preserve">continued investment in gas-efficiency measures </w:t>
      </w:r>
      <w:r w:rsidR="005576FC" w:rsidRPr="00CF2B8B">
        <w:t xml:space="preserve">will help mitigate </w:t>
      </w:r>
      <w:r w:rsidRPr="00CF2B8B">
        <w:t>the</w:t>
      </w:r>
      <w:r w:rsidR="00551024">
        <w:t>se</w:t>
      </w:r>
      <w:r w:rsidRPr="00CF2B8B">
        <w:t xml:space="preserve"> </w:t>
      </w:r>
      <w:r w:rsidR="005576FC" w:rsidRPr="00CF2B8B">
        <w:t>risks</w:t>
      </w:r>
      <w:r w:rsidRPr="00CF2B8B">
        <w:t>.</w:t>
      </w:r>
      <w:r w:rsidR="00042A9D" w:rsidRPr="00CF2B8B">
        <w:t xml:space="preserve"> Other </w:t>
      </w:r>
      <w:r w:rsidR="005576FC" w:rsidRPr="00CF2B8B">
        <w:t xml:space="preserve">solutions </w:t>
      </w:r>
      <w:r w:rsidR="00042A9D" w:rsidRPr="00CF2B8B">
        <w:t>include enhancing operating procedures for confirming natural gas availability, improving co</w:t>
      </w:r>
      <w:r w:rsidR="00A604BE" w:rsidRPr="00CF2B8B">
        <w:t>mmunications and co</w:t>
      </w:r>
      <w:r w:rsidR="00042A9D" w:rsidRPr="00CF2B8B">
        <w:t>ordination with pipeline operators</w:t>
      </w:r>
      <w:r w:rsidR="00A604BE" w:rsidRPr="00CF2B8B">
        <w:t xml:space="preserve">, </w:t>
      </w:r>
      <w:r w:rsidR="00042A9D" w:rsidRPr="00CF2B8B">
        <w:t xml:space="preserve">and </w:t>
      </w:r>
      <w:r w:rsidR="00A604BE" w:rsidRPr="00CF2B8B">
        <w:t>implementing a short-term fuel-</w:t>
      </w:r>
      <w:r w:rsidR="00042A9D" w:rsidRPr="00CF2B8B">
        <w:t>security review</w:t>
      </w:r>
      <w:r w:rsidR="00A604BE" w:rsidRPr="00CF2B8B">
        <w:t xml:space="preserve"> f</w:t>
      </w:r>
      <w:r w:rsidR="00A604BE" w:rsidRPr="00D31C38">
        <w:t>or winter</w:t>
      </w:r>
      <w:r w:rsidR="00042A9D" w:rsidRPr="00D31C38">
        <w:t xml:space="preserve">. </w:t>
      </w:r>
      <w:r w:rsidR="001B3117">
        <w:t>Market changes under development could drive a</w:t>
      </w:r>
      <w:r w:rsidR="00A604BE" w:rsidRPr="00D31C38">
        <w:t>dditional measures</w:t>
      </w:r>
      <w:r w:rsidR="001B3117">
        <w:t xml:space="preserve">, such as </w:t>
      </w:r>
      <w:r w:rsidR="00042A9D" w:rsidRPr="00D31C38">
        <w:t xml:space="preserve">firm contracts with gas suppliers to improve </w:t>
      </w:r>
      <w:r w:rsidR="00A604BE" w:rsidRPr="00D31C38">
        <w:t xml:space="preserve">gas </w:t>
      </w:r>
      <w:r w:rsidR="00042A9D" w:rsidRPr="00D31C38">
        <w:t>availability for power generation</w:t>
      </w:r>
      <w:r w:rsidR="00A604BE" w:rsidRPr="00D31C38">
        <w:t xml:space="preserve">, </w:t>
      </w:r>
      <w:r w:rsidR="00042A9D" w:rsidRPr="00D31C38">
        <w:t>t</w:t>
      </w:r>
      <w:r w:rsidR="00042A9D" w:rsidRPr="00CF2B8B">
        <w:t xml:space="preserve">he use of existing and new dual-fuel capability when </w:t>
      </w:r>
      <w:r w:rsidR="00A604BE" w:rsidRPr="00CF2B8B">
        <w:t>gas supplies are limited,</w:t>
      </w:r>
      <w:r w:rsidR="00042A9D" w:rsidRPr="00CF2B8B">
        <w:t xml:space="preserve"> and adequate on-site storage and replenishment of liquid fuels to </w:t>
      </w:r>
      <w:r w:rsidR="00A604BE" w:rsidRPr="00CF2B8B">
        <w:t xml:space="preserve">enhance </w:t>
      </w:r>
      <w:r w:rsidR="00042A9D" w:rsidRPr="00CF2B8B">
        <w:t>dual-fuel power plant</w:t>
      </w:r>
      <w:r w:rsidR="00A604BE" w:rsidRPr="00CF2B8B">
        <w:t xml:space="preserve"> </w:t>
      </w:r>
      <w:r w:rsidR="005F6B8A" w:rsidRPr="00CF2B8B">
        <w:t>reliability</w:t>
      </w:r>
      <w:r w:rsidR="00042A9D" w:rsidRPr="00CF2B8B">
        <w:t>.</w:t>
      </w:r>
      <w:r w:rsidR="00042A9D">
        <w:t xml:space="preserve"> </w:t>
      </w:r>
    </w:p>
    <w:p w14:paraId="0BE6B0CE" w14:textId="4F47A6A1" w:rsidR="001B747C" w:rsidRPr="00132214" w:rsidRDefault="001B747C" w:rsidP="001B747C">
      <w:r w:rsidRPr="00DF00D4">
        <w:t xml:space="preserve">The future reliable and economic performance of the system is expected to continue </w:t>
      </w:r>
      <w:r>
        <w:t xml:space="preserve">to improve </w:t>
      </w:r>
      <w:r w:rsidRPr="00DF00D4">
        <w:t>as a result of approxima</w:t>
      </w:r>
      <w:r w:rsidRPr="00176E03">
        <w:t>tely $</w:t>
      </w:r>
      <w:r w:rsidR="001A0C68" w:rsidRPr="00176E03">
        <w:t>1.3</w:t>
      </w:r>
      <w:r w:rsidRPr="00176E03">
        <w:t xml:space="preserve"> bil</w:t>
      </w:r>
      <w:r w:rsidRPr="00DF00D4">
        <w:t>lion of planned transmission upgrades</w:t>
      </w:r>
      <w:r>
        <w:t xml:space="preserve"> over the next 10 years</w:t>
      </w:r>
      <w:r w:rsidRPr="00DF00D4">
        <w:t>, much of which is in siting or under co</w:t>
      </w:r>
      <w:r w:rsidRPr="000279D9">
        <w:t>nstruction. The ISO has been identifying long-term system needs for the Boston area and plans to solicit competitive solutions for addressing these needs in accordance with FERC Order 1000 requirements.</w:t>
      </w:r>
      <w:r w:rsidRPr="000279D9">
        <w:rPr>
          <w:vertAlign w:val="superscript"/>
        </w:rPr>
        <w:footnoteReference w:id="3"/>
      </w:r>
      <w:r w:rsidRPr="000279D9">
        <w:t xml:space="preserve"> </w:t>
      </w:r>
      <w:r w:rsidR="000279D9" w:rsidRPr="000279D9">
        <w:t>G</w:t>
      </w:r>
      <w:r w:rsidRPr="000279D9">
        <w:t>enerator retirements, the integration of many distributed and grid-level resources, the use of inverter-based technologies, and issues rising from minimum-load assessments and high-voltage conditions</w:t>
      </w:r>
      <w:r w:rsidR="000279D9" w:rsidRPr="000279D9">
        <w:t xml:space="preserve"> are changing the needs for reliability-based transmission </w:t>
      </w:r>
      <w:r w:rsidR="000279D9" w:rsidRPr="00132214">
        <w:t>upgrades</w:t>
      </w:r>
      <w:r w:rsidRPr="00132214">
        <w:t xml:space="preserve">. </w:t>
      </w:r>
    </w:p>
    <w:p w14:paraId="2C197C52" w14:textId="7D2872A2" w:rsidR="000279D9" w:rsidRPr="003A1975" w:rsidRDefault="001B747C" w:rsidP="001B747C">
      <w:r w:rsidRPr="00132214">
        <w:t xml:space="preserve">The overall system is transforming to a </w:t>
      </w:r>
      <w:r w:rsidRPr="00AC72D1">
        <w:t>cleaner, hybrid grid, with low system emissions and the</w:t>
      </w:r>
      <w:r w:rsidRPr="00132214">
        <w:t xml:space="preserve"> widespread developmen</w:t>
      </w:r>
      <w:r w:rsidRPr="00AC72D1">
        <w:t>t of renewable resources, including onshore and offshore wind generation, energy efficiency, a</w:t>
      </w:r>
      <w:r w:rsidRPr="00383AFC">
        <w:t>nd PV.</w:t>
      </w:r>
      <w:r w:rsidRPr="00383AFC">
        <w:rPr>
          <w:vertAlign w:val="superscript"/>
        </w:rPr>
        <w:footnoteReference w:id="4"/>
      </w:r>
      <w:r w:rsidRPr="00383AFC">
        <w:t xml:space="preserve"> </w:t>
      </w:r>
      <w:r w:rsidRPr="00EB0617">
        <w:t>Over the longer-term plan</w:t>
      </w:r>
      <w:r w:rsidRPr="00132214">
        <w:t>ning horizon, additional imports of Canadian hydroelectricity (hydro) and new technologies, such as smart mete</w:t>
      </w:r>
      <w:r w:rsidRPr="00B31FEF">
        <w:t xml:space="preserve">rs, microgrids, and energy storage will likely continue the trend toward a cleaner, albeit more complex, system. The ISO closely monitors policy </w:t>
      </w:r>
      <w:r w:rsidRPr="00EB16A5">
        <w:t xml:space="preserve">developments, which include the electrification of the transportation sector </w:t>
      </w:r>
      <w:r w:rsidR="00EB16A5" w:rsidRPr="00EB16A5">
        <w:t>as well as</w:t>
      </w:r>
      <w:r w:rsidRPr="00EB16A5">
        <w:t xml:space="preserve"> heat-pump penetra</w:t>
      </w:r>
      <w:r w:rsidRPr="00B31FEF">
        <w:t>tion anticipated to increase demand beyond the 10-year RSP1</w:t>
      </w:r>
      <w:r w:rsidRPr="005F6B8A">
        <w:t xml:space="preserve">9 forecast period. </w:t>
      </w:r>
    </w:p>
    <w:p w14:paraId="68C31314" w14:textId="77777777" w:rsidR="009D1108" w:rsidRPr="00D725C0" w:rsidRDefault="001B747C" w:rsidP="009D1108">
      <w:r w:rsidRPr="00383AFC">
        <w:t xml:space="preserve">The ISO has taken several actions to address </w:t>
      </w:r>
      <w:r w:rsidR="00AC72D1" w:rsidRPr="00383AFC">
        <w:t xml:space="preserve">the added complexities for real-time operations, regional planning, and the economic performance of the system </w:t>
      </w:r>
      <w:r w:rsidR="008525C5" w:rsidRPr="00383AFC">
        <w:t xml:space="preserve">brought about by </w:t>
      </w:r>
      <w:r w:rsidR="00132214" w:rsidRPr="00383AFC">
        <w:t xml:space="preserve">grid </w:t>
      </w:r>
      <w:r w:rsidRPr="00383AFC">
        <w:t>transformation</w:t>
      </w:r>
      <w:r w:rsidR="008525C5" w:rsidRPr="00383AFC">
        <w:t>.</w:t>
      </w:r>
      <w:r w:rsidR="005F6B8A" w:rsidRPr="00383AFC">
        <w:t xml:space="preserve"> </w:t>
      </w:r>
      <w:r w:rsidRPr="00383AFC">
        <w:t>State-of-</w:t>
      </w:r>
      <w:r w:rsidRPr="005F6B8A">
        <w:t xml:space="preserve">the-art </w:t>
      </w:r>
      <w:r w:rsidR="00383AFC">
        <w:t xml:space="preserve">tools and </w:t>
      </w:r>
      <w:r w:rsidR="00977858">
        <w:t>analys</w:t>
      </w:r>
      <w:r w:rsidR="00383AFC">
        <w:t>e</w:t>
      </w:r>
      <w:r w:rsidR="00977858">
        <w:t>s</w:t>
      </w:r>
      <w:r w:rsidR="00383AFC">
        <w:t xml:space="preserve"> </w:t>
      </w:r>
      <w:r w:rsidRPr="00977858">
        <w:t xml:space="preserve">have improved </w:t>
      </w:r>
      <w:r w:rsidRPr="005F6B8A">
        <w:t>deman</w:t>
      </w:r>
      <w:r w:rsidRPr="00EB0617">
        <w:t xml:space="preserve">d, wind, and solar </w:t>
      </w:r>
      <w:r w:rsidRPr="005F6B8A">
        <w:t xml:space="preserve">forecasting </w:t>
      </w:r>
      <w:r w:rsidRPr="009D1108">
        <w:t>techniques and system models</w:t>
      </w:r>
      <w:r w:rsidR="00977858" w:rsidRPr="005F6B8A">
        <w:t xml:space="preserve">; </w:t>
      </w:r>
      <w:r w:rsidR="00EB0617" w:rsidRPr="005F6B8A">
        <w:t xml:space="preserve">methods for measuring </w:t>
      </w:r>
      <w:r w:rsidR="00977858" w:rsidRPr="005F6B8A">
        <w:t xml:space="preserve">the state of the system; </w:t>
      </w:r>
      <w:r w:rsidR="00EB0617" w:rsidRPr="005F6B8A">
        <w:t xml:space="preserve">system security; and the process for facilities to </w:t>
      </w:r>
      <w:r w:rsidR="00977858" w:rsidRPr="005F6B8A">
        <w:t>interconnect</w:t>
      </w:r>
      <w:r w:rsidR="00EB0617" w:rsidRPr="005F6B8A">
        <w:t xml:space="preserve"> to the system</w:t>
      </w:r>
      <w:r w:rsidR="00977858" w:rsidRPr="005F6B8A">
        <w:t xml:space="preserve">. </w:t>
      </w:r>
      <w:r w:rsidRPr="005F6B8A">
        <w:t>E</w:t>
      </w:r>
      <w:r w:rsidRPr="00977858">
        <w:t>conomic studies hav</w:t>
      </w:r>
      <w:r w:rsidRPr="00311A35">
        <w:t>e</w:t>
      </w:r>
      <w:r w:rsidR="008525C5" w:rsidRPr="00311A35">
        <w:t xml:space="preserve"> i</w:t>
      </w:r>
      <w:r w:rsidRPr="00311A35">
        <w:t>de</w:t>
      </w:r>
      <w:r w:rsidRPr="00383AFC">
        <w:t>ntified key issues with different resource portfolios for the regi</w:t>
      </w:r>
      <w:r w:rsidRPr="005F6B8A">
        <w:t>on</w:t>
      </w:r>
      <w:r w:rsidR="00311A35" w:rsidRPr="005F6B8A">
        <w:t xml:space="preserve">. For example, with </w:t>
      </w:r>
      <w:r w:rsidRPr="008525C5">
        <w:t>transmission a</w:t>
      </w:r>
      <w:r w:rsidRPr="00311A35">
        <w:t>nalyses</w:t>
      </w:r>
      <w:r w:rsidR="00311A35">
        <w:t>,</w:t>
      </w:r>
      <w:r w:rsidRPr="00311A35">
        <w:t xml:space="preserve"> </w:t>
      </w:r>
      <w:r w:rsidR="00311A35">
        <w:t xml:space="preserve">economic studies </w:t>
      </w:r>
      <w:r w:rsidRPr="00311A35">
        <w:t xml:space="preserve">have shown that </w:t>
      </w:r>
      <w:r w:rsidRPr="008525C5">
        <w:t xml:space="preserve">the large-scale development of wind resources in Maine would require considerable transmission expansion to serve demand in southern New England, </w:t>
      </w:r>
      <w:r w:rsidRPr="005F6B8A">
        <w:t xml:space="preserve">and </w:t>
      </w:r>
      <w:r w:rsidR="0069343E">
        <w:t>s</w:t>
      </w:r>
      <w:r w:rsidRPr="005F6B8A">
        <w:t xml:space="preserve">outheastern Massachusetts offshore wind resources would </w:t>
      </w:r>
      <w:r w:rsidRPr="005F6B8A">
        <w:lastRenderedPageBreak/>
        <w:t>require less transmission development.</w:t>
      </w:r>
      <w:r w:rsidRPr="008525C5">
        <w:t xml:space="preserve"> </w:t>
      </w:r>
      <w:r w:rsidR="00383AFC">
        <w:t>In addition, a</w:t>
      </w:r>
      <w:r w:rsidR="009D1108" w:rsidRPr="00383AFC">
        <w:t xml:space="preserve"> number of</w:t>
      </w:r>
      <w:r w:rsidR="005F6B8A" w:rsidRPr="00383AFC">
        <w:t xml:space="preserve"> wholesale market </w:t>
      </w:r>
      <w:r w:rsidR="009D1108" w:rsidRPr="00383AFC">
        <w:t>improvements promote resource responses</w:t>
      </w:r>
      <w:r w:rsidR="005F6B8A" w:rsidRPr="00383AFC">
        <w:t xml:space="preserve">, such as system flexibility, </w:t>
      </w:r>
      <w:r w:rsidR="008B4C47">
        <w:t>that</w:t>
      </w:r>
      <w:r w:rsidR="005F6B8A" w:rsidRPr="00383AFC">
        <w:t xml:space="preserve"> </w:t>
      </w:r>
      <w:r w:rsidR="009D1108" w:rsidRPr="00383AFC">
        <w:t>facilitate grid transformation.</w:t>
      </w:r>
      <w:r w:rsidR="009D1108" w:rsidRPr="00D725C0">
        <w:t xml:space="preserve"> </w:t>
      </w:r>
    </w:p>
    <w:p w14:paraId="1EBFD670" w14:textId="77777777" w:rsidR="001B747C" w:rsidRPr="00DF00D4" w:rsidRDefault="001B747C" w:rsidP="001B747C">
      <w:r w:rsidRPr="00DF00D4">
        <w:t>The ISO continues to work with stakeholders to improve the system and wholesale electricity markets</w:t>
      </w:r>
      <w:r>
        <w:t xml:space="preserve"> </w:t>
      </w:r>
      <w:r w:rsidRPr="00DF00D4">
        <w:t xml:space="preserve">and </w:t>
      </w:r>
      <w:r>
        <w:t xml:space="preserve">to </w:t>
      </w:r>
      <w:r w:rsidRPr="00DF00D4">
        <w:t xml:space="preserve">address present and future regional challenges as the system becomes </w:t>
      </w:r>
      <w:r>
        <w:t>more difficult to forecast</w:t>
      </w:r>
      <w:r w:rsidRPr="00DF00D4">
        <w:t xml:space="preserve">; supply resources, less controllable; and system operations, more complicated. For all RSP19 analyses, the ISO used a number of assumptions, discussed with the PAC, which are subject to uncertainty as the system evolves over the planning period and the markets are enhanced to </w:t>
      </w:r>
      <w:r>
        <w:t>accommodate</w:t>
      </w:r>
      <w:r w:rsidRPr="00DF00D4">
        <w:t xml:space="preserve"> public </w:t>
      </w:r>
      <w:r>
        <w:t>policy objectives</w:t>
      </w:r>
      <w:r w:rsidRPr="00DF00D4">
        <w:t>. Changes in these assumptions could affect the results and conclusions of RSP19 analyses and ultimately influence the development of transmission and generation and demand resources. While each RSP is a snapshot in time, the planning process is continuous</w:t>
      </w:r>
      <w:r>
        <w:t xml:space="preserve">. As needed and appropriate, </w:t>
      </w:r>
      <w:r w:rsidRPr="00DF00D4">
        <w:t xml:space="preserve">the ISO updates the results of planning activities </w:t>
      </w:r>
      <w:r>
        <w:t xml:space="preserve">by </w:t>
      </w:r>
      <w:r w:rsidRPr="00DF00D4">
        <w:t>accounting for the status of ongoing projects, studies, and new initiatives.</w:t>
      </w:r>
    </w:p>
    <w:p w14:paraId="409236F1" w14:textId="77777777" w:rsidR="001B747C" w:rsidRPr="001B747C" w:rsidRDefault="001B747C" w:rsidP="00BF3CF1">
      <w:pPr>
        <w:pStyle w:val="Heading2"/>
      </w:pPr>
      <w:bookmarkStart w:id="52" w:name="_Toc8727170"/>
      <w:bookmarkStart w:id="53" w:name="_Toc10116682"/>
      <w:bookmarkStart w:id="54" w:name="_Toc12795134"/>
      <w:r w:rsidRPr="001B747C">
        <w:t>Highlights and Key Results of the Regional System Plan</w:t>
      </w:r>
      <w:bookmarkEnd w:id="52"/>
      <w:bookmarkEnd w:id="53"/>
      <w:bookmarkEnd w:id="54"/>
    </w:p>
    <w:p w14:paraId="4452947E" w14:textId="77777777" w:rsidR="001B747C" w:rsidRPr="001B747C" w:rsidRDefault="001B747C" w:rsidP="001B747C">
      <w:r w:rsidRPr="001B747C">
        <w:t xml:space="preserve">This section discusses the highlights of RSP19 and the results of various system and regional strategic planning studies and other materials. The RSP19 sections indicated below contain more details and links to definitions of terms and full citation information. </w:t>
      </w:r>
    </w:p>
    <w:p w14:paraId="2F17708E" w14:textId="4EB41FC8" w:rsidR="001B747C" w:rsidRPr="001B747C" w:rsidRDefault="001B747C" w:rsidP="00BF3CF1">
      <w:pPr>
        <w:pStyle w:val="Heading3"/>
      </w:pPr>
      <w:bookmarkStart w:id="55" w:name="_Toc8727171"/>
      <w:bookmarkStart w:id="56" w:name="_Toc10116683"/>
      <w:bookmarkStart w:id="57" w:name="_Toc12795135"/>
      <w:r w:rsidRPr="001B747C">
        <w:t>Forecasts of the Annual and Peak Use of Electric Energy, Energy Efficiency, and Photovoltaic Capacity and Energy (</w:t>
      </w:r>
      <w:r w:rsidR="00822696">
        <w:fldChar w:fldCharType="begin"/>
      </w:r>
      <w:r w:rsidR="00822696">
        <w:instrText xml:space="preserve"> REF _Ref418357222 \r \h </w:instrText>
      </w:r>
      <w:r w:rsidR="00B07D57">
        <w:instrText xml:space="preserve"> \* MERGEFORMAT </w:instrText>
      </w:r>
      <w:r w:rsidR="00822696">
        <w:fldChar w:fldCharType="separate"/>
      </w:r>
      <w:r w:rsidR="005D0B73">
        <w:t>Section 3</w:t>
      </w:r>
      <w:r w:rsidR="00822696">
        <w:fldChar w:fldCharType="end"/>
      </w:r>
      <w:r w:rsidRPr="001B747C">
        <w:t>)</w:t>
      </w:r>
      <w:bookmarkEnd w:id="55"/>
      <w:bookmarkEnd w:id="56"/>
      <w:bookmarkEnd w:id="57"/>
    </w:p>
    <w:p w14:paraId="3145B5B4" w14:textId="206C8A08" w:rsidR="001B747C" w:rsidRPr="001B747C" w:rsidRDefault="001B747C" w:rsidP="001B747C">
      <w:r w:rsidRPr="001B747C">
        <w:t xml:space="preserve">While the forecast methods used in RSP19 are generally similar to those used in RSP17, the ISO incorporated improvements to the models for peak demand and annual energy-use forecasts that better reflect peak-eliciting weather conditions. Historical loads, seasonal weather patterns, and economic and demographic factors drive the RSP19 forecasts of the gross peak and annual electric energy demand regionwide and in individual states and subareas. RSP19 also summarizes nameplate and energy projections of photovoltaic resources participating in the wholesale electricity markets as well as behind-the-meter (BTM) PV. In addition, RSP19 includes forecasts of energy-efficiency resources, which, with behind-the-meter PV forecasts, lower the gross forecasts of peak demand and annual use of electric energy. </w:t>
      </w:r>
      <w:r w:rsidR="001B3117">
        <w:t>Although the ISO explicitly develops PV</w:t>
      </w:r>
      <w:r w:rsidR="00AA4430">
        <w:t xml:space="preserve"> </w:t>
      </w:r>
      <w:r w:rsidR="00A01B23" w:rsidRPr="007E366A">
        <w:t xml:space="preserve">nameplate </w:t>
      </w:r>
      <w:r w:rsidR="001B3117" w:rsidRPr="007E366A">
        <w:t>and</w:t>
      </w:r>
      <w:r w:rsidR="001B3117">
        <w:t xml:space="preserve"> </w:t>
      </w:r>
      <w:r w:rsidR="00C83413">
        <w:t>energy-efficiency</w:t>
      </w:r>
      <w:r w:rsidR="001B3117">
        <w:t xml:space="preserve"> forecasts</w:t>
      </w:r>
      <w:r w:rsidR="00AA4430">
        <w:t xml:space="preserve"> (see Sections</w:t>
      </w:r>
      <w:r w:rsidR="00A01B23">
        <w:t> </w:t>
      </w:r>
      <w:r w:rsidR="00AA4430">
        <w:fldChar w:fldCharType="begin"/>
      </w:r>
      <w:r w:rsidR="00AA4430">
        <w:instrText xml:space="preserve"> REF _Ref387327848 \n \h </w:instrText>
      </w:r>
      <w:r w:rsidR="00AA4430">
        <w:fldChar w:fldCharType="separate"/>
      </w:r>
      <w:r w:rsidR="005D0B73">
        <w:t>3.2</w:t>
      </w:r>
      <w:r w:rsidR="00AA4430">
        <w:fldChar w:fldCharType="end"/>
      </w:r>
      <w:r w:rsidR="00AA4430">
        <w:t xml:space="preserve"> and </w:t>
      </w:r>
      <w:r w:rsidR="00AA4430">
        <w:fldChar w:fldCharType="begin"/>
      </w:r>
      <w:r w:rsidR="00AA4430">
        <w:instrText xml:space="preserve"> REF _Ref16865213 \n \h </w:instrText>
      </w:r>
      <w:r w:rsidR="00AA4430">
        <w:fldChar w:fldCharType="separate"/>
      </w:r>
      <w:r w:rsidR="005D0B73">
        <w:t>3.3</w:t>
      </w:r>
      <w:r w:rsidR="00AA4430">
        <w:fldChar w:fldCharType="end"/>
      </w:r>
      <w:r w:rsidR="00AA4430">
        <w:t>)</w:t>
      </w:r>
      <w:r w:rsidR="001B3117">
        <w:t xml:space="preserve">, </w:t>
      </w:r>
      <w:r w:rsidR="00DE5ED8">
        <w:t xml:space="preserve">it </w:t>
      </w:r>
      <w:r w:rsidR="001B3117">
        <w:t xml:space="preserve">fully considers </w:t>
      </w:r>
      <w:r w:rsidR="00AA4430">
        <w:t xml:space="preserve">all </w:t>
      </w:r>
      <w:r w:rsidR="001B3117">
        <w:t xml:space="preserve">other BTM resources </w:t>
      </w:r>
      <w:r w:rsidR="00AA4430">
        <w:t>when</w:t>
      </w:r>
      <w:r w:rsidR="001B3117">
        <w:t xml:space="preserve"> developing </w:t>
      </w:r>
      <w:r w:rsidR="001E2314">
        <w:t>its</w:t>
      </w:r>
      <w:r w:rsidR="00DE5ED8">
        <w:t xml:space="preserve"> </w:t>
      </w:r>
      <w:r w:rsidR="001B3117">
        <w:t xml:space="preserve">gross demand forecasts. </w:t>
      </w:r>
      <w:r w:rsidRPr="001B747C">
        <w:t xml:space="preserve">The resultant net demand forecasts are key inputs for determining the region’s resource-adequacy requirements for future years, evaluating the reliability and economic performance of the electric power system under various conditions, and planning needed transmission improvements. </w:t>
      </w:r>
    </w:p>
    <w:p w14:paraId="5A58841E" w14:textId="77777777" w:rsidR="001B747C" w:rsidRPr="001B747C" w:rsidRDefault="001B747C" w:rsidP="001B747C">
      <w:r w:rsidRPr="001B747C">
        <w:t>Key Section 3 results are as follows:</w:t>
      </w:r>
    </w:p>
    <w:p w14:paraId="10D168EA" w14:textId="77777777"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The 10-year net energy for load, accounting for both EE and PV, is projected to decrease from 125,823 gigawatt-hours (GWh) in 2019 to 121,336 GWh in 2028, which represents a decline of 0.4% per year. The RSP19 “50/50” net summer peak forecast is 25,323 megawatts (MW) for 2019, which declines to 24,408 MW for 2028.</w:t>
      </w:r>
      <w:r w:rsidRPr="001B747C">
        <w:rPr>
          <w:vertAlign w:val="superscript"/>
        </w:rPr>
        <w:footnoteReference w:id="5"/>
      </w:r>
      <w:r w:rsidRPr="001B747C">
        <w:rPr>
          <w:rFonts w:eastAsia="Times New Roman"/>
          <w:color w:val="000000"/>
          <w:szCs w:val="24"/>
        </w:rPr>
        <w:t xml:space="preserve"> The “90/10” net summer peak forecast, which </w:t>
      </w:r>
      <w:r w:rsidRPr="001B747C">
        <w:rPr>
          <w:rFonts w:eastAsia="Times New Roman"/>
          <w:color w:val="000000"/>
          <w:szCs w:val="24"/>
        </w:rPr>
        <w:lastRenderedPageBreak/>
        <w:t>represents more extreme summer heat waves, is 27,212 MW for 2019 and declines by 0.3% per year to 26,576 MW in 2028.</w:t>
      </w:r>
      <w:r w:rsidRPr="001B747C">
        <w:rPr>
          <w:rFonts w:eastAsiaTheme="majorEastAsia"/>
          <w:vertAlign w:val="superscript"/>
        </w:rPr>
        <w:footnoteReference w:id="6"/>
      </w:r>
      <w:r w:rsidRPr="001B747C">
        <w:rPr>
          <w:rFonts w:eastAsia="Times New Roman"/>
          <w:color w:val="000000"/>
          <w:szCs w:val="24"/>
        </w:rPr>
        <w:t xml:space="preserve"> </w:t>
      </w:r>
    </w:p>
    <w:p w14:paraId="4CB28FB4" w14:textId="77777777"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The gross winter peak demand </w:t>
      </w:r>
      <w:r w:rsidRPr="001B747C">
        <w:t xml:space="preserve">from 2019 through 2028 </w:t>
      </w:r>
      <w:r w:rsidRPr="001B747C">
        <w:rPr>
          <w:rFonts w:eastAsia="Times New Roman"/>
          <w:color w:val="000000"/>
          <w:szCs w:val="24"/>
        </w:rPr>
        <w:t>grows at 0.6% per year, but the net annual peak demand decreases by 0.6% per year as a result of EE additions throughout the region.</w:t>
      </w:r>
    </w:p>
    <w:p w14:paraId="793FDD28" w14:textId="77777777" w:rsidR="001B747C" w:rsidRPr="001B747C" w:rsidRDefault="001B747C" w:rsidP="001B747C">
      <w:pPr>
        <w:numPr>
          <w:ilvl w:val="0"/>
          <w:numId w:val="41"/>
        </w:numPr>
        <w:spacing w:after="120"/>
        <w:rPr>
          <w:rFonts w:eastAsia="Times New Roman"/>
          <w:color w:val="000000"/>
          <w:szCs w:val="24"/>
        </w:rPr>
      </w:pPr>
      <w:r w:rsidRPr="001B747C">
        <w:rPr>
          <w:rFonts w:eastAsia="Times New Roman"/>
          <w:color w:val="000000"/>
          <w:szCs w:val="24"/>
        </w:rPr>
        <w:t xml:space="preserve">Regional summer peak demand savings from energy efficiency are expected to grow from 2,913 MW in 2019 to 5,372 MW in 2028. New England states’ annual investments in EE programs are expected to be more than $1 billion per year for 2019 through 2028. These EE investments remain a major factor in the expansion of passive demand resources in the region, which are projected to grow at an average rate of 273 MW per year across the 10-year horizon. </w:t>
      </w:r>
    </w:p>
    <w:p w14:paraId="22142F89" w14:textId="180FCD2D" w:rsidR="001B747C" w:rsidRPr="001B747C" w:rsidRDefault="00286C1F" w:rsidP="001B747C">
      <w:pPr>
        <w:numPr>
          <w:ilvl w:val="0"/>
          <w:numId w:val="42"/>
        </w:numPr>
        <w:spacing w:after="120"/>
        <w:rPr>
          <w:rFonts w:eastAsia="Times New Roman"/>
          <w:color w:val="000000"/>
          <w:szCs w:val="24"/>
        </w:rPr>
      </w:pPr>
      <w:r>
        <w:rPr>
          <w:rFonts w:eastAsia="Times New Roman"/>
          <w:color w:val="000000"/>
          <w:szCs w:val="24"/>
        </w:rPr>
        <w:t>All p</w:t>
      </w:r>
      <w:r w:rsidR="001B747C" w:rsidRPr="001B747C">
        <w:rPr>
          <w:rFonts w:eastAsia="Times New Roman"/>
          <w:color w:val="000000"/>
          <w:szCs w:val="24"/>
        </w:rPr>
        <w:t xml:space="preserve">hotovoltaic resources </w:t>
      </w:r>
      <w:r>
        <w:rPr>
          <w:rFonts w:eastAsia="Times New Roman"/>
          <w:color w:val="000000"/>
          <w:szCs w:val="24"/>
        </w:rPr>
        <w:t xml:space="preserve">in the region </w:t>
      </w:r>
      <w:r w:rsidR="001B747C" w:rsidRPr="001B747C">
        <w:rPr>
          <w:rFonts w:eastAsia="Times New Roman"/>
          <w:color w:val="000000"/>
          <w:szCs w:val="24"/>
        </w:rPr>
        <w:t>reached 2,884 MWac in nameplate capacity by the end of 2018 and are expected to grow to 6,744 MWac b</w:t>
      </w:r>
      <w:r w:rsidR="001B747C" w:rsidRPr="00F614B3">
        <w:rPr>
          <w:rFonts w:eastAsia="Times New Roman"/>
          <w:color w:val="000000"/>
          <w:szCs w:val="24"/>
        </w:rPr>
        <w:t>y 2028. The estimated reductions in summer seasonal peak demand due to behind-the-meter PV resources are</w:t>
      </w:r>
      <w:r w:rsidRPr="00F614B3">
        <w:rPr>
          <w:rFonts w:eastAsia="Times New Roman"/>
          <w:color w:val="000000"/>
          <w:szCs w:val="24"/>
        </w:rPr>
        <w:t xml:space="preserve"> </w:t>
      </w:r>
      <w:r w:rsidR="001B747C" w:rsidRPr="00F614B3">
        <w:rPr>
          <w:rFonts w:eastAsia="Times New Roman"/>
          <w:color w:val="000000"/>
          <w:szCs w:val="24"/>
        </w:rPr>
        <w:t xml:space="preserve">708 MW </w:t>
      </w:r>
      <w:r w:rsidRPr="00F614B3">
        <w:rPr>
          <w:rFonts w:eastAsia="Times New Roman"/>
          <w:color w:val="000000"/>
          <w:szCs w:val="24"/>
        </w:rPr>
        <w:t xml:space="preserve">(2,048 MW nameplate) </w:t>
      </w:r>
      <w:r w:rsidR="001B747C" w:rsidRPr="00F614B3">
        <w:rPr>
          <w:rFonts w:eastAsia="Times New Roman"/>
          <w:color w:val="000000"/>
          <w:szCs w:val="24"/>
        </w:rPr>
        <w:t>in 2019 and 1,</w:t>
      </w:r>
      <w:r w:rsidRPr="00F614B3">
        <w:rPr>
          <w:rFonts w:eastAsia="Times New Roman"/>
          <w:color w:val="000000"/>
          <w:szCs w:val="24"/>
        </w:rPr>
        <w:t>051 </w:t>
      </w:r>
      <w:r w:rsidR="001B747C" w:rsidRPr="00F614B3">
        <w:rPr>
          <w:rFonts w:eastAsia="Times New Roman"/>
          <w:color w:val="000000"/>
          <w:szCs w:val="24"/>
        </w:rPr>
        <w:t>MW in 2028</w:t>
      </w:r>
      <w:r w:rsidRPr="00F614B3">
        <w:rPr>
          <w:rFonts w:eastAsia="Times New Roman"/>
          <w:color w:val="000000"/>
          <w:szCs w:val="24"/>
        </w:rPr>
        <w:t xml:space="preserve"> (4,150 MW nameplate)</w:t>
      </w:r>
      <w:r w:rsidR="001B747C" w:rsidRPr="00F614B3">
        <w:rPr>
          <w:rFonts w:eastAsia="Times New Roman"/>
          <w:color w:val="000000"/>
          <w:szCs w:val="24"/>
        </w:rPr>
        <w:t xml:space="preserve">; BTM PV does not reduce winter peaks because they typically occur after </w:t>
      </w:r>
      <w:r w:rsidR="0069343E" w:rsidRPr="00F614B3">
        <w:rPr>
          <w:rFonts w:eastAsia="Times New Roman"/>
          <w:color w:val="000000"/>
          <w:szCs w:val="24"/>
        </w:rPr>
        <w:t>the sun sets</w:t>
      </w:r>
      <w:r w:rsidR="001B747C" w:rsidRPr="00F614B3">
        <w:rPr>
          <w:rFonts w:eastAsia="Times New Roman"/>
          <w:color w:val="000000"/>
          <w:szCs w:val="24"/>
        </w:rPr>
        <w:t>.</w:t>
      </w:r>
    </w:p>
    <w:p w14:paraId="7B7052BD" w14:textId="7F514005" w:rsidR="001B747C" w:rsidRPr="001B747C" w:rsidRDefault="001B747C" w:rsidP="001B747C">
      <w:pPr>
        <w:numPr>
          <w:ilvl w:val="0"/>
          <w:numId w:val="42"/>
        </w:numPr>
        <w:rPr>
          <w:rFonts w:eastAsia="Times New Roman"/>
          <w:color w:val="000000"/>
          <w:szCs w:val="24"/>
        </w:rPr>
      </w:pPr>
      <w:r w:rsidRPr="00EB16A5">
        <w:rPr>
          <w:rFonts w:eastAsia="Times New Roman"/>
          <w:color w:val="000000"/>
          <w:szCs w:val="24"/>
        </w:rPr>
        <w:t xml:space="preserve">The ISO is closely </w:t>
      </w:r>
      <w:r w:rsidR="00EB16A5" w:rsidRPr="00EB16A5">
        <w:rPr>
          <w:rFonts w:eastAsia="Times New Roman"/>
          <w:color w:val="000000"/>
          <w:szCs w:val="24"/>
        </w:rPr>
        <w:t>watching</w:t>
      </w:r>
      <w:r w:rsidRPr="00EB16A5">
        <w:rPr>
          <w:rFonts w:eastAsia="Times New Roman"/>
          <w:color w:val="000000"/>
          <w:szCs w:val="24"/>
        </w:rPr>
        <w:t xml:space="preserve"> the preliminary strategic electrification initiatives</w:t>
      </w:r>
      <w:r w:rsidRPr="001B747C">
        <w:rPr>
          <w:rFonts w:eastAsia="Times New Roman"/>
          <w:color w:val="000000"/>
          <w:szCs w:val="24"/>
        </w:rPr>
        <w:t xml:space="preserve"> implemented by the New England states to meet greenhouse gas (GHG) reduction mandates and goals. These initiatives are just beginning but are expected to promote the growth of emerging technologies, such as electric vehicles and air-sourced, cold-climate heat pumps. Depending in part on the timing and rate of their adoption, these new electricity uses will be important considerations in the long-term outlook </w:t>
      </w:r>
      <w:r w:rsidRPr="00475845">
        <w:rPr>
          <w:rFonts w:eastAsia="Times New Roman"/>
          <w:color w:val="000000"/>
          <w:szCs w:val="24"/>
        </w:rPr>
        <w:t xml:space="preserve">for </w:t>
      </w:r>
      <w:r w:rsidR="006F29CF" w:rsidRPr="00475845">
        <w:rPr>
          <w:rFonts w:eastAsia="Times New Roman"/>
          <w:color w:val="000000"/>
          <w:szCs w:val="24"/>
        </w:rPr>
        <w:t xml:space="preserve">annual </w:t>
      </w:r>
      <w:r w:rsidRPr="00475845">
        <w:rPr>
          <w:rFonts w:eastAsia="Times New Roman"/>
          <w:color w:val="000000"/>
          <w:szCs w:val="24"/>
        </w:rPr>
        <w:t>electric energy</w:t>
      </w:r>
      <w:r w:rsidR="00681290" w:rsidRPr="00475845">
        <w:rPr>
          <w:rFonts w:eastAsia="Times New Roman"/>
          <w:color w:val="000000"/>
          <w:szCs w:val="24"/>
        </w:rPr>
        <w:t xml:space="preserve"> use</w:t>
      </w:r>
      <w:r w:rsidRPr="00475845">
        <w:rPr>
          <w:rFonts w:eastAsia="Times New Roman"/>
          <w:color w:val="000000"/>
          <w:szCs w:val="24"/>
        </w:rPr>
        <w:t xml:space="preserve"> and pea</w:t>
      </w:r>
      <w:r w:rsidRPr="001B747C">
        <w:rPr>
          <w:rFonts w:eastAsia="Times New Roman"/>
          <w:color w:val="000000"/>
          <w:szCs w:val="24"/>
        </w:rPr>
        <w:t xml:space="preserve">k demand in the years beyond the RSP19 forecast period. </w:t>
      </w:r>
    </w:p>
    <w:p w14:paraId="1F2310CD" w14:textId="3E044DD1" w:rsidR="001B747C" w:rsidRPr="001B747C" w:rsidRDefault="001B747C" w:rsidP="00BF3CF1">
      <w:pPr>
        <w:pStyle w:val="Heading3"/>
      </w:pPr>
      <w:bookmarkStart w:id="58" w:name="_Toc8727172"/>
      <w:bookmarkStart w:id="59" w:name="_Toc10116684"/>
      <w:bookmarkStart w:id="60" w:name="_Toc12795136"/>
      <w:r w:rsidRPr="001B747C">
        <w:t>Projections of the Systemwide Need for Capacity and Operating Reserves (</w:t>
      </w:r>
      <w:r w:rsidR="00822696">
        <w:fldChar w:fldCharType="begin"/>
      </w:r>
      <w:r w:rsidR="00822696">
        <w:instrText xml:space="preserve"> REF _Ref418680938 \r \h </w:instrText>
      </w:r>
      <w:r w:rsidR="00B07D57">
        <w:instrText xml:space="preserve"> \* MERGEFORMAT </w:instrText>
      </w:r>
      <w:r w:rsidR="00822696">
        <w:fldChar w:fldCharType="separate"/>
      </w:r>
      <w:r w:rsidR="005D0B73">
        <w:t>Section 4</w:t>
      </w:r>
      <w:r w:rsidR="00822696">
        <w:fldChar w:fldCharType="end"/>
      </w:r>
      <w:r w:rsidRPr="001B747C">
        <w:t>)</w:t>
      </w:r>
      <w:bookmarkEnd w:id="58"/>
      <w:bookmarkEnd w:id="59"/>
      <w:bookmarkEnd w:id="60"/>
      <w:r w:rsidRPr="001B747C">
        <w:t xml:space="preserve"> </w:t>
      </w:r>
    </w:p>
    <w:p w14:paraId="1F4850EE" w14:textId="77777777" w:rsidR="00C839FE" w:rsidRDefault="001B747C" w:rsidP="00FA7507">
      <w:r w:rsidRPr="001B747C">
        <w:t>Sufficient resources are projected for New England through 2028 to meet the resource adequacy planning criterion, assuming no major retirements and the successful completion and operation of all new resources that have cleared the Forward Capacity Market (FCM). The planning analyses account for new resource additions that have responded to wholesale electricity market improvements, state policies, and known resource retirem</w:t>
      </w:r>
      <w:r w:rsidRPr="00824EA7">
        <w:t xml:space="preserve">ents. </w:t>
      </w:r>
      <w:r w:rsidRPr="00824EA7" w:rsidDel="00397559">
        <w:t xml:space="preserve">The ISO is committed to procuring resources </w:t>
      </w:r>
      <w:r w:rsidRPr="00824EA7">
        <w:t xml:space="preserve">through the FCM </w:t>
      </w:r>
      <w:r w:rsidRPr="00824EA7" w:rsidDel="00397559">
        <w:t xml:space="preserve">and </w:t>
      </w:r>
      <w:r w:rsidRPr="00824EA7">
        <w:t xml:space="preserve">expects </w:t>
      </w:r>
      <w:r w:rsidRPr="00824EA7" w:rsidDel="00397559">
        <w:t xml:space="preserve">the region </w:t>
      </w:r>
      <w:r w:rsidRPr="00824EA7">
        <w:t>to</w:t>
      </w:r>
      <w:r w:rsidRPr="00824EA7" w:rsidDel="00397559">
        <w:t xml:space="preserve"> install adequate resources to meet the physical capacity needs </w:t>
      </w:r>
      <w:r w:rsidRPr="00824EA7">
        <w:t xml:space="preserve">that </w:t>
      </w:r>
      <w:r w:rsidRPr="00824EA7" w:rsidDel="00397559">
        <w:t>the</w:t>
      </w:r>
      <w:r w:rsidRPr="00824EA7">
        <w:t xml:space="preserve"> Installed Capacity Requirements</w:t>
      </w:r>
      <w:r w:rsidRPr="00824EA7" w:rsidDel="00397559">
        <w:t xml:space="preserve"> </w:t>
      </w:r>
      <w:r w:rsidRPr="00824EA7">
        <w:t>(</w:t>
      </w:r>
      <w:r w:rsidRPr="00824EA7" w:rsidDel="00397559">
        <w:t>ICRs</w:t>
      </w:r>
      <w:r w:rsidRPr="00824EA7">
        <w:t>)</w:t>
      </w:r>
      <w:r w:rsidRPr="00824EA7" w:rsidDel="00397559">
        <w:t xml:space="preserve"> will </w:t>
      </w:r>
      <w:r w:rsidRPr="00824EA7">
        <w:t>define</w:t>
      </w:r>
      <w:r w:rsidRPr="00824EA7" w:rsidDel="00397559">
        <w:t xml:space="preserve"> for future years.</w:t>
      </w:r>
      <w:r w:rsidR="00475845" w:rsidRPr="00824EA7">
        <w:rPr>
          <w:rStyle w:val="FootnoteReference"/>
        </w:rPr>
        <w:footnoteReference w:id="7"/>
      </w:r>
    </w:p>
    <w:p w14:paraId="345586BD" w14:textId="77777777" w:rsidR="001B747C" w:rsidRDefault="001B747C" w:rsidP="001B747C">
      <w:pPr>
        <w:spacing w:after="200" w:line="276" w:lineRule="auto"/>
      </w:pPr>
      <w:r w:rsidRPr="001B747C">
        <w:t xml:space="preserve">To date, resource-adequacy studies have shown that the most reliable and economic place for developing new resources is in </w:t>
      </w:r>
      <w:r w:rsidR="007651AA">
        <w:t xml:space="preserve">the </w:t>
      </w:r>
      <w:r w:rsidRPr="001B747C">
        <w:t>Northeastern Massachusetts (NEMA)/Boston and Southeastern Massachusetts/ Rhode Island (SEMA/RI)</w:t>
      </w:r>
      <w:r w:rsidR="007651AA">
        <w:t xml:space="preserve"> areas</w:t>
      </w:r>
      <w:r w:rsidRPr="001B747C">
        <w:t xml:space="preserve">. This is due to recent and anticipated retirements of aging fossil generation and the projected load growth in these areas. Transmission improvements are underway in these areas, and new fast-start generation is under construction. This will help meet the regional and local capacity needs and improve system reliability, but delays in the construction or additional </w:t>
      </w:r>
      <w:r w:rsidRPr="001B747C">
        <w:lastRenderedPageBreak/>
        <w:t>retirements would make meeting local resource</w:t>
      </w:r>
      <w:r w:rsidR="00233073">
        <w:t>-</w:t>
      </w:r>
      <w:r w:rsidRPr="001B747C">
        <w:t>adequacy requirements less certain.</w:t>
      </w:r>
      <w:r w:rsidRPr="001B747C">
        <w:rPr>
          <w:vertAlign w:val="superscript"/>
        </w:rPr>
        <w:footnoteReference w:id="8"/>
      </w:r>
      <w:r w:rsidRPr="001B747C">
        <w:t xml:space="preserve"> Overall, the region is expected to experience more generating resource additions than retirements, and the ISO projects that adequate resources will be available to meet net ICR for the next 10 years. </w:t>
      </w:r>
    </w:p>
    <w:p w14:paraId="501ED70D" w14:textId="77777777" w:rsidR="001B747C" w:rsidRPr="001B747C" w:rsidRDefault="001B747C" w:rsidP="001B747C">
      <w:r w:rsidRPr="001B747C">
        <w:t xml:space="preserve">Consistent with the resource-adequacy criterion and processes, the use of specific operator actions (e.g., Operating Procedure No. [OP 4], </w:t>
      </w:r>
      <w:r w:rsidRPr="001B747C">
        <w:rPr>
          <w:i/>
        </w:rPr>
        <w:t>Actions during a Capacity Deficiency</w:t>
      </w:r>
      <w:r w:rsidRPr="001B747C">
        <w:t>) may be necessary when resources are unavailable to serve demand.</w:t>
      </w:r>
      <w:r w:rsidRPr="001B747C">
        <w:rPr>
          <w:vertAlign w:val="superscript"/>
        </w:rPr>
        <w:footnoteReference w:id="9"/>
      </w:r>
      <w:r w:rsidRPr="001B747C">
        <w:t xml:space="preserve"> Actual system conditions would affect the frequency and extent of OP 4 actions, in addition to the amount of resources procured to meet capacity needs and resource availability. </w:t>
      </w:r>
    </w:p>
    <w:p w14:paraId="4A2CF81F" w14:textId="604B6668" w:rsidR="001B747C" w:rsidRPr="001B747C" w:rsidRDefault="00C839FE" w:rsidP="001B747C">
      <w:r w:rsidRPr="00C839FE">
        <w:t xml:space="preserve">RSP19 </w:t>
      </w:r>
      <w:r w:rsidR="00DE5ED8">
        <w:t>summarizes</w:t>
      </w:r>
      <w:r w:rsidRPr="00C839FE">
        <w:t xml:space="preserve"> operable</w:t>
      </w:r>
      <w:r>
        <w:t>-</w:t>
      </w:r>
      <w:r w:rsidRPr="00C839FE">
        <w:t>capacity analys</w:t>
      </w:r>
      <w:r w:rsidR="009A3706">
        <w:t>e</w:t>
      </w:r>
      <w:r w:rsidRPr="00C839FE">
        <w:t xml:space="preserve">s using </w:t>
      </w:r>
      <w:r w:rsidR="009A3706">
        <w:t>projected</w:t>
      </w:r>
      <w:r w:rsidR="009A3706" w:rsidRPr="00C839FE">
        <w:t xml:space="preserve"> systemwide demand forecasts and </w:t>
      </w:r>
      <w:r w:rsidR="009A3706">
        <w:t xml:space="preserve">projected </w:t>
      </w:r>
      <w:r w:rsidR="009A3706" w:rsidRPr="00C839FE">
        <w:t>system</w:t>
      </w:r>
      <w:r w:rsidR="009A3706">
        <w:t>wide ICR values</w:t>
      </w:r>
      <w:r w:rsidRPr="00C839FE">
        <w:t xml:space="preserve">. </w:t>
      </w:r>
      <w:r w:rsidR="001B747C" w:rsidRPr="001B747C">
        <w:t xml:space="preserve">During either extremely hot and humid 90/10 summer peak-load conditions or extremely cold winter conditions, the load and capacity relief to meet system needs could range from 1,150 MW to 2,500 MW during the study period. Although New England has adequate installed capacity to meet the winter peak demands, which are 6,000 MW to 7,000 MW lower than the summer peak demands, OP 4 actions may still be necessary during extreme cold weather. This is because the region relies on natural gas to fuel much of its generation, but sufficient fuel may not be readily available when the weather is cold. (See Section </w:t>
      </w:r>
      <w:r w:rsidR="00681290">
        <w:fldChar w:fldCharType="begin"/>
      </w:r>
      <w:r w:rsidR="00681290">
        <w:instrText xml:space="preserve"> REF _Ref8656651 \r \h </w:instrText>
      </w:r>
      <w:r w:rsidR="00681290">
        <w:fldChar w:fldCharType="separate"/>
      </w:r>
      <w:r w:rsidR="005D0B73">
        <w:t>1.1.5</w:t>
      </w:r>
      <w:r w:rsidR="00681290">
        <w:fldChar w:fldCharType="end"/>
      </w:r>
      <w:r w:rsidR="001B747C" w:rsidRPr="001B747C">
        <w:t xml:space="preserve"> that discusses the region’s immediate concerns about winter energy-security issues, the availability of natural-gas-fired generators to produce energy, and the ISO’s efforts to address these challenges over the long term.)</w:t>
      </w:r>
    </w:p>
    <w:p w14:paraId="3A379467" w14:textId="72B49D89" w:rsidR="001B747C" w:rsidRPr="001B747C" w:rsidRDefault="001B747C" w:rsidP="001B747C">
      <w:r w:rsidRPr="001B747C">
        <w:t>The region is expected to meet future representative operating-reserve requirements through 2023 for the system as currently planned. Fast-start resources with short lead times for project development and generators able to quickly ramp up can satisfy near-term operating-reserve requirements while providing operational flexibility to major load pockets and the system overall</w:t>
      </w:r>
      <w:r w:rsidRPr="00266AD6">
        <w:t xml:space="preserve">. </w:t>
      </w:r>
      <w:r w:rsidR="0054408E" w:rsidRPr="00266AD6">
        <w:t>Developers</w:t>
      </w:r>
      <w:r w:rsidR="0054408E">
        <w:t xml:space="preserve"> i</w:t>
      </w:r>
      <w:r w:rsidR="00DE5ED8">
        <w:t>nterconnecti</w:t>
      </w:r>
      <w:r w:rsidR="00DE5ED8" w:rsidRPr="00353985">
        <w:t xml:space="preserve">ng </w:t>
      </w:r>
      <w:r w:rsidR="005F7ACD" w:rsidRPr="00353985">
        <w:t xml:space="preserve">and placing </w:t>
      </w:r>
      <w:r w:rsidR="00DE5ED8" w:rsidRPr="00353985">
        <w:t>well</w:t>
      </w:r>
      <w:r w:rsidR="00266AD6">
        <w:t>-</w:t>
      </w:r>
      <w:r w:rsidR="00DE5ED8" w:rsidRPr="00353985">
        <w:t>sized</w:t>
      </w:r>
      <w:r w:rsidR="005F7ACD" w:rsidRPr="00353985">
        <w:t xml:space="preserve"> </w:t>
      </w:r>
      <w:r w:rsidR="001A7BFD" w:rsidRPr="00353985">
        <w:t xml:space="preserve">and </w:t>
      </w:r>
      <w:r w:rsidRPr="00353985">
        <w:t>economical resources withi</w:t>
      </w:r>
      <w:r w:rsidRPr="00B31FEF">
        <w:t xml:space="preserve">n </w:t>
      </w:r>
      <w:r w:rsidR="005F7ACD" w:rsidRPr="00B31FEF">
        <w:t>or near</w:t>
      </w:r>
      <w:r w:rsidR="005F7ACD" w:rsidRPr="00353985">
        <w:t xml:space="preserve"> </w:t>
      </w:r>
      <w:r w:rsidRPr="00353985">
        <w:t>ma</w:t>
      </w:r>
      <w:r w:rsidRPr="001B747C">
        <w:t xml:space="preserve">jor load pockets to replace resource retirements would decrease the amount of reserves required within load pockets and reduce the reliance on transmission facilities. Transmission improvements can continue to help reduce or eliminate operating-reserve needs in the major import areas. </w:t>
      </w:r>
    </w:p>
    <w:p w14:paraId="014516C7" w14:textId="6A78AAAE" w:rsidR="00176E03" w:rsidRDefault="001B747C" w:rsidP="001B747C">
      <w:pPr>
        <w:tabs>
          <w:tab w:val="left" w:pos="810"/>
        </w:tabs>
      </w:pPr>
      <w:r w:rsidRPr="00176E03">
        <w:t xml:space="preserve">As of April 1, 2019, the ISO’s Interconnection Request Queue (the queue) reflected 19,047 MW of </w:t>
      </w:r>
      <w:r w:rsidR="00BE3A31">
        <w:t>proposed projects</w:t>
      </w:r>
      <w:r w:rsidRPr="00176E03">
        <w:t>.</w:t>
      </w:r>
      <w:r w:rsidR="00176E03" w:rsidRPr="00176E03">
        <w:rPr>
          <w:vertAlign w:val="superscript"/>
        </w:rPr>
        <w:footnoteReference w:id="10"/>
      </w:r>
      <w:r w:rsidR="00176E03" w:rsidRPr="00176E03">
        <w:t xml:space="preserve"> </w:t>
      </w:r>
      <w:r w:rsidRPr="00176E03">
        <w:t>This</w:t>
      </w:r>
      <w:r w:rsidRPr="00D10561">
        <w:t xml:space="preserve"> includes</w:t>
      </w:r>
      <w:r w:rsidR="001A7BFD">
        <w:t xml:space="preserve"> an additional</w:t>
      </w:r>
      <w:r w:rsidRPr="00D10561">
        <w:t xml:space="preserve"> 11,316 MW of wind resources</w:t>
      </w:r>
      <w:r w:rsidR="00DE5ED8">
        <w:t>,</w:t>
      </w:r>
      <w:r w:rsidRPr="00D10561">
        <w:t xml:space="preserve"> 3,070 MW of large-scale PV</w:t>
      </w:r>
      <w:r w:rsidR="00DE5ED8">
        <w:t xml:space="preserve">, and 1,381 MW of </w:t>
      </w:r>
      <w:r w:rsidR="0054408E">
        <w:t xml:space="preserve">battery </w:t>
      </w:r>
      <w:r w:rsidR="00DE5ED8">
        <w:t>storage</w:t>
      </w:r>
      <w:r w:rsidR="001A7BFD">
        <w:t xml:space="preserve"> to be interconnected to the New England power system</w:t>
      </w:r>
      <w:r w:rsidRPr="00D10561">
        <w:t xml:space="preserve">. Offshore resources are being proposed off the southeastern New England coast, and proposed onshore </w:t>
      </w:r>
      <w:r w:rsidRPr="00FA7507">
        <w:t>wind resources are predominantly in northern New England.</w:t>
      </w:r>
      <w:r w:rsidRPr="00176E03">
        <w:t xml:space="preserve"> </w:t>
      </w:r>
    </w:p>
    <w:p w14:paraId="52877E39" w14:textId="77777777" w:rsidR="001B747C" w:rsidRPr="001B747C" w:rsidRDefault="001B747C" w:rsidP="001B747C">
      <w:pPr>
        <w:tabs>
          <w:tab w:val="left" w:pos="810"/>
        </w:tabs>
      </w:pPr>
      <w:r w:rsidRPr="001B747C">
        <w:t xml:space="preserve">The ISO improved the interconnection process and now offers a cluster study approach, which provides the means for considering multiple requests in the same study and allocating the costs of significant upgrades among the cluster participants in the interconnection queue. The first phase of the clustering process involves conducting a transmission planning study that identifies the transmission infrastructure </w:t>
      </w:r>
      <w:r w:rsidRPr="001B747C">
        <w:lastRenderedPageBreak/>
        <w:t>and associated system upgrades necessary to enable the interconnection of up to all proposed resources in a particular geographic area. The second phase specifies transmission facilities required to interconnect the resources showing interest in transmission cost sharing and meeting other requirements. To date, the ISO completed a cluster study for proposed resources in northern and western Maine. A second cluster study for resources in that same area is underway an</w:t>
      </w:r>
      <w:r w:rsidRPr="00307E4B">
        <w:t xml:space="preserve">d </w:t>
      </w:r>
      <w:r w:rsidR="009A3706" w:rsidRPr="00307E4B">
        <w:t>anticipated to be completed</w:t>
      </w:r>
      <w:r w:rsidRPr="00307E4B">
        <w:t xml:space="preserve"> by the fourth quarter of 2019.</w:t>
      </w:r>
      <w:r w:rsidR="00C839FE" w:rsidRPr="00307E4B">
        <w:t xml:space="preserve"> Even with the cluster approach, remote resources would require considerable transmission improvements</w:t>
      </w:r>
      <w:r w:rsidR="00176E03" w:rsidRPr="00307E4B">
        <w:t xml:space="preserve">, which may be costly to build, </w:t>
      </w:r>
      <w:r w:rsidR="00C839FE" w:rsidRPr="00307E4B">
        <w:t>to be well integrated with the demand centers in southern New England.</w:t>
      </w:r>
      <w:r w:rsidR="00C839FE" w:rsidRPr="00C839FE">
        <w:t xml:space="preserve"> </w:t>
      </w:r>
    </w:p>
    <w:p w14:paraId="330237D0" w14:textId="02B4F170" w:rsidR="001B747C" w:rsidRPr="001B747C" w:rsidRDefault="001B747C" w:rsidP="00BF3CF1">
      <w:pPr>
        <w:pStyle w:val="Heading3"/>
      </w:pPr>
      <w:bookmarkStart w:id="61" w:name="_Toc8727173"/>
      <w:bookmarkStart w:id="62" w:name="_Toc10116685"/>
      <w:bookmarkStart w:id="63" w:name="_Toc12795137"/>
      <w:r w:rsidRPr="001B747C">
        <w:t>Transmission System Needs, Solutions, and Cost Considerations (</w:t>
      </w:r>
      <w:r w:rsidR="00822696">
        <w:fldChar w:fldCharType="begin"/>
      </w:r>
      <w:r w:rsidR="00822696">
        <w:instrText xml:space="preserve"> REF _Ref301345731 \r \h </w:instrText>
      </w:r>
      <w:r w:rsidR="00B07D57">
        <w:instrText xml:space="preserve"> \* MERGEFORMAT </w:instrText>
      </w:r>
      <w:r w:rsidR="00822696">
        <w:fldChar w:fldCharType="separate"/>
      </w:r>
      <w:r w:rsidR="005D0B73">
        <w:t>Section 5</w:t>
      </w:r>
      <w:r w:rsidR="00822696">
        <w:fldChar w:fldCharType="end"/>
      </w:r>
      <w:r w:rsidRPr="001B747C">
        <w:t>)</w:t>
      </w:r>
      <w:bookmarkEnd w:id="61"/>
      <w:bookmarkEnd w:id="62"/>
      <w:bookmarkEnd w:id="63"/>
    </w:p>
    <w:p w14:paraId="7723E31A" w14:textId="77777777" w:rsidR="001B747C" w:rsidRPr="001B747C" w:rsidRDefault="001B747C" w:rsidP="001B747C">
      <w:r w:rsidRPr="001B747C">
        <w:t>In large measure, as a result of transmission expansion in New England, the region has maintained a high level of reliability and resiliency; the dispatch of more efficient generating units, which reduces the need for out-of-merit unit commitment; and lower wholesale market costs. The low growth of net peak demand and changes to the assumptions used in needs assessments has reduced the overall need for major additional reliability-based transmission projects over the planning horizon. The development of FCM resources in appropriate zones also has deferred the need for major new projects. Drivers of needed transmission improvements include the following:</w:t>
      </w:r>
    </w:p>
    <w:p w14:paraId="36CC53A8" w14:textId="77777777" w:rsidR="001B747C" w:rsidRPr="001B747C" w:rsidRDefault="001B747C" w:rsidP="001B747C">
      <w:pPr>
        <w:numPr>
          <w:ilvl w:val="0"/>
          <w:numId w:val="734"/>
        </w:numPr>
        <w:spacing w:after="120"/>
        <w:rPr>
          <w:rFonts w:eastAsia="Times New Roman"/>
          <w:szCs w:val="24"/>
        </w:rPr>
      </w:pPr>
      <w:r w:rsidRPr="001B747C">
        <w:rPr>
          <w:rFonts w:eastAsia="Times New Roman"/>
          <w:szCs w:val="24"/>
        </w:rPr>
        <w:t>Resource retirements</w:t>
      </w:r>
    </w:p>
    <w:p w14:paraId="57B22D92" w14:textId="5BD30D17" w:rsidR="001B747C" w:rsidRPr="001B747C" w:rsidRDefault="001B747C" w:rsidP="001B747C">
      <w:pPr>
        <w:numPr>
          <w:ilvl w:val="0"/>
          <w:numId w:val="734"/>
        </w:numPr>
        <w:spacing w:after="120"/>
        <w:rPr>
          <w:rFonts w:eastAsia="Times New Roman"/>
          <w:szCs w:val="24"/>
        </w:rPr>
      </w:pPr>
      <w:r w:rsidRPr="001B747C">
        <w:rPr>
          <w:rFonts w:eastAsia="Times New Roman"/>
          <w:szCs w:val="24"/>
        </w:rPr>
        <w:t xml:space="preserve">Anticipation of light-load operating conditions </w:t>
      </w:r>
    </w:p>
    <w:p w14:paraId="698B1633" w14:textId="77777777" w:rsidR="001B747C" w:rsidRPr="001B747C" w:rsidRDefault="00345749" w:rsidP="001B747C">
      <w:pPr>
        <w:numPr>
          <w:ilvl w:val="0"/>
          <w:numId w:val="734"/>
        </w:numPr>
        <w:spacing w:after="120"/>
        <w:rPr>
          <w:rFonts w:eastAsia="Times New Roman"/>
          <w:szCs w:val="24"/>
        </w:rPr>
      </w:pPr>
      <w:r>
        <w:rPr>
          <w:rFonts w:eastAsia="Times New Roman"/>
          <w:szCs w:val="24"/>
        </w:rPr>
        <w:t>I</w:t>
      </w:r>
      <w:r w:rsidR="001B747C" w:rsidRPr="001B747C">
        <w:rPr>
          <w:rFonts w:eastAsia="Times New Roman"/>
          <w:szCs w:val="24"/>
        </w:rPr>
        <w:t xml:space="preserve">ntegration of inverter-based technologies </w:t>
      </w:r>
    </w:p>
    <w:p w14:paraId="17DF8C67" w14:textId="77777777" w:rsidR="001B747C" w:rsidRPr="001B747C" w:rsidRDefault="00345749" w:rsidP="001B747C">
      <w:pPr>
        <w:numPr>
          <w:ilvl w:val="0"/>
          <w:numId w:val="734"/>
        </w:numPr>
        <w:spacing w:after="120"/>
        <w:rPr>
          <w:rFonts w:eastAsia="Times New Roman"/>
          <w:szCs w:val="24"/>
        </w:rPr>
      </w:pPr>
      <w:r>
        <w:rPr>
          <w:rFonts w:eastAsia="Times New Roman"/>
          <w:szCs w:val="24"/>
        </w:rPr>
        <w:t>N</w:t>
      </w:r>
      <w:r w:rsidR="001B747C" w:rsidRPr="001B747C">
        <w:rPr>
          <w:rFonts w:eastAsia="Times New Roman"/>
          <w:szCs w:val="24"/>
        </w:rPr>
        <w:t>eed to upgrade aging infrastructure</w:t>
      </w:r>
    </w:p>
    <w:p w14:paraId="761A1824" w14:textId="77777777" w:rsidR="001B747C" w:rsidRPr="001B747C" w:rsidRDefault="001B747C" w:rsidP="001B747C">
      <w:pPr>
        <w:numPr>
          <w:ilvl w:val="0"/>
          <w:numId w:val="734"/>
        </w:numPr>
        <w:rPr>
          <w:rFonts w:eastAsia="Times New Roman"/>
          <w:szCs w:val="24"/>
        </w:rPr>
      </w:pPr>
      <w:r w:rsidRPr="001B747C">
        <w:rPr>
          <w:rFonts w:eastAsia="Times New Roman"/>
          <w:szCs w:val="24"/>
        </w:rPr>
        <w:t>Compliance with evolving Northeast Power Coordinating Council (NPCC) and North American Electric Reliability Corporation (NERC) requirements</w:t>
      </w:r>
    </w:p>
    <w:p w14:paraId="621D1D47" w14:textId="77777777" w:rsidR="001B747C" w:rsidRPr="001B747C" w:rsidRDefault="001B747C" w:rsidP="001B747C">
      <w:r w:rsidRPr="001B747C">
        <w:t>More sophisticated modeling is now under development to better reflect the dynamic characteristics of generators and load and the expansion o</w:t>
      </w:r>
      <w:r w:rsidRPr="008B3A50">
        <w:t>f distributed resources, wh</w:t>
      </w:r>
      <w:r w:rsidRPr="001B747C">
        <w:t>ich will inform future transmission needs.</w:t>
      </w:r>
    </w:p>
    <w:p w14:paraId="11F924E8" w14:textId="77777777" w:rsidR="001B747C" w:rsidRPr="001B747C" w:rsidRDefault="001B747C" w:rsidP="00BF3CF1">
      <w:pPr>
        <w:pStyle w:val="Heading4"/>
      </w:pPr>
      <w:r w:rsidRPr="001B747C">
        <w:t xml:space="preserve"> Transmission Planning Process, Criteria, and Assumptions</w:t>
      </w:r>
    </w:p>
    <w:p w14:paraId="1E099247" w14:textId="77777777" w:rsidR="001B747C" w:rsidRPr="001B747C" w:rsidRDefault="001B747C" w:rsidP="001B747C">
      <w:pPr>
        <w:spacing w:after="0"/>
        <w:contextualSpacing/>
      </w:pPr>
      <w:r w:rsidRPr="001B747C">
        <w:t>The ISO’s regulatory requirements continue to change significantly, along with the associated processes, national and regional criteria, and assumptions used in long-term reliability assessments. On April 18, 2018, FERC completed an audit of ISO New England’s compliance with Order 1000 as it relates to transmission planning and expansion and interregional coordination for July 10, 2013, through June 30, 2017.</w:t>
      </w:r>
      <w:r w:rsidRPr="001B747C">
        <w:rPr>
          <w:vertAlign w:val="superscript"/>
        </w:rPr>
        <w:footnoteReference w:id="11"/>
      </w:r>
      <w:r w:rsidRPr="001B747C">
        <w:t xml:space="preserve"> The ISO successfully passed this audit, with no findings of noncompliance. ISO system assessments and processes also demonstrate full compliance with NERC and NPCC requirements for meeting resource adequacy and transmission planning criteria and standards.</w:t>
      </w:r>
      <w:r w:rsidRPr="001B747C">
        <w:rPr>
          <w:vertAlign w:val="superscript"/>
        </w:rPr>
        <w:footnoteReference w:id="12"/>
      </w:r>
      <w:r w:rsidRPr="001B747C">
        <w:t xml:space="preserve"> In addition, the planning processes reflect requirements of </w:t>
      </w:r>
      <w:r w:rsidRPr="001B747C">
        <w:rPr>
          <w:rFonts w:eastAsia="Times New Roman"/>
          <w:szCs w:val="24"/>
        </w:rPr>
        <w:t>NPCC’s classification of the bulk power system (BPS).</w:t>
      </w:r>
      <w:r w:rsidRPr="001B747C">
        <w:rPr>
          <w:rFonts w:eastAsia="Times New Roman"/>
          <w:szCs w:val="24"/>
          <w:vertAlign w:val="superscript"/>
        </w:rPr>
        <w:footnoteReference w:id="13"/>
      </w:r>
    </w:p>
    <w:p w14:paraId="703D77E5" w14:textId="77777777" w:rsidR="001B747C" w:rsidRPr="001B747C" w:rsidRDefault="001B747C" w:rsidP="001B747C">
      <w:pPr>
        <w:spacing w:after="0"/>
        <w:contextualSpacing/>
      </w:pPr>
    </w:p>
    <w:p w14:paraId="012D7EB0" w14:textId="77777777" w:rsidR="001B747C" w:rsidRPr="001B747C" w:rsidRDefault="001B747C" w:rsidP="001B747C">
      <w:r w:rsidRPr="001B747C">
        <w:t>FERC Order 1000 requires the ISO to solicit competitive proposals for reliability project</w:t>
      </w:r>
      <w:r w:rsidRPr="00307E4B">
        <w:t xml:space="preserve">s </w:t>
      </w:r>
      <w:r w:rsidR="00132988" w:rsidRPr="00307E4B">
        <w:t xml:space="preserve">not needed within or at three years after a system need has been </w:t>
      </w:r>
      <w:r w:rsidR="008118F2" w:rsidRPr="00307E4B">
        <w:t>identified</w:t>
      </w:r>
      <w:r w:rsidRPr="00307E4B">
        <w:t>; for market-efficiency projects; or if fed</w:t>
      </w:r>
      <w:r w:rsidRPr="001B747C">
        <w:t>eral, state, and local public policies drive transmission needs.</w:t>
      </w:r>
      <w:r w:rsidRPr="001B747C">
        <w:rPr>
          <w:vertAlign w:val="superscript"/>
        </w:rPr>
        <w:footnoteReference w:id="14"/>
      </w:r>
      <w:r w:rsidRPr="001B747C">
        <w:t xml:space="preserve"> The ISO plans to use the competitive solution process to solve the non-time-sensitive, thermal violations identified for peak load conditions in the Boston area after the preferred solution to solve short-term, minimum-load, voltage violations has been selected.</w:t>
      </w:r>
      <w:r w:rsidRPr="001B747C">
        <w:rPr>
          <w:vertAlign w:val="superscript"/>
        </w:rPr>
        <w:footnoteReference w:id="15"/>
      </w:r>
      <w:r w:rsidRPr="001B747C">
        <w:t xml:space="preserve"> The ISO anticipates issuing its first request for proposals (RFP) to solicit competitive bids from qualified transmission project sponsors by early 2020. The Order 1000 process for planning for public policy was used for the first time in 2017 and is scheduled to begin again in 2020. </w:t>
      </w:r>
    </w:p>
    <w:p w14:paraId="4961C808" w14:textId="77777777" w:rsidR="001B747C" w:rsidRPr="001B747C" w:rsidRDefault="001B747C" w:rsidP="001B747C">
      <w:r w:rsidRPr="001B747C">
        <w:t xml:space="preserve">The ISO periodically updates the transmission planning processes and assumptions to reflect all requirements. The </w:t>
      </w:r>
      <w:r w:rsidRPr="001B747C">
        <w:rPr>
          <w:i/>
        </w:rPr>
        <w:t>Transmission Planning Process Guide</w:t>
      </w:r>
      <w:r w:rsidRPr="001B747C">
        <w:t xml:space="preserve"> describes the existing regional system planning process and how transmission planning studies are performed, as described in Attachment K of Section II of the </w:t>
      </w:r>
      <w:r w:rsidRPr="001B747C">
        <w:rPr>
          <w:i/>
        </w:rPr>
        <w:t>ISO New England Transmission, Markets and Services Tariff</w:t>
      </w:r>
      <w:r w:rsidRPr="001B747C">
        <w:t xml:space="preserve"> (the tariff), including compliance with FERC Order 1000 requirements.</w:t>
      </w:r>
      <w:r w:rsidRPr="001B747C">
        <w:rPr>
          <w:vertAlign w:val="superscript"/>
        </w:rPr>
        <w:footnoteReference w:id="16"/>
      </w:r>
      <w:r w:rsidRPr="001B747C">
        <w:t xml:space="preserve"> The </w:t>
      </w:r>
      <w:r w:rsidRPr="001B747C">
        <w:rPr>
          <w:i/>
        </w:rPr>
        <w:t>Transmission Planning Technical Guide</w:t>
      </w:r>
      <w:r w:rsidRPr="001B747C">
        <w:t xml:space="preserve"> references the current standards and specifies the criteria and assumptions used in transmission planning studies and new methodologies regarding the study assumptions using probabilistic methods.</w:t>
      </w:r>
    </w:p>
    <w:p w14:paraId="4743A72F" w14:textId="7337A4BD" w:rsidR="001B747C" w:rsidRPr="001B747C" w:rsidRDefault="001B747C" w:rsidP="001B747C">
      <w:pPr>
        <w:rPr>
          <w:rFonts w:eastAsia="Times New Roman"/>
          <w:szCs w:val="24"/>
        </w:rPr>
      </w:pPr>
      <w:r w:rsidRPr="001B747C">
        <w:t>In addition, the region meets the ISO’s Planning Procedure No. 3 (PP</w:t>
      </w:r>
      <w:r w:rsidR="00EC4036">
        <w:t xml:space="preserve"> </w:t>
      </w:r>
      <w:r w:rsidRPr="001B747C">
        <w:t xml:space="preserve">3), </w:t>
      </w:r>
      <w:r w:rsidRPr="001B747C">
        <w:rPr>
          <w:i/>
        </w:rPr>
        <w:t xml:space="preserve">Reliability Standards for the New England Area Pool Transmission Facilities </w:t>
      </w:r>
      <w:r w:rsidRPr="001B747C">
        <w:t>and other requirements that ensure the reliability of the New England pool transmission facilities (PTFs) through coordination of system planning, design, and operation.</w:t>
      </w:r>
      <w:r w:rsidRPr="001B747C">
        <w:rPr>
          <w:vertAlign w:val="superscript"/>
        </w:rPr>
        <w:footnoteReference w:id="17"/>
      </w:r>
      <w:r w:rsidRPr="001B747C">
        <w:t xml:space="preserve"> </w:t>
      </w:r>
    </w:p>
    <w:p w14:paraId="097197EF" w14:textId="77777777" w:rsidR="001B747C" w:rsidRPr="001B747C" w:rsidRDefault="001B747C" w:rsidP="00BF3CF1">
      <w:pPr>
        <w:pStyle w:val="Heading4"/>
      </w:pPr>
      <w:r w:rsidRPr="001B747C">
        <w:t>Transmission Upgrades</w:t>
      </w:r>
    </w:p>
    <w:p w14:paraId="65DE67D7" w14:textId="62AA9CFF" w:rsidR="001B747C" w:rsidRPr="001B747C" w:rsidRDefault="001B747C" w:rsidP="001B747C">
      <w:r w:rsidRPr="001B747C">
        <w:t>Reliability transmission upgrades have resulted in significant market-efficiency benefits by reducing congestion and out-of-merit operating costs. Thus, to date, the ISO has not identified the need for separate market-efficiency transmission upgrades (METUs), primarily designed to reduce the total net production cost to supply the system load</w:t>
      </w:r>
      <w:r w:rsidRPr="008B3A50">
        <w:t>. Many new elective transmission upgrades (ETUs)</w:t>
      </w:r>
      <w:r w:rsidRPr="001B747C">
        <w:t xml:space="preserve"> have been proposed, which focus on delivering zero- or low-carbon resources to New England. As of June 1, 2019, 17 projects are under study as ETUs, and three have received their proposed plan application approval. Additionally, the development of economic and fast-start resources in response to the ISO’s wholesale electricity markets has helped reduce congestion and Net Commitment-Period Compensation (NCPC).</w:t>
      </w:r>
      <w:r w:rsidRPr="001B747C">
        <w:rPr>
          <w:rFonts w:eastAsia="Times New Roman"/>
          <w:vertAlign w:val="superscript"/>
        </w:rPr>
        <w:footnoteReference w:id="18"/>
      </w:r>
      <w:r w:rsidRPr="001B747C">
        <w:t xml:space="preserve"> </w:t>
      </w:r>
      <w:r w:rsidRPr="001B747C">
        <w:rPr>
          <w:rFonts w:eastAsia="Times New Roman"/>
          <w:szCs w:val="24"/>
        </w:rPr>
        <w:t xml:space="preserve">The 2018 total for congestion </w:t>
      </w:r>
      <w:r w:rsidR="00E043E6">
        <w:rPr>
          <w:rFonts w:eastAsia="Times New Roman"/>
          <w:szCs w:val="24"/>
        </w:rPr>
        <w:t xml:space="preserve">resulting from transmission constraints </w:t>
      </w:r>
      <w:r w:rsidRPr="001B747C">
        <w:rPr>
          <w:rFonts w:eastAsia="Times New Roman"/>
          <w:szCs w:val="24"/>
        </w:rPr>
        <w:t>was $64.</w:t>
      </w:r>
      <w:r w:rsidR="00E043E6" w:rsidRPr="001B747C">
        <w:rPr>
          <w:rFonts w:eastAsia="Times New Roman"/>
          <w:szCs w:val="24"/>
        </w:rPr>
        <w:t>5</w:t>
      </w:r>
      <w:r w:rsidR="00E043E6">
        <w:rPr>
          <w:rFonts w:eastAsia="Times New Roman"/>
          <w:szCs w:val="24"/>
        </w:rPr>
        <w:t> </w:t>
      </w:r>
      <w:r w:rsidRPr="001B747C">
        <w:rPr>
          <w:rFonts w:eastAsia="Times New Roman"/>
          <w:szCs w:val="24"/>
        </w:rPr>
        <w:t xml:space="preserve">million, and the total for </w:t>
      </w:r>
      <w:r w:rsidRPr="001B747C">
        <w:rPr>
          <w:rFonts w:eastAsia="Times New Roman"/>
          <w:szCs w:val="24"/>
        </w:rPr>
        <w:lastRenderedPageBreak/>
        <w:t>voltage and second-</w:t>
      </w:r>
      <w:r w:rsidRPr="007650A3">
        <w:rPr>
          <w:rFonts w:eastAsia="Times New Roman"/>
          <w:szCs w:val="24"/>
        </w:rPr>
        <w:t>contingency N</w:t>
      </w:r>
      <w:r w:rsidR="00A46816" w:rsidRPr="007650A3">
        <w:rPr>
          <w:rFonts w:eastAsia="Times New Roman"/>
          <w:szCs w:val="24"/>
        </w:rPr>
        <w:t>CPC</w:t>
      </w:r>
      <w:r w:rsidRPr="007650A3">
        <w:rPr>
          <w:rFonts w:eastAsia="Times New Roman"/>
          <w:szCs w:val="24"/>
        </w:rPr>
        <w:t xml:space="preserve"> was $17.7 million, of the $9.8 billion total wholesale electricity markets in 2018.</w:t>
      </w:r>
      <w:r w:rsidRPr="007650A3">
        <w:rPr>
          <w:rFonts w:eastAsia="Times New Roman"/>
          <w:szCs w:val="24"/>
          <w:vertAlign w:val="superscript"/>
        </w:rPr>
        <w:footnoteReference w:id="19"/>
      </w:r>
      <w:r w:rsidRPr="001B747C">
        <w:rPr>
          <w:rFonts w:eastAsia="Times New Roman"/>
          <w:szCs w:val="24"/>
        </w:rPr>
        <w:t xml:space="preserve"> </w:t>
      </w:r>
    </w:p>
    <w:p w14:paraId="20428FE7" w14:textId="77777777" w:rsidR="001B747C" w:rsidRPr="001B747C" w:rsidRDefault="001B747C" w:rsidP="001B747C">
      <w:r w:rsidRPr="001B747C">
        <w:t xml:space="preserve">In 2019, the ISO received a study request to perform an economic evaluation of the potential benefits of upgrading the Orrington-South </w:t>
      </w:r>
      <w:r w:rsidR="00A46816">
        <w:t>e</w:t>
      </w:r>
      <w:r w:rsidRPr="001B747C">
        <w:t xml:space="preserve">xport </w:t>
      </w:r>
      <w:r w:rsidR="00A46816">
        <w:t>i</w:t>
      </w:r>
      <w:r w:rsidRPr="001B747C">
        <w:t>nterface</w:t>
      </w:r>
      <w:r w:rsidR="00A46816">
        <w:t xml:space="preserve"> in Maine</w:t>
      </w:r>
      <w:r w:rsidRPr="001B747C">
        <w:t xml:space="preserve">. After discussing the findings with stakeholders, the ISO will determine whether or not the savings in production costs </w:t>
      </w:r>
      <w:r w:rsidR="00A46816">
        <w:t>would be</w:t>
      </w:r>
      <w:r w:rsidRPr="001B747C">
        <w:t xml:space="preserve"> sufficient to move forward with a METU needs assessment</w:t>
      </w:r>
      <w:r w:rsidR="00C839FE" w:rsidRPr="00C839FE">
        <w:t xml:space="preserve"> </w:t>
      </w:r>
      <w:r w:rsidR="00A46816">
        <w:t xml:space="preserve">to </w:t>
      </w:r>
      <w:r w:rsidR="00C839FE" w:rsidRPr="00C839FE">
        <w:t xml:space="preserve">evaluate the benefits of improving access to renewable resources in </w:t>
      </w:r>
      <w:r w:rsidR="00A46816">
        <w:t xml:space="preserve">the </w:t>
      </w:r>
      <w:r w:rsidR="00C839FE" w:rsidRPr="00C839FE">
        <w:t xml:space="preserve">northern </w:t>
      </w:r>
      <w:r w:rsidR="00A46816">
        <w:t>part of that state</w:t>
      </w:r>
      <w:r w:rsidR="00C839FE" w:rsidRPr="00C839FE">
        <w:t>.</w:t>
      </w:r>
    </w:p>
    <w:p w14:paraId="349760DE" w14:textId="77777777" w:rsidR="001B747C" w:rsidRPr="001B747C" w:rsidRDefault="001B747C" w:rsidP="001B747C">
      <w:r w:rsidRPr="001B747C">
        <w:t>RSP19 does not identify the need for any public policy transmission upgrades</w:t>
      </w:r>
      <w:r w:rsidR="00B266BA">
        <w:t>,</w:t>
      </w:r>
      <w:r w:rsidR="00335781" w:rsidRPr="00335781">
        <w:t xml:space="preserve"> </w:t>
      </w:r>
      <w:r w:rsidR="00335781">
        <w:t>consistent with the planning process and the requests of all six New England states</w:t>
      </w:r>
      <w:r w:rsidR="00335781" w:rsidRPr="001B747C">
        <w:t>.</w:t>
      </w:r>
      <w:r w:rsidRPr="001B747C">
        <w:t xml:space="preserve"> </w:t>
      </w:r>
    </w:p>
    <w:p w14:paraId="2E6BF739" w14:textId="77777777" w:rsidR="001B747C" w:rsidRPr="001B747C" w:rsidRDefault="001B747C" w:rsidP="00BF3CF1">
      <w:pPr>
        <w:pStyle w:val="Heading4"/>
      </w:pPr>
      <w:r w:rsidRPr="001B747C">
        <w:t>Project Updates</w:t>
      </w:r>
    </w:p>
    <w:p w14:paraId="7EF7FFA0" w14:textId="77777777" w:rsidR="001B747C" w:rsidRPr="001B747C" w:rsidRDefault="001B747C" w:rsidP="001B747C">
      <w:r w:rsidRPr="001B747C">
        <w:t xml:space="preserve">From 2002 through June 2019, </w:t>
      </w:r>
      <w:r w:rsidR="008C68CB">
        <w:t>801</w:t>
      </w:r>
      <w:r w:rsidRPr="001B747C">
        <w:t xml:space="preserve"> transmission project components have been placed in service across the region; another </w:t>
      </w:r>
      <w:r w:rsidR="008C68CB">
        <w:t>67</w:t>
      </w:r>
      <w:r w:rsidRPr="001B747C">
        <w:t xml:space="preserve"> project components have a status of planned, proposed, or under construction. Overall, the estimated investment in New England to maintain reliability </w:t>
      </w:r>
      <w:r w:rsidRPr="00D94678">
        <w:t>was $</w:t>
      </w:r>
      <w:r w:rsidR="008C68CB" w:rsidRPr="00D94678">
        <w:t>10.9</w:t>
      </w:r>
      <w:r w:rsidRPr="00D94678">
        <w:t xml:space="preserve"> billion from 2002 to June 2019, and another $</w:t>
      </w:r>
      <w:r w:rsidR="008C68CB" w:rsidRPr="00D94678">
        <w:t>1.3</w:t>
      </w:r>
      <w:r w:rsidRPr="00D94678">
        <w:t xml:space="preserve"> billion is planned over the planning horizon. Si</w:t>
      </w:r>
      <w:r w:rsidRPr="001B747C">
        <w:t xml:space="preserve">nce the publication of the </w:t>
      </w:r>
      <w:r w:rsidRPr="001B747C">
        <w:rPr>
          <w:i/>
        </w:rPr>
        <w:t>2017 Regional System Plan</w:t>
      </w:r>
      <w:r w:rsidRPr="001B747C">
        <w:t>, the following major projects have been completed or are near completion:</w:t>
      </w:r>
      <w:r w:rsidRPr="001B747C">
        <w:rPr>
          <w:vertAlign w:val="superscript"/>
        </w:rPr>
        <w:footnoteReference w:id="20"/>
      </w:r>
    </w:p>
    <w:p w14:paraId="2E3F4383" w14:textId="1E0461E6" w:rsidR="002926A8" w:rsidRPr="002926A8" w:rsidRDefault="002926A8" w:rsidP="001B747C">
      <w:pPr>
        <w:numPr>
          <w:ilvl w:val="0"/>
          <w:numId w:val="27"/>
        </w:numPr>
        <w:spacing w:after="120"/>
        <w:rPr>
          <w:rFonts w:eastAsia="Times New Roman"/>
          <w:szCs w:val="24"/>
        </w:rPr>
      </w:pPr>
      <w:r w:rsidRPr="00D60094">
        <w:t>A +/- 200 MVAR static synchronous compensator (STATCOM)—</w:t>
      </w:r>
      <w:r>
        <w:t xml:space="preserve">a </w:t>
      </w:r>
      <w:r w:rsidRPr="00FD5755">
        <w:t>flexible alternating current transmission system (</w:t>
      </w:r>
      <w:r w:rsidRPr="00E36BA1">
        <w:t>FACTS) device</w:t>
      </w:r>
      <w:r w:rsidRPr="00FD5755">
        <w:t>—ha</w:t>
      </w:r>
      <w:r>
        <w:t>s</w:t>
      </w:r>
      <w:r w:rsidRPr="00FD5755">
        <w:t xml:space="preserve"> been added in Maine to provide dynamic voltage control. </w:t>
      </w:r>
      <w:r w:rsidR="00092C22">
        <w:t>Other</w:t>
      </w:r>
      <w:r w:rsidRPr="00FD5755">
        <w:t xml:space="preserve"> </w:t>
      </w:r>
      <w:r w:rsidRPr="00E36BA1">
        <w:t>FACTS</w:t>
      </w:r>
      <w:r w:rsidRPr="00D60094">
        <w:t xml:space="preserve"> dev</w:t>
      </w:r>
      <w:r w:rsidRPr="001B747C">
        <w:t>ices have been added</w:t>
      </w:r>
      <w:r w:rsidR="004B7E7F" w:rsidRPr="004B7E7F">
        <w:t xml:space="preserve"> </w:t>
      </w:r>
      <w:r w:rsidR="004B7E7F">
        <w:t xml:space="preserve">throughout the system </w:t>
      </w:r>
      <w:r w:rsidRPr="001B747C">
        <w:t>associated with wind resource interconnections.</w:t>
      </w:r>
    </w:p>
    <w:p w14:paraId="0B1686A1" w14:textId="2C149FB2" w:rsidR="001B747C" w:rsidRPr="001B747C" w:rsidRDefault="001B747C" w:rsidP="001B747C">
      <w:pPr>
        <w:numPr>
          <w:ilvl w:val="0"/>
          <w:numId w:val="27"/>
        </w:numPr>
        <w:spacing w:after="120"/>
        <w:rPr>
          <w:rFonts w:eastAsia="Times New Roman"/>
          <w:szCs w:val="24"/>
        </w:rPr>
      </w:pPr>
      <w:r w:rsidRPr="001B747C">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14:paraId="7A37785F" w14:textId="43BB05DD" w:rsidR="001B747C" w:rsidRPr="001B747C" w:rsidRDefault="001B747C" w:rsidP="001B747C">
      <w:pPr>
        <w:numPr>
          <w:ilvl w:val="0"/>
          <w:numId w:val="27"/>
        </w:numPr>
        <w:spacing w:after="120"/>
        <w:rPr>
          <w:rFonts w:eastAsia="Times New Roman"/>
          <w:szCs w:val="24"/>
        </w:rPr>
      </w:pPr>
      <w:r w:rsidRPr="001B747C">
        <w:rPr>
          <w:rFonts w:eastAsia="Times New Roman"/>
          <w:szCs w:val="24"/>
        </w:rPr>
        <w:t xml:space="preserve">The New Hampshire/Vermont </w:t>
      </w:r>
      <w:r w:rsidRPr="00350733">
        <w:rPr>
          <w:rFonts w:eastAsia="Times New Roman"/>
          <w:szCs w:val="24"/>
        </w:rPr>
        <w:t xml:space="preserve">2020 Upgrades included the addition of a new 345/115 kV autotransformer, a new 230/115 kV autotransformer, several new 115 kV transmission lines, upgrades and rebuilds of several existing 115 kV lines, and several reactive device additions and substation upgrades. </w:t>
      </w:r>
      <w:r w:rsidR="005559B7">
        <w:rPr>
          <w:rFonts w:eastAsia="Times New Roman"/>
          <w:szCs w:val="24"/>
        </w:rPr>
        <w:t>Most</w:t>
      </w:r>
      <w:r w:rsidRPr="00350733">
        <w:rPr>
          <w:rFonts w:eastAsia="Times New Roman"/>
          <w:szCs w:val="24"/>
        </w:rPr>
        <w:t xml:space="preserve"> of the New Hampshire/Vermont 2020 Upgrades</w:t>
      </w:r>
      <w:r w:rsidRPr="001B747C">
        <w:rPr>
          <w:rFonts w:eastAsia="Times New Roman"/>
          <w:szCs w:val="24"/>
        </w:rPr>
        <w:t xml:space="preserve"> are in service with the exception of a new 115 kV line between Madbury and Portsmouth, NH, which is anticipated to be in service in </w:t>
      </w:r>
      <w:r w:rsidR="00EC4036">
        <w:rPr>
          <w:rFonts w:eastAsia="Times New Roman"/>
          <w:szCs w:val="24"/>
        </w:rPr>
        <w:t>May 2020</w:t>
      </w:r>
      <w:r w:rsidRPr="001B747C">
        <w:rPr>
          <w:rFonts w:eastAsia="Times New Roman"/>
          <w:szCs w:val="24"/>
        </w:rPr>
        <w:t xml:space="preserve">. </w:t>
      </w:r>
    </w:p>
    <w:p w14:paraId="3D11C2F5" w14:textId="009DFC00" w:rsidR="001B747C" w:rsidRPr="00350733" w:rsidRDefault="001B747C" w:rsidP="001B747C">
      <w:pPr>
        <w:numPr>
          <w:ilvl w:val="0"/>
          <w:numId w:val="27"/>
        </w:numPr>
        <w:spacing w:after="120"/>
        <w:rPr>
          <w:rFonts w:eastAsia="Times New Roman"/>
          <w:szCs w:val="24"/>
        </w:rPr>
      </w:pPr>
      <w:r w:rsidRPr="001B747C">
        <w:rPr>
          <w:rFonts w:eastAsia="Times New Roman"/>
          <w:szCs w:val="24"/>
        </w:rPr>
        <w:t xml:space="preserve">The Connecticut River Valley </w:t>
      </w:r>
      <w:r w:rsidRPr="00350733">
        <w:rPr>
          <w:rFonts w:eastAsia="Times New Roman"/>
          <w:szCs w:val="24"/>
        </w:rPr>
        <w:t xml:space="preserve">Upgrades in Vermont included the rebuild of a 115 kV transmission line and the rebuild of a 115 kV station. </w:t>
      </w:r>
      <w:r w:rsidR="002926A8">
        <w:rPr>
          <w:rFonts w:eastAsia="Times New Roman"/>
          <w:szCs w:val="24"/>
        </w:rPr>
        <w:t xml:space="preserve">The project also featured a </w:t>
      </w:r>
      <w:r w:rsidR="002926A8" w:rsidRPr="00D60094">
        <w:t>+50/−25 MVAR static VAR compensator (SVC)</w:t>
      </w:r>
      <w:r w:rsidR="002926A8">
        <w:t xml:space="preserve">, which is a FACTS device. </w:t>
      </w:r>
      <w:r w:rsidRPr="00350733">
        <w:rPr>
          <w:rFonts w:eastAsia="Times New Roman"/>
          <w:szCs w:val="24"/>
        </w:rPr>
        <w:t>All upgrades were placed in service by November 2018.</w:t>
      </w:r>
      <w:r w:rsidR="002926A8">
        <w:rPr>
          <w:rFonts w:eastAsia="Times New Roman"/>
          <w:szCs w:val="24"/>
        </w:rPr>
        <w:t xml:space="preserve"> </w:t>
      </w:r>
    </w:p>
    <w:p w14:paraId="6D7100F3" w14:textId="77777777" w:rsidR="001B747C" w:rsidRPr="00350733" w:rsidRDefault="001B747C" w:rsidP="001B747C">
      <w:pPr>
        <w:numPr>
          <w:ilvl w:val="0"/>
          <w:numId w:val="27"/>
        </w:numPr>
        <w:spacing w:after="120"/>
        <w:rPr>
          <w:rFonts w:eastAsia="Times New Roman"/>
          <w:szCs w:val="24"/>
        </w:rPr>
      </w:pPr>
      <w:r w:rsidRPr="00350733">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14:paraId="233E6337" w14:textId="3E1A636D" w:rsidR="001B747C" w:rsidRPr="00350733" w:rsidRDefault="001B747C" w:rsidP="001B747C">
      <w:pPr>
        <w:numPr>
          <w:ilvl w:val="0"/>
          <w:numId w:val="27"/>
        </w:numPr>
        <w:spacing w:after="120"/>
        <w:rPr>
          <w:rFonts w:eastAsia="Times New Roman"/>
          <w:szCs w:val="24"/>
        </w:rPr>
      </w:pPr>
      <w:r w:rsidRPr="00350733">
        <w:lastRenderedPageBreak/>
        <w:t>The Southwest Connecticut (SWCT) 2022 Upgrades</w:t>
      </w:r>
      <w:r w:rsidRPr="001B747C">
        <w:t xml:space="preserve"> included all 115 kV upgrades, such as rebuilding and reconductoring lines, installing new lines, rebuilding two stations, and adding reactive support to maintain voltage. Several of the projects within this suite of projects are already in service, and all the components of the preferred solutions are expected to be in service by </w:t>
      </w:r>
      <w:r w:rsidR="00EC4036">
        <w:t>September 2020</w:t>
      </w:r>
      <w:r w:rsidRPr="001B747C">
        <w:t>. Due to the addition of several new generators clearing in the FCM, a follow-up to the 2022 needs assessment was performed (2025 Update). These update results showed that three transmission solutions identified in the 202</w:t>
      </w:r>
      <w:r w:rsidRPr="00350733">
        <w:t xml:space="preserve">2 Upgrades were no longer required and were subsequently canceled. </w:t>
      </w:r>
    </w:p>
    <w:p w14:paraId="2B70EF0D" w14:textId="77777777" w:rsidR="001B747C" w:rsidRPr="001B747C" w:rsidRDefault="001B747C" w:rsidP="00F7096C">
      <w:pPr>
        <w:numPr>
          <w:ilvl w:val="0"/>
          <w:numId w:val="27"/>
        </w:numPr>
        <w:rPr>
          <w:rFonts w:eastAsia="Times New Roman"/>
          <w:szCs w:val="24"/>
        </w:rPr>
      </w:pPr>
      <w:r w:rsidRPr="00350733">
        <w:rPr>
          <w:rFonts w:eastAsia="Times New Roman"/>
          <w:szCs w:val="24"/>
        </w:rPr>
        <w:t>The Pittsfield and Greenfield</w:t>
      </w:r>
      <w:r w:rsidRPr="00350733">
        <w:t xml:space="preserve"> 2022 Upgrades included</w:t>
      </w:r>
      <w:r w:rsidRPr="001B747C">
        <w:t xml:space="preserve"> adding a new 345/115 kV autotransformer, adding reactive support to control voltage on the 345 kV system, adding a new 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w:t>
      </w:r>
    </w:p>
    <w:p w14:paraId="6D98D81D" w14:textId="77777777" w:rsidR="001B747C" w:rsidRPr="001B747C" w:rsidRDefault="001B747C" w:rsidP="001B747C">
      <w:r w:rsidRPr="001B747C">
        <w:t xml:space="preserve">Improvements have been identified for both SEMA/RI and Greater Boston, and their associated development and construction are underway. These reliability upgrade projects will bolster the 345 kV and 115 kV facilities of the New England transmission system. A needs assessment has been completed for Boston, which identifies time-sensitive concerns under minimum load and also non-time-sensitive thermal overloads and system restoration concerns due to the retirement of the Mystic generators. The ISO is updating the Maine, New Hampshire, Western and Central Massachusetts, and Eastern Connecticut area studies to reflect the revised study assumptions and processes. </w:t>
      </w:r>
    </w:p>
    <w:p w14:paraId="1BA7BFBB" w14:textId="77777777" w:rsidR="001B747C" w:rsidRPr="001B747C" w:rsidRDefault="001B747C" w:rsidP="001B747C">
      <w:r w:rsidRPr="001B747C">
        <w:t>Because of the general age of the transmission system in New England, many assets across the system are reaching their end of life and are requiring replacement or refurbishment. Spending by transmission owners to address these concerns has increased over the past few years.</w:t>
      </w:r>
      <w:r w:rsidRPr="001B747C">
        <w:rPr>
          <w:vertAlign w:val="superscript"/>
        </w:rPr>
        <w:footnoteReference w:id="21"/>
      </w:r>
      <w:r w:rsidRPr="001B747C">
        <w:t xml:space="preserve"> In addition, enhancements to existing substations are needed to meet NERC’s physical and cybersecurity standards.</w:t>
      </w:r>
      <w:r w:rsidRPr="001B747C">
        <w:rPr>
          <w:vertAlign w:val="superscript"/>
        </w:rPr>
        <w:footnoteReference w:id="22"/>
      </w:r>
    </w:p>
    <w:p w14:paraId="0D7331B1" w14:textId="1B4B62ED" w:rsidR="001B747C" w:rsidRPr="001B747C" w:rsidRDefault="001B747C" w:rsidP="00BF3CF1">
      <w:pPr>
        <w:pStyle w:val="Heading3"/>
      </w:pPr>
      <w:bookmarkStart w:id="64" w:name="_Toc8727174"/>
      <w:bookmarkStart w:id="65" w:name="_Toc10116686"/>
      <w:bookmarkStart w:id="66" w:name="_Toc12795138"/>
      <w:r w:rsidRPr="001B747C">
        <w:t>Interregional Planning Requirements and Activities (</w:t>
      </w:r>
      <w:r w:rsidR="00822696">
        <w:fldChar w:fldCharType="begin"/>
      </w:r>
      <w:r w:rsidR="00822696">
        <w:instrText xml:space="preserve"> REF _Ref418860292 \r \h </w:instrText>
      </w:r>
      <w:r w:rsidR="00B07D57">
        <w:instrText xml:space="preserve"> \* MERGEFORMAT </w:instrText>
      </w:r>
      <w:r w:rsidR="00822696">
        <w:fldChar w:fldCharType="separate"/>
      </w:r>
      <w:r w:rsidR="005D0B73">
        <w:t>Section 6</w:t>
      </w:r>
      <w:r w:rsidR="00822696">
        <w:fldChar w:fldCharType="end"/>
      </w:r>
      <w:r w:rsidRPr="001B747C">
        <w:t>)</w:t>
      </w:r>
      <w:bookmarkEnd w:id="64"/>
      <w:bookmarkEnd w:id="65"/>
      <w:bookmarkEnd w:id="66"/>
    </w:p>
    <w:p w14:paraId="17461517" w14:textId="77777777" w:rsidR="001B747C" w:rsidRPr="001B747C" w:rsidRDefault="001B747C" w:rsidP="001B747C">
      <w:r w:rsidRPr="001B747C">
        <w:t>Interconnections with neighboring systems provide access to capacity and energy and reduce emissions by generators within the New England area. The interconnections continue to support regional reliability and the economic operation of the system. The ISO fully reflects the energy and capacity import capabilities of the interconnections in its planning studies.</w:t>
      </w:r>
    </w:p>
    <w:p w14:paraId="76A3D943" w14:textId="77777777" w:rsidR="001B747C" w:rsidRPr="001B747C" w:rsidRDefault="001B747C" w:rsidP="001B747C">
      <w:r w:rsidRPr="001B747C">
        <w:t>Through the Northeastern ISO/RTO Planning Protocol, ISO New England coordinates interregional studies, including interconnection queue studies, and satisfies interregional planning requirements under Order 1000.</w:t>
      </w:r>
      <w:r w:rsidRPr="001B747C">
        <w:rPr>
          <w:vertAlign w:val="superscript"/>
        </w:rPr>
        <w:footnoteReference w:id="23"/>
      </w:r>
      <w:r w:rsidRPr="001B747C">
        <w:t xml:space="preserve"> ISO New England, the New York ISO (NYISO), and PJM presented system needs to the </w:t>
      </w:r>
      <w:r w:rsidRPr="001B747C">
        <w:lastRenderedPageBreak/>
        <w:t xml:space="preserve">Interregional Planning Stakeholder Advisory Committee; none of the entities or their stakeholders identified new interregional transmission facilities that may be more efficient or cost-effective solutions to these regional needs. </w:t>
      </w:r>
    </w:p>
    <w:p w14:paraId="06D2CB3E" w14:textId="77777777" w:rsidR="001B747C" w:rsidRPr="001B747C" w:rsidRDefault="001B747C" w:rsidP="001B747C">
      <w:r w:rsidRPr="001B747C">
        <w:t xml:space="preserve">Planning activities also occur under the NPCC, NERC, and the Eastern Interconnection Planning Collaborative (EIPC), which identify key issues and coordinate planning studies over wide areas. Several interregional studies quantify some of the reliability risks New England faces resulting from its high dependency on natural-gas-fired generation. Other interregional activities identify key issues that must be addressed to successfully integrate inverter-based resources, such as the frequency response of the system. </w:t>
      </w:r>
    </w:p>
    <w:p w14:paraId="5FCBAC37" w14:textId="5FFE7494" w:rsidR="001B747C" w:rsidRPr="001B747C" w:rsidRDefault="001B747C" w:rsidP="00BF3CF1">
      <w:pPr>
        <w:pStyle w:val="Heading3"/>
      </w:pPr>
      <w:bookmarkStart w:id="67" w:name="_Ref8656651"/>
      <w:bookmarkStart w:id="68" w:name="_Toc8727175"/>
      <w:bookmarkStart w:id="69" w:name="_Toc10116687"/>
      <w:bookmarkStart w:id="70" w:name="_Toc12795139"/>
      <w:r w:rsidRPr="001B747C">
        <w:t>Energy-Security-Related Risks to System Reliability and Solutions (</w:t>
      </w:r>
      <w:r w:rsidR="00822696">
        <w:fldChar w:fldCharType="begin"/>
      </w:r>
      <w:r w:rsidR="00822696">
        <w:instrText xml:space="preserve"> REF _Ref11055619 \r \h </w:instrText>
      </w:r>
      <w:r w:rsidR="00B07D57">
        <w:instrText xml:space="preserve"> \* MERGEFORMAT </w:instrText>
      </w:r>
      <w:r w:rsidR="00822696">
        <w:fldChar w:fldCharType="separate"/>
      </w:r>
      <w:r w:rsidR="005D0B73">
        <w:t>Section 7</w:t>
      </w:r>
      <w:r w:rsidR="00822696">
        <w:fldChar w:fldCharType="end"/>
      </w:r>
      <w:r w:rsidRPr="001B747C">
        <w:t>)</w:t>
      </w:r>
      <w:bookmarkEnd w:id="67"/>
      <w:bookmarkEnd w:id="68"/>
      <w:bookmarkEnd w:id="69"/>
      <w:bookmarkEnd w:id="70"/>
    </w:p>
    <w:p w14:paraId="239A97A5" w14:textId="7826BF09" w:rsidR="001B747C" w:rsidRPr="00036139" w:rsidRDefault="001B747C" w:rsidP="001B747C">
      <w:r w:rsidRPr="00DF2192">
        <w:t xml:space="preserve">While fuel constraints during cold periods initially brought energy-security concerns to light, </w:t>
      </w:r>
      <w:r w:rsidR="0054408E" w:rsidRPr="00DF2192">
        <w:t xml:space="preserve">in the </w:t>
      </w:r>
      <w:r w:rsidR="00A77AD4" w:rsidRPr="00DF2192">
        <w:t>long</w:t>
      </w:r>
      <w:r w:rsidR="0054408E" w:rsidRPr="00DF2192">
        <w:t xml:space="preserve">er </w:t>
      </w:r>
      <w:r w:rsidR="00A77AD4" w:rsidRPr="00DF2192">
        <w:t>term</w:t>
      </w:r>
      <w:r w:rsidR="0054408E" w:rsidRPr="00DF2192">
        <w:t xml:space="preserve">, </w:t>
      </w:r>
      <w:r w:rsidRPr="00DF2192">
        <w:t xml:space="preserve">these risks </w:t>
      </w:r>
      <w:r w:rsidR="0054408E" w:rsidRPr="00DF2192">
        <w:t xml:space="preserve">may emerge </w:t>
      </w:r>
      <w:r w:rsidRPr="00DF2192">
        <w:t>whenever fuel constraints or uncertainties limit energy production, regardless of season. Although the region is projected to have sufficient resources to meet capacity requirements and enough transmission facilities to meet reliability criteria, as the region’s resource mix evolves, the ISO is concerned that the region’s energy security could</w:t>
      </w:r>
      <w:r w:rsidRPr="00036139">
        <w:t xml:space="preserve"> deteriorate.</w:t>
      </w:r>
    </w:p>
    <w:p w14:paraId="7CB84A5D" w14:textId="221A0E11" w:rsidR="001B747C" w:rsidRPr="001B747C" w:rsidRDefault="00DE5ED8" w:rsidP="001B747C">
      <w:pPr>
        <w:rPr>
          <w:rFonts w:ascii="Calibri" w:eastAsiaTheme="majorEastAsia" w:hAnsi="Calibri" w:cstheme="majorBidi"/>
          <w:bCs/>
          <w:i/>
          <w:iCs/>
        </w:rPr>
      </w:pPr>
      <w:r w:rsidRPr="00A77AD4">
        <w:t xml:space="preserve">The need for </w:t>
      </w:r>
      <w:r w:rsidR="00353985" w:rsidRPr="00A77AD4">
        <w:t>the region to take</w:t>
      </w:r>
      <w:r w:rsidR="00A77AD4" w:rsidRPr="00A77AD4">
        <w:t xml:space="preserve"> </w:t>
      </w:r>
      <w:r w:rsidRPr="00A77AD4">
        <w:t>actions</w:t>
      </w:r>
      <w:r w:rsidR="001B747C" w:rsidRPr="00A77AD4">
        <w:t xml:space="preserve">, as well as </w:t>
      </w:r>
      <w:r w:rsidR="00036139" w:rsidRPr="00A77AD4">
        <w:t xml:space="preserve">the results of </w:t>
      </w:r>
      <w:r w:rsidR="001B747C" w:rsidRPr="00A77AD4">
        <w:t>several interregional and</w:t>
      </w:r>
      <w:r w:rsidR="001B747C" w:rsidRPr="00036139">
        <w:t xml:space="preserve"> ISO studies, show the extent of these top reliability risks to </w:t>
      </w:r>
      <w:r w:rsidRPr="00036139">
        <w:t>New England</w:t>
      </w:r>
      <w:r w:rsidR="001B747C" w:rsidRPr="00036139">
        <w:t>. I</w:t>
      </w:r>
      <w:r w:rsidR="001B747C" w:rsidRPr="001B747C">
        <w:t>n response, the ISO implemented near-term market and operational improvements and continues developing longer-term solutions to ensure that system reliability can be sustained.</w:t>
      </w:r>
    </w:p>
    <w:p w14:paraId="4509BF2E" w14:textId="77777777" w:rsidR="001B747C" w:rsidRPr="001B747C" w:rsidRDefault="001B747C" w:rsidP="00BF3CF1">
      <w:pPr>
        <w:pStyle w:val="Heading4"/>
      </w:pPr>
      <w:r w:rsidRPr="001B747C">
        <w:t>Regional Dependence on Natural Gas as the Primary Fuel</w:t>
      </w:r>
    </w:p>
    <w:p w14:paraId="21F8290C" w14:textId="77777777" w:rsidR="001B747C" w:rsidRPr="001B747C" w:rsidRDefault="001B747C" w:rsidP="001B747C">
      <w:r w:rsidRPr="001B747C">
        <w:t xml:space="preserve">New England relies on natural gas as a primary fuel for generating electric energy and is decreasing its reliance on oil and coal. The high regional use of natural-gas-fired generation reflects the addition of new, efficient natural-gas-fired units over the past 20 years; the generally low price of natural gas; and the greater ease with which these new, efficient units can comply with emissions requirements. This change in the fuel mix reduces the economic dispatch of older, less efficient oil- and coal-fired units. The recent retirements of non-natural-gas-fired generation, including nuclear units, further increases the regional dependence on natural-gas-fired generation. </w:t>
      </w:r>
    </w:p>
    <w:p w14:paraId="484B62F6" w14:textId="77777777" w:rsidR="001B747C" w:rsidRPr="001B747C" w:rsidRDefault="001B747C" w:rsidP="001B747C">
      <w:r w:rsidRPr="001B747C">
        <w:t>Natural-gas-fired generation’s proportion of the system capacity mix is expected to grow from 49.5% in 2019 to approximately 54.4% by 2023 but decrease to 48.6% by 2028. Further retirements of coal and oil generators are expected over the next 10 years due to generally low natural gas prices, renewable energy additions, and pending environmental regulations. The Pilgrim nuclear plant in Massachusetts retired in 2019. Although renewable resources are anticipated to grow over the long term, the ISO expects natural gas resources to continue to set the marginal price for wholesale electricity in most hours over the planning horizon.</w:t>
      </w:r>
    </w:p>
    <w:p w14:paraId="0F205AA7" w14:textId="77777777" w:rsidR="001B747C" w:rsidRPr="001B747C" w:rsidRDefault="001B747C" w:rsidP="00BF3CF1">
      <w:pPr>
        <w:pStyle w:val="Heading4"/>
      </w:pPr>
      <w:r w:rsidRPr="001B747C">
        <w:t>The Energy-Security Risk</w:t>
      </w:r>
    </w:p>
    <w:p w14:paraId="67425FA1" w14:textId="5A5FB0C9" w:rsidR="00DA2136" w:rsidRPr="001B747C" w:rsidRDefault="001B747C" w:rsidP="001B747C">
      <w:r w:rsidRPr="001B747C">
        <w:t xml:space="preserve">The region’s reliance on the natural gas fuel-delivery system, however, exposes the regional electric power system to potential reliability problems, energy-security risks, and an associated increased cost of electricity when natural gas prices are high, even as New England’s reliance on natural gas as a primary </w:t>
      </w:r>
      <w:r w:rsidRPr="001B747C">
        <w:lastRenderedPageBreak/>
        <w:t xml:space="preserve">fuel for generating units is projected to grow. This is the result of limited gas pipeline capacity and transportation infrastructure in New England, largely built to serve natural gas customers other than electric power generators. Pipelines can be constrained any time of the year, but </w:t>
      </w:r>
      <w:r w:rsidR="00DE5ED8">
        <w:t xml:space="preserve">extreme </w:t>
      </w:r>
      <w:r w:rsidRPr="001B747C">
        <w:t>cold-weather conditions and the subsequent heavy demand for residential heating needs fueled by natural gas can exacerbate regional energy-security issu</w:t>
      </w:r>
      <w:r w:rsidRPr="00307E4B">
        <w:t>es</w:t>
      </w:r>
      <w:r w:rsidR="00DA2136" w:rsidRPr="00307E4B">
        <w:t>.</w:t>
      </w:r>
      <w:r w:rsidR="001A7BFD">
        <w:rPr>
          <w:rStyle w:val="FootnoteReference"/>
        </w:rPr>
        <w:footnoteReference w:id="24"/>
      </w:r>
      <w:r w:rsidR="008D25A1" w:rsidRPr="00307E4B">
        <w:t xml:space="preserve"> </w:t>
      </w:r>
      <w:r w:rsidR="00205109" w:rsidRPr="00307E4B">
        <w:t>F</w:t>
      </w:r>
      <w:r w:rsidR="00DA2136" w:rsidRPr="00307E4B">
        <w:t xml:space="preserve">uel </w:t>
      </w:r>
      <w:r w:rsidR="00205109" w:rsidRPr="00307E4B">
        <w:t xml:space="preserve">must be readily </w:t>
      </w:r>
      <w:r w:rsidR="00DA2136" w:rsidRPr="00307E4B">
        <w:t>available</w:t>
      </w:r>
      <w:r w:rsidR="00205109" w:rsidRPr="00307E4B">
        <w:t xml:space="preserve"> in a</w:t>
      </w:r>
      <w:r w:rsidRPr="00307E4B">
        <w:t>dequate amounts, and timely deliveries of fuel replenishments are required</w:t>
      </w:r>
      <w:r w:rsidR="00205109" w:rsidRPr="00307E4B">
        <w:t>, particularly when electric power imports from neighboring regions may not be</w:t>
      </w:r>
      <w:r w:rsidR="00D94678" w:rsidRPr="00307E4B">
        <w:t xml:space="preserve"> available.</w:t>
      </w:r>
    </w:p>
    <w:p w14:paraId="785B8EB5" w14:textId="77777777" w:rsidR="001B747C" w:rsidRPr="001B747C" w:rsidRDefault="001B747C" w:rsidP="001B747C">
      <w:r w:rsidRPr="001B747C">
        <w:t xml:space="preserve">Liquefied natural gas deliveries are also subject to risk. LNG is a global commodity imported to New England and the Canadian Maritime provinces by ocean tanker </w:t>
      </w:r>
      <w:r w:rsidR="00873F4B">
        <w:t>that</w:t>
      </w:r>
      <w:r w:rsidRPr="001B747C">
        <w:t xml:space="preserve"> must be contracted for in advance. The arrivals of spot LNG cargoes depend on global prices and vary monthly and from year to year; they also supply the entire Northeast—not just New England generators. Constraints on the regional gas supply (pipeline gas and LNG) also result in higher spot prices for the limited amounts of natural gas capacity available to generators within the New England region. </w:t>
      </w:r>
    </w:p>
    <w:p w14:paraId="6B7EB32E" w14:textId="36085BD2" w:rsidR="001B747C" w:rsidRPr="001B747C" w:rsidRDefault="001B747C" w:rsidP="00BF42B9">
      <w:pPr>
        <w:tabs>
          <w:tab w:val="left" w:pos="5310"/>
        </w:tabs>
      </w:pPr>
      <w:r w:rsidRPr="001B747C">
        <w:t>Renewable resources play a valuable, but limited, role in offsetting natural gas consumpti</w:t>
      </w:r>
      <w:r w:rsidRPr="00BF42B9">
        <w:t xml:space="preserve">on </w:t>
      </w:r>
      <w:r w:rsidR="001A7BFD" w:rsidRPr="00BF42B9">
        <w:t>(see Section</w:t>
      </w:r>
      <w:r w:rsidR="000E3996">
        <w:t>s</w:t>
      </w:r>
      <w:r w:rsidR="00BF42B9" w:rsidRPr="00353985">
        <w:t> </w:t>
      </w:r>
      <w:r w:rsidR="001A7BFD" w:rsidRPr="004008BB">
        <w:fldChar w:fldCharType="begin"/>
      </w:r>
      <w:r w:rsidR="001A7BFD" w:rsidRPr="00BF42B9">
        <w:instrText xml:space="preserve"> REF _Ref16865812 \r \h </w:instrText>
      </w:r>
      <w:r w:rsidR="001A7BFD" w:rsidRPr="00353985">
        <w:instrText xml:space="preserve"> \* MERGEFORMAT </w:instrText>
      </w:r>
      <w:r w:rsidR="001A7BFD" w:rsidRPr="004008BB">
        <w:fldChar w:fldCharType="separate"/>
      </w:r>
      <w:r w:rsidR="005D0B73">
        <w:t>7.6</w:t>
      </w:r>
      <w:r w:rsidR="001A7BFD" w:rsidRPr="004008BB">
        <w:fldChar w:fldCharType="end"/>
      </w:r>
      <w:r w:rsidR="000E3996">
        <w:t xml:space="preserve"> and </w:t>
      </w:r>
      <w:r w:rsidR="000E3996">
        <w:fldChar w:fldCharType="begin"/>
      </w:r>
      <w:r w:rsidR="000E3996">
        <w:instrText xml:space="preserve"> REF _Ref17192468 \r \h </w:instrText>
      </w:r>
      <w:r w:rsidR="000E3996">
        <w:fldChar w:fldCharType="separate"/>
      </w:r>
      <w:r w:rsidR="005D0B73">
        <w:t>9.3</w:t>
      </w:r>
      <w:r w:rsidR="000E3996">
        <w:fldChar w:fldCharType="end"/>
      </w:r>
      <w:r w:rsidR="001A7BFD" w:rsidRPr="00BF42B9">
        <w:t>)</w:t>
      </w:r>
      <w:r w:rsidR="00BF42B9">
        <w:t xml:space="preserve">; </w:t>
      </w:r>
      <w:r w:rsidRPr="00BF42B9">
        <w:t>they may not be available during extreme weather conditions or be a</w:t>
      </w:r>
      <w:r w:rsidRPr="001B747C">
        <w:t>ble to respond to emergencies on the system.</w:t>
      </w:r>
      <w:r w:rsidR="00335781" w:rsidRPr="00335781">
        <w:t xml:space="preserve"> </w:t>
      </w:r>
      <w:r w:rsidR="00335781">
        <w:t>I</w:t>
      </w:r>
      <w:r w:rsidR="00335781" w:rsidRPr="00335781">
        <w:t>SO operating experience a</w:t>
      </w:r>
      <w:r w:rsidR="00335781" w:rsidRPr="00205109">
        <w:t>nd</w:t>
      </w:r>
      <w:r w:rsidR="00BF7893" w:rsidRPr="00CF2B8B">
        <w:t xml:space="preserve"> </w:t>
      </w:r>
      <w:r w:rsidR="00BF7893" w:rsidRPr="00205109">
        <w:t xml:space="preserve">the US </w:t>
      </w:r>
      <w:r w:rsidR="00205109" w:rsidRPr="00CF2B8B">
        <w:t>Department of Energy (D</w:t>
      </w:r>
      <w:r w:rsidR="00BF7893" w:rsidRPr="00205109">
        <w:t>OE</w:t>
      </w:r>
      <w:r w:rsidR="00205109" w:rsidRPr="00CF2B8B">
        <w:t>)</w:t>
      </w:r>
      <w:r w:rsidR="00BF7893" w:rsidRPr="00205109">
        <w:t>’s National Renewable Energy Laboratory</w:t>
      </w:r>
      <w:r w:rsidR="00BF7893" w:rsidRPr="00CF2B8B">
        <w:t xml:space="preserve"> </w:t>
      </w:r>
      <w:r w:rsidR="00205109" w:rsidRPr="00CF2B8B">
        <w:t>(</w:t>
      </w:r>
      <w:r w:rsidR="00335781" w:rsidRPr="00205109">
        <w:t>NREL</w:t>
      </w:r>
      <w:r w:rsidR="00205109" w:rsidRPr="00205109">
        <w:t>)</w:t>
      </w:r>
      <w:r w:rsidR="00335781" w:rsidRPr="00205109">
        <w:t xml:space="preserve"> data show that wind resources reduce to 0 MW output du</w:t>
      </w:r>
      <w:r w:rsidR="00335781" w:rsidRPr="00335781">
        <w:t xml:space="preserve">ring very high or low wind speeds, and PV production is considerably reduced during cloudy conditions. </w:t>
      </w:r>
      <w:r w:rsidRPr="001B747C">
        <w:t xml:space="preserve">Wind speeds are variable, creating a need for natural-gas-fired generators that can ramp up and down quickly to balance fluctuations in supply or demand. The ISO can neither “see” nor dispatch most PV, and none of it helps meet peak winter demand, which happens after the sun has set. Moreover, winter conditions, with snowfall and fewer daylight hours, also dampen solar output. </w:t>
      </w:r>
    </w:p>
    <w:p w14:paraId="76ACEE9C" w14:textId="77777777" w:rsidR="001B747C" w:rsidRPr="001B747C" w:rsidRDefault="001B747C" w:rsidP="001B747C">
      <w:r w:rsidRPr="001B747C">
        <w:t>Limited access to dual-fuel capability across the region and restrictions on oil-fired generation also can exacerbate energy-security issues. Environmental air-emissions permitting for dual-fuel capability is becoming more difficult, and energy production by units burning oil is restricted. These concerns were realized during a cold snap from late December 2017 until early January 2018. During this period, natural gas demand spiked, and in accordance with standard procedures, natural gas pipelines reduced supply to natural-gas-fired generators. Several generators burned oil, and the ISO was actively monitoring the depleting oil inventory to maintain reliability. Fortunately, regional demand was met during the cold snap.</w:t>
      </w:r>
    </w:p>
    <w:p w14:paraId="634ABD19" w14:textId="77777777" w:rsidR="001B747C" w:rsidRPr="001B747C" w:rsidRDefault="001B747C" w:rsidP="00BF3CF1">
      <w:pPr>
        <w:pStyle w:val="Heading4"/>
      </w:pPr>
      <w:r w:rsidRPr="001B747C">
        <w:t>Working toward a Solution</w:t>
      </w:r>
    </w:p>
    <w:p w14:paraId="45454D9C" w14:textId="2F488183" w:rsidR="001B747C" w:rsidRPr="001B747C" w:rsidRDefault="001B747C" w:rsidP="001B747C">
      <w:r w:rsidRPr="001B747C">
        <w:t xml:space="preserve">NERC has formed an Electric-Gas Working Group to develop guidelines for assessing </w:t>
      </w:r>
      <w:r w:rsidR="00606E5E">
        <w:t xml:space="preserve">interdependency concerns between the </w:t>
      </w:r>
      <w:r w:rsidRPr="001B747C">
        <w:t xml:space="preserve">natural gas </w:t>
      </w:r>
      <w:r w:rsidR="00606E5E">
        <w:t xml:space="preserve">sector and </w:t>
      </w:r>
      <w:r w:rsidRPr="001B747C">
        <w:t xml:space="preserve">electric power system. The group will identify new simulation methods and best practices for dealing with energy-security issues. An NPCC study showed that contingencies on the natural gas pipeline system could result in the loss of natural gas-fired generating units in New England. However, the ISO would have sufficient time to prevent cascading electrical outages because the generators would trip sequentially rather than simultaneously. The study also identified the benefits of increased LNG and oil fuels </w:t>
      </w:r>
      <w:r w:rsidR="00873F4B">
        <w:t>for</w:t>
      </w:r>
      <w:r w:rsidRPr="001B747C">
        <w:t xml:space="preserve"> generating units, which could be achieved more readily through firm fuel contracts. In 2017, the ISO conducted a fuel-security study that examined the effects of various generating resource and fuel-mix combinations in the 2025 timeframe on reliable winter operations of the power system. The results for this study showed that energy security is </w:t>
      </w:r>
      <w:r w:rsidRPr="001B747C">
        <w:lastRenderedPageBreak/>
        <w:t>enhanced with an increase in the availability of LNG, dual fuels, renewables, and imports from neighboring regions.</w:t>
      </w:r>
    </w:p>
    <w:p w14:paraId="0EBF383C" w14:textId="77777777" w:rsidR="001B747C" w:rsidRPr="001B747C" w:rsidRDefault="001B747C" w:rsidP="001B747C">
      <w:r w:rsidRPr="001B747C">
        <w:t xml:space="preserve">For well over a decade, the ISO has worked closely with the natural gas industry to improve coordination between gas and electricity sector operations and communications. Contracts for natural gas and oil are among the options in which generators could invest to satisfy performance requirements in the capacity market. Infrastructure build-out by gas suppliers, including LNG or compressed natural gas (CNG) storage would also benefit the New England system. </w:t>
      </w:r>
    </w:p>
    <w:p w14:paraId="58DD121D" w14:textId="265A1720" w:rsidR="001B747C" w:rsidRPr="001B747C" w:rsidRDefault="001B747C" w:rsidP="001B747C">
      <w:r w:rsidRPr="001B747C">
        <w:t xml:space="preserve">The recent expansions of natural gas pipelines were meant to serve local gas distribution company </w:t>
      </w:r>
      <w:r w:rsidRPr="00350733">
        <w:t xml:space="preserve">loads but at times can somewhat help the electric power sector. Several minor expansion projects were or are planned to be commercialized in the near term, bringing the total net contracted transportation capacity into New England to 3.59 billion cubic feet/day (Bcf/d) by November 2020. </w:t>
      </w:r>
      <w:r w:rsidRPr="004B2236">
        <w:t>T</w:t>
      </w:r>
      <w:r w:rsidRPr="001B747C">
        <w:t xml:space="preserve">he realization of other pipelines in various stages of planning and siting seems unlikely, although their development would improve the availability of natural gas to generating units. </w:t>
      </w:r>
    </w:p>
    <w:p w14:paraId="340CC4D8" w14:textId="77777777" w:rsidR="001B747C" w:rsidRPr="001B747C" w:rsidRDefault="001B747C" w:rsidP="001B747C">
      <w:r w:rsidRPr="001B747C">
        <w:t>The ISO improved its situational awareness through surveys of generating units that inform system operations of fuel restrictions and environmental constraints that could limit energy production. The ISO also projects energy market costs and provides them to generating units, which incents them to procure fuel and generate when most needed. Longer term, the energy-security initiative is identify</w:t>
      </w:r>
      <w:r w:rsidR="00CE65F9">
        <w:t>ing</w:t>
      </w:r>
      <w:r w:rsidRPr="001B747C">
        <w:t xml:space="preserve"> market improvements</w:t>
      </w:r>
      <w:r w:rsidR="00CE65F9">
        <w:t xml:space="preserve"> </w:t>
      </w:r>
      <w:r w:rsidRPr="001B747C">
        <w:t>directed at three measures:</w:t>
      </w:r>
      <w:r w:rsidR="00CE65F9" w:rsidRPr="00CE65F9">
        <w:rPr>
          <w:vertAlign w:val="superscript"/>
        </w:rPr>
        <w:t xml:space="preserve"> </w:t>
      </w:r>
      <w:r w:rsidR="00CE65F9" w:rsidRPr="00CE65F9">
        <w:rPr>
          <w:vertAlign w:val="superscript"/>
        </w:rPr>
        <w:footnoteReference w:id="25"/>
      </w:r>
    </w:p>
    <w:p w14:paraId="68E851EE" w14:textId="77777777" w:rsidR="001B747C" w:rsidRPr="001B747C" w:rsidRDefault="001B747C" w:rsidP="001B747C">
      <w:pPr>
        <w:numPr>
          <w:ilvl w:val="0"/>
          <w:numId w:val="761"/>
        </w:numPr>
        <w:spacing w:after="120"/>
        <w:rPr>
          <w:rFonts w:eastAsia="Times New Roman"/>
          <w:szCs w:val="24"/>
        </w:rPr>
      </w:pPr>
      <w:r w:rsidRPr="001B747C">
        <w:rPr>
          <w:rFonts w:eastAsia="Times New Roman"/>
          <w:szCs w:val="24"/>
        </w:rPr>
        <w:t>Strengthening generation owners’ financial incentives to undertake more robust supply arrangements, when cost effective, while not pr</w:t>
      </w:r>
      <w:r w:rsidR="003C27B1">
        <w:rPr>
          <w:rFonts w:eastAsia="Times New Roman"/>
          <w:szCs w:val="24"/>
        </w:rPr>
        <w:t>e</w:t>
      </w:r>
      <w:r w:rsidRPr="001B747C">
        <w:rPr>
          <w:rFonts w:eastAsia="Times New Roman"/>
          <w:szCs w:val="24"/>
        </w:rPr>
        <w:t>scribing what form these supply arrangements may take</w:t>
      </w:r>
    </w:p>
    <w:p w14:paraId="339C11E5" w14:textId="77777777" w:rsidR="001B747C" w:rsidRPr="001B747C" w:rsidRDefault="001B747C" w:rsidP="001B747C">
      <w:pPr>
        <w:numPr>
          <w:ilvl w:val="0"/>
          <w:numId w:val="761"/>
        </w:numPr>
        <w:spacing w:after="120"/>
        <w:rPr>
          <w:rFonts w:eastAsia="Times New Roman"/>
          <w:szCs w:val="24"/>
        </w:rPr>
      </w:pPr>
      <w:r w:rsidRPr="001B747C">
        <w:rPr>
          <w:rFonts w:eastAsia="Times New Roman"/>
          <w:szCs w:val="24"/>
        </w:rPr>
        <w:t>Rewarding resources’ flexibility that helps manage and prepare for energy-supply uncertainties during the operating day, given the increasingly just-in-time nature of the power system’s fuel supply</w:t>
      </w:r>
    </w:p>
    <w:p w14:paraId="05675064" w14:textId="77777777" w:rsidR="001B747C" w:rsidRPr="001B747C" w:rsidRDefault="001B747C" w:rsidP="001B747C">
      <w:pPr>
        <w:numPr>
          <w:ilvl w:val="0"/>
          <w:numId w:val="761"/>
        </w:numPr>
        <w:rPr>
          <w:rFonts w:eastAsia="Times New Roman"/>
          <w:szCs w:val="24"/>
        </w:rPr>
      </w:pPr>
      <w:r w:rsidRPr="001B747C">
        <w:rPr>
          <w:rFonts w:eastAsia="Times New Roman"/>
          <w:szCs w:val="24"/>
        </w:rPr>
        <w:t xml:space="preserve">Efficiently allocating electricity production across multiple days from resources that have limited stored energy sources </w:t>
      </w:r>
    </w:p>
    <w:p w14:paraId="6783C9C4" w14:textId="77777777" w:rsidR="001B747C" w:rsidRPr="001B747C" w:rsidRDefault="001B747C" w:rsidP="001B747C">
      <w:r w:rsidRPr="001B747C">
        <w:t xml:space="preserve">Building on the region’s competitive wholesale electricity structure, the ISO is proposing rule changes that will help signal, through transparent market prices, the costs of operating a reliable power system as the profile of resources comprising the New England fleet continues to evolve. </w:t>
      </w:r>
    </w:p>
    <w:p w14:paraId="45E0624F" w14:textId="42FFB986" w:rsidR="001B747C" w:rsidRPr="001B747C" w:rsidRDefault="001B747C" w:rsidP="00BF3CF1">
      <w:pPr>
        <w:pStyle w:val="Heading3"/>
      </w:pPr>
      <w:bookmarkStart w:id="71" w:name="_Toc8727176"/>
      <w:bookmarkStart w:id="72" w:name="_Toc10116688"/>
      <w:bookmarkStart w:id="73" w:name="_Toc12795140"/>
      <w:r w:rsidRPr="001B747C">
        <w:t>Existing and Pending Environmental Regulations, Emissions Analyses, and Other Studies (</w:t>
      </w:r>
      <w:r w:rsidR="00822696">
        <w:fldChar w:fldCharType="begin"/>
      </w:r>
      <w:r w:rsidR="00822696">
        <w:instrText xml:space="preserve"> REF _Ref418883784 \r \h </w:instrText>
      </w:r>
      <w:r w:rsidR="00B07D57">
        <w:instrText xml:space="preserve"> \* MERGEFORMAT </w:instrText>
      </w:r>
      <w:r w:rsidR="00822696">
        <w:fldChar w:fldCharType="separate"/>
      </w:r>
      <w:r w:rsidR="005D0B73">
        <w:t>Section 8</w:t>
      </w:r>
      <w:r w:rsidR="00822696">
        <w:fldChar w:fldCharType="end"/>
      </w:r>
      <w:r w:rsidRPr="001B747C">
        <w:t>)</w:t>
      </w:r>
      <w:bookmarkEnd w:id="71"/>
      <w:bookmarkEnd w:id="72"/>
      <w:bookmarkEnd w:id="73"/>
    </w:p>
    <w:p w14:paraId="4C283F13" w14:textId="77777777" w:rsidR="001B747C" w:rsidRPr="001B747C" w:rsidRDefault="001B747C" w:rsidP="001B747C">
      <w:r w:rsidRPr="001B747C">
        <w:t>Existing and pending federal, regional, and state environmental regulations 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but uncertainty and risks of delay for permitting and operations may effect generators and transmission facilities.</w:t>
      </w:r>
      <w:r w:rsidRPr="001B747C">
        <w:rPr>
          <w:vertAlign w:val="superscript"/>
        </w:rPr>
        <w:t xml:space="preserve"> </w:t>
      </w:r>
      <w:r w:rsidRPr="001B747C">
        <w:t xml:space="preserve">The integration of various types and amounts of renewable resources may require operational modifications or retrofits at existing fossil generators to provide flexible operation, resulting in additional environmental compliance costs. Based on these and other </w:t>
      </w:r>
      <w:r w:rsidRPr="001B747C">
        <w:lastRenderedPageBreak/>
        <w:t xml:space="preserve">economic factors, some generator owners may determine certain resources are uneconomical and retire their facilities instead of making major investments in environmental compliance measures. </w:t>
      </w:r>
    </w:p>
    <w:p w14:paraId="3F089598" w14:textId="0C23EA72" w:rsidR="001B747C" w:rsidRPr="001B747C" w:rsidRDefault="001B747C" w:rsidP="001B747C">
      <w:r w:rsidRPr="001B747C">
        <w:t xml:space="preserve">The New England states have targets for developing renewable energy supplies and energy efficiency and reducing carbon emissions, resulting in 14,386 MW of solar and wind resources in the ISO’s interconnection queue, as shown in Section </w:t>
      </w:r>
      <w:r w:rsidR="0007331B">
        <w:fldChar w:fldCharType="begin"/>
      </w:r>
      <w:r w:rsidR="0007331B">
        <w:instrText xml:space="preserve"> REF _Ref12110918 \r \h </w:instrText>
      </w:r>
      <w:r w:rsidR="0007331B">
        <w:fldChar w:fldCharType="separate"/>
      </w:r>
      <w:r w:rsidR="005D0B73">
        <w:t>4.5.3.1</w:t>
      </w:r>
      <w:r w:rsidR="0007331B">
        <w:fldChar w:fldCharType="end"/>
      </w:r>
      <w:r w:rsidRPr="001B747C">
        <w:t>. To further help meet the region’s environmental targets, the southern New England states have individually and collectively contracted for</w:t>
      </w:r>
      <w:r w:rsidR="00E53586">
        <w:t xml:space="preserve"> </w:t>
      </w:r>
      <w:r w:rsidRPr="001B747C">
        <w:t>offshore wind</w:t>
      </w:r>
      <w:r w:rsidR="004724ED">
        <w:t xml:space="preserve"> </w:t>
      </w:r>
      <w:r w:rsidRPr="001B747C">
        <w:t xml:space="preserve">resources </w:t>
      </w:r>
      <w:r w:rsidR="00AD3541">
        <w:t xml:space="preserve">and </w:t>
      </w:r>
      <w:r w:rsidRPr="001B747C">
        <w:t>a new tie to Hydro-Québec intended to deliver hydro power</w:t>
      </w:r>
      <w:r w:rsidR="00E53586">
        <w:t>,</w:t>
      </w:r>
      <w:r w:rsidR="00A77AD4">
        <w:t xml:space="preserve"> </w:t>
      </w:r>
      <w:r w:rsidR="004724ED">
        <w:t xml:space="preserve">as discussed in Section </w:t>
      </w:r>
      <w:r w:rsidR="004724ED">
        <w:fldChar w:fldCharType="begin"/>
      </w:r>
      <w:r w:rsidR="004724ED">
        <w:instrText xml:space="preserve"> REF _Ref16844307 \r \h </w:instrText>
      </w:r>
      <w:r w:rsidR="004724ED">
        <w:fldChar w:fldCharType="separate"/>
      </w:r>
      <w:r w:rsidR="005D0B73">
        <w:t>10.2</w:t>
      </w:r>
      <w:r w:rsidR="004724ED">
        <w:fldChar w:fldCharType="end"/>
      </w:r>
      <w:r w:rsidRPr="001B747C">
        <w:t xml:space="preserve">. The long-term growth of demand resources, energy storage, microgrids, and electrification of demand is also anticipated as a means of lowering carbon emissions to meet state targets. </w:t>
      </w:r>
    </w:p>
    <w:p w14:paraId="475FABF4" w14:textId="77777777" w:rsidR="001B747C" w:rsidRPr="001B747C" w:rsidRDefault="001B747C" w:rsidP="001B747C">
      <w:r w:rsidRPr="001B747C">
        <w:t xml:space="preserve">Regional generator air emissions remain relatively low compared with historical levels, due to the generation fuel mix, including—in order of the percentage share of 2017 annual energy production—natural gas, nuclear, hydro, wind, other fuel type (landfill gas, methane, refuse, solar, steam, and wood), oil, and coal. Higher emissions, however, occur during the winter months because of coal and oil use by generators when natural gas is more expensive or in limited supply. The retirement of nuclear units would tend to increase regional emissions, but the addition of low- or zero-emitting resources would tend to reduce emissions in the long term. </w:t>
      </w:r>
    </w:p>
    <w:p w14:paraId="3C549146" w14:textId="06097773" w:rsidR="001B747C" w:rsidRPr="00607829" w:rsidRDefault="001B747C" w:rsidP="00BF3CF1">
      <w:pPr>
        <w:pStyle w:val="Heading3"/>
      </w:pPr>
      <w:bookmarkStart w:id="74" w:name="_Toc8727177"/>
      <w:bookmarkStart w:id="75" w:name="_Toc10116689"/>
      <w:bookmarkStart w:id="76" w:name="_Toc12795141"/>
      <w:r w:rsidRPr="00607829">
        <w:t>Grid Transformation (</w:t>
      </w:r>
      <w:r w:rsidR="00822696" w:rsidRPr="00607829">
        <w:fldChar w:fldCharType="begin"/>
      </w:r>
      <w:r w:rsidR="00822696" w:rsidRPr="00607829">
        <w:instrText xml:space="preserve"> REF _Ref418883814 \r \h </w:instrText>
      </w:r>
      <w:r w:rsidR="00214E16" w:rsidRPr="00607829">
        <w:instrText xml:space="preserve"> \* MERGEFORMAT </w:instrText>
      </w:r>
      <w:r w:rsidR="00822696" w:rsidRPr="00607829">
        <w:fldChar w:fldCharType="separate"/>
      </w:r>
      <w:r w:rsidR="005D0B73">
        <w:t>Section 9</w:t>
      </w:r>
      <w:r w:rsidR="00822696" w:rsidRPr="00607829">
        <w:fldChar w:fldCharType="end"/>
      </w:r>
      <w:r w:rsidRPr="00607829">
        <w:t>)</w:t>
      </w:r>
      <w:bookmarkEnd w:id="74"/>
      <w:bookmarkEnd w:id="75"/>
      <w:bookmarkEnd w:id="76"/>
    </w:p>
    <w:p w14:paraId="1355F7E9" w14:textId="10FE709B" w:rsidR="001B747C" w:rsidRPr="001B747C" w:rsidRDefault="001B747C" w:rsidP="001B747C">
      <w:r w:rsidRPr="001B747C">
        <w:t xml:space="preserve">Environmental laws, regulations, policies, and targets; economics; and a desire for grid resiliency continue transforming the electric power grid into one that uses increasing amounts of renewable resources, imports from neighboring regions, and FACTS technologies. All the changes to the resource mix and transmission system present physical challenges to planning and operating the electric power system that must be addressed. Energy production’s dependence on variable energy resources, coupled with the ISO’s reduced ability to observe and </w:t>
      </w:r>
      <w:r w:rsidRPr="008B3A50">
        <w:t xml:space="preserve">control </w:t>
      </w:r>
      <w:r w:rsidRPr="00FF2328">
        <w:t>distributed energy resources</w:t>
      </w:r>
      <w:r w:rsidRPr="008B3A50">
        <w:t>, i</w:t>
      </w:r>
      <w:r w:rsidRPr="001B747C">
        <w:t>ncreases the need for a flexible system response, including additional voltage regulation, ramping, regulation, and reserves. High amounts of inverter-based technologies present protection and control issues. The growth of DERs means that the distribution system will be operated in new ways, and interactions with the transmission system will become increasingly important.</w:t>
      </w:r>
      <w:r w:rsidR="00DE5ED8">
        <w:t xml:space="preserve"> </w:t>
      </w:r>
      <w:r w:rsidR="00920128">
        <w:t>High-voltage, direct curren</w:t>
      </w:r>
      <w:r w:rsidR="00920128" w:rsidRPr="00E36BA1">
        <w:t>t (</w:t>
      </w:r>
      <w:r w:rsidR="00DE5ED8" w:rsidRPr="00E36BA1">
        <w:t>HVDC</w:t>
      </w:r>
      <w:r w:rsidR="00920128" w:rsidRPr="00E53586">
        <w:t>)</w:t>
      </w:r>
      <w:r w:rsidR="00DE5ED8" w:rsidRPr="00E36BA1">
        <w:t xml:space="preserve"> and </w:t>
      </w:r>
      <w:r w:rsidR="00E36BA1" w:rsidRPr="00E53586">
        <w:t>FACTS</w:t>
      </w:r>
      <w:r w:rsidR="00E36BA1" w:rsidRPr="00E36BA1">
        <w:t xml:space="preserve"> app</w:t>
      </w:r>
      <w:r w:rsidR="00E36BA1">
        <w:t>lications</w:t>
      </w:r>
      <w:r w:rsidR="00920128">
        <w:t xml:space="preserve"> </w:t>
      </w:r>
      <w:r w:rsidR="00DE5ED8">
        <w:t>present opportunities for improving system performance, but technical issues must be addressed to ensure their successful operation and planning.</w:t>
      </w:r>
    </w:p>
    <w:p w14:paraId="64145213" w14:textId="77777777" w:rsidR="001B747C" w:rsidRPr="001B747C" w:rsidRDefault="001B747C" w:rsidP="00BF3CF1">
      <w:pPr>
        <w:pStyle w:val="Heading4"/>
      </w:pPr>
      <w:r w:rsidRPr="001B747C">
        <w:t>Industry Studies</w:t>
      </w:r>
    </w:p>
    <w:p w14:paraId="7A9D9816" w14:textId="77777777" w:rsidR="001B747C" w:rsidRPr="001B747C" w:rsidRDefault="001B747C" w:rsidP="001B747C">
      <w:r w:rsidRPr="001B747C">
        <w:t>Studies and whitepapers by the US Department of Energy</w:t>
      </w:r>
      <w:r w:rsidR="0056449C">
        <w:t>,</w:t>
      </w:r>
      <w:r w:rsidRPr="001B747C">
        <w:t xml:space="preserve"> Electric Power Research Institute (EPRI), NERC, EIPC, and NPCC have helped frame many of the grid</w:t>
      </w:r>
      <w:r w:rsidR="00D12018">
        <w:t>-</w:t>
      </w:r>
      <w:r w:rsidRPr="001B747C">
        <w:t>transformation issues and have suggested how to address them, such as through the following actions:</w:t>
      </w:r>
    </w:p>
    <w:p w14:paraId="0AE0877F" w14:textId="77777777" w:rsidR="001B747C" w:rsidRPr="001B747C" w:rsidRDefault="001B747C" w:rsidP="001B747C">
      <w:pPr>
        <w:numPr>
          <w:ilvl w:val="0"/>
          <w:numId w:val="731"/>
        </w:numPr>
        <w:spacing w:after="120"/>
        <w:rPr>
          <w:rFonts w:eastAsia="Times New Roman"/>
          <w:szCs w:val="24"/>
        </w:rPr>
      </w:pPr>
      <w:r w:rsidRPr="001B747C">
        <w:rPr>
          <w:rFonts w:eastAsia="Times New Roman"/>
          <w:szCs w:val="24"/>
        </w:rPr>
        <w:t>Improved coordination of operations and planning between the transmission and distribution grid operators</w:t>
      </w:r>
    </w:p>
    <w:p w14:paraId="62BABE38" w14:textId="77777777" w:rsidR="001B747C" w:rsidRPr="001B747C" w:rsidRDefault="001B747C" w:rsidP="001B747C">
      <w:pPr>
        <w:numPr>
          <w:ilvl w:val="0"/>
          <w:numId w:val="731"/>
        </w:numPr>
        <w:spacing w:after="120"/>
        <w:rPr>
          <w:rFonts w:eastAsia="Times New Roman"/>
          <w:szCs w:val="24"/>
        </w:rPr>
      </w:pPr>
      <w:r w:rsidRPr="001B747C">
        <w:rPr>
          <w:rFonts w:eastAsia="Times New Roman"/>
          <w:szCs w:val="24"/>
        </w:rPr>
        <w:t>Enhanced situational awareness by better forecasting variable energy resource production and demand response, using phasor measurement units and new methods of estimating the state of the system, analyzing operational security, and planning system improvements for reliability</w:t>
      </w:r>
    </w:p>
    <w:p w14:paraId="31205531" w14:textId="77777777" w:rsidR="001B747C" w:rsidRPr="001B747C" w:rsidRDefault="001B747C" w:rsidP="001B747C">
      <w:pPr>
        <w:numPr>
          <w:ilvl w:val="0"/>
          <w:numId w:val="731"/>
        </w:numPr>
        <w:spacing w:after="120"/>
        <w:rPr>
          <w:rFonts w:eastAsia="Times New Roman"/>
          <w:szCs w:val="24"/>
        </w:rPr>
      </w:pPr>
      <w:r w:rsidRPr="001B747C">
        <w:rPr>
          <w:rFonts w:eastAsia="Times New Roman"/>
          <w:szCs w:val="24"/>
        </w:rPr>
        <w:t xml:space="preserve">The addition of flexible resources, including batteries and other types of storage resources, demand response, and specific controls in inverter-based resources </w:t>
      </w:r>
    </w:p>
    <w:p w14:paraId="40711364" w14:textId="77777777" w:rsidR="001B747C" w:rsidRPr="00F412D9" w:rsidRDefault="001B747C" w:rsidP="001B747C">
      <w:pPr>
        <w:numPr>
          <w:ilvl w:val="0"/>
          <w:numId w:val="731"/>
        </w:numPr>
        <w:spacing w:after="120"/>
        <w:rPr>
          <w:rFonts w:eastAsia="Times New Roman"/>
          <w:szCs w:val="24"/>
        </w:rPr>
      </w:pPr>
      <w:r w:rsidRPr="00F412D9">
        <w:rPr>
          <w:rFonts w:eastAsia="Times New Roman"/>
          <w:szCs w:val="24"/>
        </w:rPr>
        <w:t>Modern interconnection standards for wind and distributed energy resources that minimize the adverse effects on transmission system performance by reflecting voltage and frequency ride-</w:t>
      </w:r>
      <w:r w:rsidRPr="00F412D9">
        <w:rPr>
          <w:rFonts w:eastAsia="Times New Roman"/>
          <w:szCs w:val="24"/>
        </w:rPr>
        <w:lastRenderedPageBreak/>
        <w:t>through characteristics and allowing for “smart-inverter” interconnections, which can provide ancillary services</w:t>
      </w:r>
      <w:r w:rsidRPr="00F412D9">
        <w:rPr>
          <w:rFonts w:eastAsia="Times New Roman"/>
          <w:szCs w:val="24"/>
          <w:vertAlign w:val="superscript"/>
        </w:rPr>
        <w:footnoteReference w:id="26"/>
      </w:r>
    </w:p>
    <w:p w14:paraId="4D01ADF5" w14:textId="1D6C96A5" w:rsidR="001B747C" w:rsidRPr="00F412D9" w:rsidRDefault="001B747C" w:rsidP="00BF7893">
      <w:pPr>
        <w:numPr>
          <w:ilvl w:val="0"/>
          <w:numId w:val="731"/>
        </w:numPr>
        <w:spacing w:after="120"/>
        <w:rPr>
          <w:rFonts w:eastAsia="Times New Roman"/>
          <w:szCs w:val="24"/>
        </w:rPr>
      </w:pPr>
      <w:r w:rsidRPr="00F412D9">
        <w:rPr>
          <w:rFonts w:eastAsia="Times New Roman"/>
          <w:szCs w:val="24"/>
        </w:rPr>
        <w:t>Adaptive protection and control-system upgrades that perform under variable short-circuit conditions</w:t>
      </w:r>
    </w:p>
    <w:p w14:paraId="69DBFAED" w14:textId="57517F2B" w:rsidR="00DE5ED8" w:rsidRPr="00F412D9" w:rsidRDefault="00DE5ED8" w:rsidP="00BF7893">
      <w:pPr>
        <w:numPr>
          <w:ilvl w:val="0"/>
          <w:numId w:val="731"/>
        </w:numPr>
        <w:spacing w:after="120"/>
        <w:rPr>
          <w:rFonts w:eastAsia="Times New Roman"/>
          <w:szCs w:val="24"/>
        </w:rPr>
      </w:pPr>
      <w:r w:rsidRPr="00F412D9">
        <w:rPr>
          <w:rFonts w:eastAsia="Times New Roman"/>
          <w:szCs w:val="24"/>
        </w:rPr>
        <w:t>Smart</w:t>
      </w:r>
      <w:r w:rsidR="00F412D9" w:rsidRPr="00E53586">
        <w:rPr>
          <w:rFonts w:eastAsia="Times New Roman"/>
          <w:szCs w:val="24"/>
        </w:rPr>
        <w:t>-</w:t>
      </w:r>
      <w:r w:rsidRPr="00F412D9">
        <w:rPr>
          <w:rFonts w:eastAsia="Times New Roman"/>
          <w:szCs w:val="24"/>
        </w:rPr>
        <w:t>inverter applications can provide ancillary services, increase hosting capacity of DERs, improve power quality, provide voltage regulation, and enhance overall system resiliency and economic performance. Applications of this technology exist, further improvements are underway, and barriers to applications are being overcome.</w:t>
      </w:r>
    </w:p>
    <w:p w14:paraId="547B668C" w14:textId="77777777" w:rsidR="001B747C" w:rsidRPr="001B747C" w:rsidRDefault="001B747C" w:rsidP="001B747C">
      <w:pPr>
        <w:numPr>
          <w:ilvl w:val="0"/>
          <w:numId w:val="731"/>
        </w:numPr>
        <w:rPr>
          <w:rFonts w:eastAsia="Times New Roman"/>
          <w:szCs w:val="24"/>
        </w:rPr>
      </w:pPr>
      <w:r w:rsidRPr="001B747C">
        <w:rPr>
          <w:rFonts w:eastAsia="Times New Roman"/>
          <w:szCs w:val="24"/>
        </w:rPr>
        <w:t>Engagement with professional organizations, such as the Institute of Electrical and Electronics Engineers (IEEE), International Council on Large Electric Systems (CIGRE), and the Power Systems Engineering Research Center (PSERC), as well as EPRI, DOE, and other agencies, which provide forums for educating the technical and nontechnical communities</w:t>
      </w:r>
      <w:r w:rsidR="00B707AC">
        <w:rPr>
          <w:rFonts w:eastAsia="Times New Roman"/>
          <w:szCs w:val="24"/>
        </w:rPr>
        <w:t xml:space="preserve"> </w:t>
      </w:r>
    </w:p>
    <w:p w14:paraId="1D19DAD5" w14:textId="77777777" w:rsidR="001B747C" w:rsidRPr="001B747C" w:rsidRDefault="001B747C" w:rsidP="00BF3CF1">
      <w:pPr>
        <w:pStyle w:val="Heading4"/>
      </w:pPr>
      <w:r w:rsidRPr="001B747C">
        <w:t>ISO Actions</w:t>
      </w:r>
    </w:p>
    <w:p w14:paraId="03ECEC48" w14:textId="77777777" w:rsidR="001B747C" w:rsidRPr="001B747C" w:rsidRDefault="001B747C" w:rsidP="001B747C">
      <w:r w:rsidRPr="001B747C">
        <w:t xml:space="preserve">In addition to participating in professional organization activities, the ISO has taken a number of </w:t>
      </w:r>
      <w:r w:rsidR="003A10C0">
        <w:t xml:space="preserve">other </w:t>
      </w:r>
      <w:r w:rsidRPr="001B747C">
        <w:t>actions to address technical issues associated with transforming the grid, and it continuously explores new methodologies and tools for analyzing the system and developing solutions to the challenges presented. Regional stakeholder groups have improved the coordination between the transmission and distribution systems, and a special PAC meeting held in May 2019, with presentations by industry leaders, discussed the physical, business, and regulatory issues of grid transformation.</w:t>
      </w:r>
      <w:r w:rsidRPr="001B747C">
        <w:rPr>
          <w:vertAlign w:val="superscript"/>
        </w:rPr>
        <w:footnoteReference w:id="27"/>
      </w:r>
      <w:r w:rsidRPr="001B747C">
        <w:t xml:space="preserve"> Situational awareness, which is vital for the ISO’s system security calculations, has improved through the following measures that reflect industry recommendations:</w:t>
      </w:r>
    </w:p>
    <w:p w14:paraId="333143E6" w14:textId="77777777" w:rsidR="001B747C" w:rsidRPr="001B747C" w:rsidRDefault="001B747C" w:rsidP="001B747C">
      <w:pPr>
        <w:numPr>
          <w:ilvl w:val="0"/>
          <w:numId w:val="760"/>
        </w:numPr>
        <w:spacing w:after="120"/>
        <w:rPr>
          <w:rFonts w:eastAsia="Times New Roman"/>
          <w:szCs w:val="24"/>
        </w:rPr>
      </w:pPr>
      <w:r w:rsidRPr="001B747C">
        <w:rPr>
          <w:rFonts w:eastAsia="Times New Roman"/>
          <w:szCs w:val="24"/>
        </w:rPr>
        <w:t>Periodic surveys of distribution owners that identify the amounts and locations of PV</w:t>
      </w:r>
    </w:p>
    <w:p w14:paraId="04069BCF" w14:textId="77777777" w:rsidR="001B747C" w:rsidRPr="001B747C" w:rsidRDefault="001B747C" w:rsidP="001B747C">
      <w:pPr>
        <w:numPr>
          <w:ilvl w:val="0"/>
          <w:numId w:val="760"/>
        </w:numPr>
        <w:spacing w:after="120"/>
        <w:rPr>
          <w:rFonts w:eastAsia="Times New Roman"/>
          <w:szCs w:val="24"/>
        </w:rPr>
      </w:pPr>
      <w:r w:rsidRPr="001B747C">
        <w:rPr>
          <w:rFonts w:eastAsia="Times New Roman"/>
          <w:szCs w:val="24"/>
        </w:rPr>
        <w:t>Application of phasor measurement units to provide key system information, improve state-estimation calculations, and enhance system models</w:t>
      </w:r>
    </w:p>
    <w:p w14:paraId="0C941218" w14:textId="77777777" w:rsidR="001B747C" w:rsidRPr="001B747C" w:rsidRDefault="001B747C" w:rsidP="001B747C">
      <w:pPr>
        <w:numPr>
          <w:ilvl w:val="0"/>
          <w:numId w:val="760"/>
        </w:numPr>
        <w:rPr>
          <w:rFonts w:eastAsia="Times New Roman"/>
          <w:szCs w:val="24"/>
        </w:rPr>
      </w:pPr>
      <w:r w:rsidRPr="001B747C">
        <w:rPr>
          <w:rFonts w:eastAsia="Times New Roman"/>
          <w:szCs w:val="24"/>
        </w:rPr>
        <w:t xml:space="preserve">Use of state-of-the-art, short-term forecasting tools that provide expected outputs of PV and wind generating units </w:t>
      </w:r>
    </w:p>
    <w:p w14:paraId="2786D78C" w14:textId="45E55538" w:rsidR="001B747C" w:rsidRPr="001B747C" w:rsidRDefault="001B747C" w:rsidP="001B747C">
      <w:r w:rsidRPr="001B747C">
        <w:t>The ISO has also improved planning processes and study methodologies</w:t>
      </w:r>
      <w:r w:rsidR="00633DFD">
        <w:t xml:space="preserve"> </w:t>
      </w:r>
      <w:r w:rsidR="00633F69">
        <w:t xml:space="preserve">for </w:t>
      </w:r>
      <w:r w:rsidR="00633DFD">
        <w:t>assessing the expected impacts of emerging technologies associated with the strategic electrification initiatives of the New England states</w:t>
      </w:r>
      <w:r w:rsidRPr="001B747C">
        <w:t>. The addition of a clustering approach in the ISO’s interconnection procedures is facilitating the addition of new resources, including wind generation projects. Improved models of wind and PV are better reflecting anticipated system performance, and the use of high-speed cloud computing facilitate</w:t>
      </w:r>
      <w:r w:rsidR="002457E7">
        <w:t>s</w:t>
      </w:r>
      <w:r w:rsidRPr="001B747C">
        <w:t xml:space="preserve"> and expedite</w:t>
      </w:r>
      <w:r w:rsidR="002457E7">
        <w:t>s</w:t>
      </w:r>
      <w:r w:rsidRPr="001B747C">
        <w:t xml:space="preserve"> studies.</w:t>
      </w:r>
    </w:p>
    <w:p w14:paraId="7B07CB81" w14:textId="77777777" w:rsidR="001B747C" w:rsidRPr="001B747C" w:rsidRDefault="001B747C" w:rsidP="001B747C">
      <w:r w:rsidRPr="001B747C">
        <w:t xml:space="preserve">The ISO also has adopted a number of practices to ensure the reliable integration of new inverter-based resources, including the use of </w:t>
      </w:r>
      <w:r w:rsidR="003A10C0">
        <w:t>advanced</w:t>
      </w:r>
      <w:r w:rsidRPr="001B747C">
        <w:t xml:space="preserve"> models that capture device performance and the confirmation of appropriate ride-through and response capabilities of wind generators, large-scale PV, and DER</w:t>
      </w:r>
      <w:r w:rsidR="00AC54C0">
        <w:t>s</w:t>
      </w:r>
      <w:r w:rsidRPr="001B747C">
        <w:t>. The ISO actively participates in developing industry standards, including IEEE 1547—</w:t>
      </w:r>
      <w:r w:rsidRPr="001B747C">
        <w:rPr>
          <w:i/>
        </w:rPr>
        <w:t xml:space="preserve">Standard for the </w:t>
      </w:r>
      <w:r w:rsidRPr="001B747C">
        <w:rPr>
          <w:i/>
        </w:rPr>
        <w:lastRenderedPageBreak/>
        <w:t>Interconnection of Distributed Resources with Electric Power Systems</w:t>
      </w:r>
      <w:r w:rsidRPr="001B747C">
        <w:t>, which ensures that increased amounts of PV can be reliably and economically interconnected to the distribution system.</w:t>
      </w:r>
      <w:r w:rsidRPr="001B747C">
        <w:rPr>
          <w:vertAlign w:val="superscript"/>
        </w:rPr>
        <w:footnoteReference w:id="28"/>
      </w:r>
      <w:r w:rsidRPr="001B747C">
        <w:t xml:space="preserve"> In 2018, the New England states adopted the voltage and frequency ride-through provisions of the final approved IEEE Standard 1547-2018. The testing standards for inverters are scheduled for revision no earlier than 2020.</w:t>
      </w:r>
    </w:p>
    <w:p w14:paraId="75171629" w14:textId="77777777" w:rsidR="001B747C" w:rsidRPr="001B747C" w:rsidRDefault="001B747C" w:rsidP="001B747C">
      <w:r w:rsidRPr="001B747C">
        <w:t xml:space="preserve">Changes in the ISO’s administration of the wholesale electricity markets, as follows, have improved operational security and flexibility: </w:t>
      </w:r>
    </w:p>
    <w:p w14:paraId="11BA1E4E" w14:textId="77777777" w:rsidR="001B747C" w:rsidRPr="001B747C" w:rsidRDefault="001B747C" w:rsidP="001B747C">
      <w:pPr>
        <w:numPr>
          <w:ilvl w:val="0"/>
          <w:numId w:val="732"/>
        </w:numPr>
        <w:spacing w:after="120"/>
        <w:rPr>
          <w:rFonts w:eastAsia="Times New Roman"/>
          <w:szCs w:val="24"/>
        </w:rPr>
      </w:pPr>
      <w:r w:rsidRPr="001B747C">
        <w:rPr>
          <w:rFonts w:eastAsia="Times New Roman"/>
          <w:szCs w:val="24"/>
        </w:rPr>
        <w:t>Do-not-exceed dispatch for VERs, which enhances system reliability and reduces the extent of spilled resources</w:t>
      </w:r>
      <w:r w:rsidRPr="001B747C">
        <w:rPr>
          <w:rFonts w:eastAsia="Times New Roman"/>
          <w:szCs w:val="24"/>
          <w:vertAlign w:val="superscript"/>
        </w:rPr>
        <w:footnoteReference w:id="29"/>
      </w:r>
    </w:p>
    <w:p w14:paraId="2C29501B" w14:textId="77777777" w:rsidR="001B747C" w:rsidRPr="001B747C" w:rsidRDefault="001B747C" w:rsidP="001B747C">
      <w:pPr>
        <w:numPr>
          <w:ilvl w:val="0"/>
          <w:numId w:val="732"/>
        </w:numPr>
        <w:spacing w:after="120"/>
        <w:rPr>
          <w:rFonts w:eastAsia="Times New Roman"/>
          <w:szCs w:val="24"/>
        </w:rPr>
      </w:pPr>
      <w:r w:rsidRPr="001B747C">
        <w:rPr>
          <w:rFonts w:eastAsia="Times New Roman"/>
          <w:szCs w:val="24"/>
        </w:rPr>
        <w:t xml:space="preserve">Fast-start pricing that encourages increases in generation outputs, which meet ramping requirements that occur later in the afternoon </w:t>
      </w:r>
    </w:p>
    <w:p w14:paraId="47F2F75F" w14:textId="77777777" w:rsidR="001B747C" w:rsidRPr="001B747C" w:rsidRDefault="001B747C" w:rsidP="001B747C">
      <w:pPr>
        <w:numPr>
          <w:ilvl w:val="0"/>
          <w:numId w:val="732"/>
        </w:numPr>
        <w:spacing w:after="120"/>
        <w:rPr>
          <w:rFonts w:eastAsia="Times New Roman"/>
          <w:szCs w:val="24"/>
        </w:rPr>
      </w:pPr>
      <w:r w:rsidRPr="001B747C">
        <w:rPr>
          <w:rFonts w:eastAsia="Times New Roman"/>
          <w:szCs w:val="24"/>
        </w:rPr>
        <w:t>Negative pricing in the energy markets, which reduces overgeneration on the system</w:t>
      </w:r>
    </w:p>
    <w:p w14:paraId="4F08D000" w14:textId="77777777" w:rsidR="001B747C" w:rsidRPr="001B747C" w:rsidRDefault="001B747C" w:rsidP="001B747C">
      <w:pPr>
        <w:numPr>
          <w:ilvl w:val="0"/>
          <w:numId w:val="732"/>
        </w:numPr>
        <w:spacing w:after="120"/>
        <w:rPr>
          <w:rFonts w:eastAsia="Times New Roman"/>
          <w:szCs w:val="24"/>
        </w:rPr>
      </w:pPr>
      <w:r w:rsidRPr="001B747C">
        <w:rPr>
          <w:rFonts w:eastAsia="Times New Roman"/>
          <w:szCs w:val="24"/>
        </w:rPr>
        <w:t>Improved models of PV, which are reflected in ICR calculations</w:t>
      </w:r>
    </w:p>
    <w:p w14:paraId="20207DB3" w14:textId="77777777" w:rsidR="001B747C" w:rsidRPr="001B747C" w:rsidRDefault="001B747C" w:rsidP="001B747C">
      <w:pPr>
        <w:numPr>
          <w:ilvl w:val="0"/>
          <w:numId w:val="732"/>
        </w:numPr>
        <w:spacing w:after="120"/>
        <w:rPr>
          <w:rFonts w:eastAsia="Times New Roman"/>
          <w:szCs w:val="24"/>
        </w:rPr>
      </w:pPr>
      <w:r w:rsidRPr="001B747C">
        <w:rPr>
          <w:rFonts w:eastAsia="Times New Roman"/>
          <w:szCs w:val="24"/>
        </w:rPr>
        <w:t>Price-responsive demand resources, which provide price elasticity in the energy market</w:t>
      </w:r>
    </w:p>
    <w:p w14:paraId="1982EC82" w14:textId="0A104F86" w:rsidR="001B747C" w:rsidRPr="001B747C" w:rsidRDefault="001B747C" w:rsidP="001B747C">
      <w:pPr>
        <w:numPr>
          <w:ilvl w:val="0"/>
          <w:numId w:val="732"/>
        </w:numPr>
        <w:rPr>
          <w:rFonts w:eastAsia="Times New Roman"/>
          <w:szCs w:val="24"/>
        </w:rPr>
      </w:pPr>
      <w:r w:rsidRPr="001B747C">
        <w:rPr>
          <w:rFonts w:eastAsia="Times New Roman"/>
          <w:szCs w:val="24"/>
        </w:rPr>
        <w:t>Recognition of the physical and operational characteristics of all types of electric</w:t>
      </w:r>
      <w:r w:rsidR="00F90873">
        <w:rPr>
          <w:rFonts w:eastAsia="Times New Roman"/>
          <w:szCs w:val="24"/>
        </w:rPr>
        <w:t>-</w:t>
      </w:r>
      <w:r w:rsidRPr="001B747C">
        <w:rPr>
          <w:rFonts w:eastAsia="Times New Roman"/>
          <w:szCs w:val="24"/>
        </w:rPr>
        <w:t>storage r</w:t>
      </w:r>
      <w:r w:rsidRPr="008B0315">
        <w:rPr>
          <w:rFonts w:eastAsia="Times New Roman"/>
          <w:szCs w:val="24"/>
        </w:rPr>
        <w:t xml:space="preserve">esources that better facilitate their participation in the markets </w:t>
      </w:r>
      <w:r w:rsidR="00DE5ED8" w:rsidRPr="008B0315">
        <w:rPr>
          <w:rFonts w:eastAsia="Times New Roman"/>
          <w:szCs w:val="24"/>
        </w:rPr>
        <w:t>and can be coupled with variable energy resources to im</w:t>
      </w:r>
      <w:r w:rsidR="00DE5ED8">
        <w:rPr>
          <w:rFonts w:eastAsia="Times New Roman"/>
          <w:szCs w:val="24"/>
        </w:rPr>
        <w:t>prove consistency of supply</w:t>
      </w:r>
    </w:p>
    <w:p w14:paraId="4EB7FEB5" w14:textId="77777777" w:rsidR="001B747C" w:rsidRPr="001B747C" w:rsidRDefault="001B747C" w:rsidP="00BF3CF1">
      <w:pPr>
        <w:pStyle w:val="Heading4"/>
      </w:pPr>
      <w:r w:rsidRPr="001B747C">
        <w:t>ISO Studies and Results</w:t>
      </w:r>
    </w:p>
    <w:p w14:paraId="03B34A89" w14:textId="77777777" w:rsidR="001B747C" w:rsidRPr="001B747C" w:rsidRDefault="001B747C" w:rsidP="001B747C">
      <w:r w:rsidRPr="001B747C">
        <w:t>Economic studies provide a common framework for stakeholder discussions on several issues facing the New England region and the need for physical infrastructure and improvements to the wholesale electricity markets.</w:t>
      </w:r>
      <w:r w:rsidRPr="001B747C">
        <w:rPr>
          <w:vertAlign w:val="superscript"/>
        </w:rPr>
        <w:footnoteReference w:id="30"/>
      </w:r>
      <w:r w:rsidRPr="001B747C">
        <w:t xml:space="preserve"> For example, economic studies inform policymakers of the potential benefits of transmission expansion to support the delivery of wind energy. The ISO participates in many studies and has conducted several that have shown how the large-scale development of renewables in the region affects system performance. The ISO’s 2016 Economic Study examined six different scenarios for 2025 and 2030, which showed the following results:</w:t>
      </w:r>
      <w:r w:rsidRPr="001B747C">
        <w:rPr>
          <w:vertAlign w:val="superscript"/>
        </w:rPr>
        <w:footnoteReference w:id="31"/>
      </w:r>
    </w:p>
    <w:p w14:paraId="103F2903" w14:textId="77777777"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Natural gas will remain an important source of fuel for electric power generators. </w:t>
      </w:r>
    </w:p>
    <w:p w14:paraId="62151741" w14:textId="642A6940"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The development of resources near load centers, such as southern New England, and at retired generation sites </w:t>
      </w:r>
      <w:r w:rsidR="00DE5ED8">
        <w:rPr>
          <w:rFonts w:eastAsia="Times New Roman"/>
          <w:szCs w:val="24"/>
        </w:rPr>
        <w:t xml:space="preserve">generally </w:t>
      </w:r>
      <w:r w:rsidRPr="001B747C">
        <w:rPr>
          <w:rFonts w:eastAsia="Times New Roman"/>
          <w:szCs w:val="24"/>
        </w:rPr>
        <w:t xml:space="preserve">requires little transmission development. Conversely, significant transmission investment will be required to incorporate large amounts of renewable energy </w:t>
      </w:r>
      <w:r w:rsidRPr="00854834">
        <w:rPr>
          <w:rFonts w:eastAsia="Times New Roman"/>
          <w:szCs w:val="24"/>
        </w:rPr>
        <w:t xml:space="preserve">resources </w:t>
      </w:r>
      <w:r w:rsidR="00C83413" w:rsidRPr="00854834">
        <w:rPr>
          <w:rFonts w:eastAsia="Times New Roman"/>
          <w:szCs w:val="24"/>
        </w:rPr>
        <w:t xml:space="preserve">well exceeding demand in load centers or </w:t>
      </w:r>
      <w:r w:rsidRPr="001B747C">
        <w:rPr>
          <w:rFonts w:eastAsia="Times New Roman"/>
          <w:szCs w:val="24"/>
        </w:rPr>
        <w:t xml:space="preserve">areas further from load centers. </w:t>
      </w:r>
    </w:p>
    <w:p w14:paraId="5E29F72C" w14:textId="77777777" w:rsidR="001B747C" w:rsidRPr="001B747C" w:rsidRDefault="001B747C" w:rsidP="001B747C">
      <w:pPr>
        <w:numPr>
          <w:ilvl w:val="0"/>
          <w:numId w:val="67"/>
        </w:numPr>
        <w:spacing w:after="120"/>
        <w:rPr>
          <w:rFonts w:eastAsia="Times New Roman"/>
          <w:szCs w:val="24"/>
        </w:rPr>
      </w:pPr>
      <w:r w:rsidRPr="001B747C">
        <w:rPr>
          <w:rFonts w:eastAsia="Times New Roman"/>
          <w:szCs w:val="24"/>
        </w:rPr>
        <w:lastRenderedPageBreak/>
        <w:t>The large-scale development of renewable resources could increase spillage even with</w:t>
      </w:r>
      <w:r w:rsidR="00BF7893">
        <w:rPr>
          <w:rFonts w:eastAsia="Times New Roman"/>
          <w:szCs w:val="24"/>
        </w:rPr>
        <w:t xml:space="preserve"> </w:t>
      </w:r>
      <w:r w:rsidRPr="001B747C">
        <w:rPr>
          <w:rFonts w:eastAsia="Times New Roman"/>
          <w:szCs w:val="24"/>
        </w:rPr>
        <w:t xml:space="preserve">transmission system </w:t>
      </w:r>
      <w:r w:rsidR="00BF7893">
        <w:rPr>
          <w:rFonts w:eastAsia="Times New Roman"/>
          <w:szCs w:val="24"/>
        </w:rPr>
        <w:t>upgrades</w:t>
      </w:r>
      <w:r w:rsidRPr="001B747C">
        <w:rPr>
          <w:rFonts w:eastAsia="Times New Roman"/>
          <w:szCs w:val="24"/>
        </w:rPr>
        <w:t>, especially during shoulder seasons.</w:t>
      </w:r>
    </w:p>
    <w:p w14:paraId="0AFC35AB" w14:textId="77777777" w:rsidR="001B747C" w:rsidRPr="001B747C" w:rsidRDefault="001B747C" w:rsidP="001B747C">
      <w:pPr>
        <w:numPr>
          <w:ilvl w:val="0"/>
          <w:numId w:val="67"/>
        </w:numPr>
        <w:spacing w:after="120"/>
        <w:rPr>
          <w:rFonts w:eastAsia="Times New Roman"/>
          <w:szCs w:val="24"/>
        </w:rPr>
      </w:pPr>
      <w:r w:rsidRPr="001B747C">
        <w:rPr>
          <w:rFonts w:eastAsia="Times New Roman"/>
          <w:szCs w:val="24"/>
        </w:rPr>
        <w:t xml:space="preserve">Meeting carbon-emission targets may prove challenging for the New England region without the widespread development of renewable resources, EE, and interconnections with neighboring systems. </w:t>
      </w:r>
    </w:p>
    <w:p w14:paraId="08A39D11" w14:textId="77777777" w:rsidR="001B747C" w:rsidRPr="001B747C" w:rsidRDefault="001B747C" w:rsidP="001B747C">
      <w:pPr>
        <w:spacing w:line="240" w:lineRule="auto"/>
        <w:rPr>
          <w:rFonts w:eastAsia="Times New Roman"/>
        </w:rPr>
      </w:pPr>
      <w:r w:rsidRPr="001B747C">
        <w:rPr>
          <w:rFonts w:eastAsia="Times New Roman"/>
        </w:rPr>
        <w:t>Supplemental studies of the 2016 Economic Study assessed several market and operational issues. For each of the original scenarios, the supplemental analysis examined the following:</w:t>
      </w:r>
      <w:r w:rsidRPr="001B747C">
        <w:rPr>
          <w:rFonts w:eastAsia="Times New Roman"/>
          <w:vertAlign w:val="superscript"/>
        </w:rPr>
        <w:footnoteReference w:id="32"/>
      </w:r>
      <w:r w:rsidRPr="001B747C">
        <w:rPr>
          <w:rFonts w:eastAsia="Times New Roman"/>
        </w:rPr>
        <w:t xml:space="preserve"> </w:t>
      </w:r>
    </w:p>
    <w:p w14:paraId="07CD54A5" w14:textId="77777777" w:rsidR="001B747C" w:rsidRPr="001B747C" w:rsidRDefault="001B747C" w:rsidP="001B747C">
      <w:pPr>
        <w:numPr>
          <w:ilvl w:val="0"/>
          <w:numId w:val="87"/>
        </w:numPr>
        <w:rPr>
          <w:rFonts w:eastAsia="Times New Roman"/>
          <w:szCs w:val="24"/>
        </w:rPr>
      </w:pPr>
      <w:r w:rsidRPr="001B747C">
        <w:rPr>
          <w:rFonts w:eastAsia="Times New Roman"/>
          <w:szCs w:val="24"/>
        </w:rPr>
        <w:t>Representative Forward Capacity Auction clearing prices, which showed the need for additional revenue streams outside the wholesale electricity markets for capacity and energy. Scenarios that added renewables resulted in the greatest revenue shortfalls for all resource types given the higher cost of new entry for renewables and depressed energy market revenues.</w:t>
      </w:r>
    </w:p>
    <w:p w14:paraId="6B34EBA5" w14:textId="77777777" w:rsidR="001B747C" w:rsidRPr="001B747C" w:rsidRDefault="001B747C" w:rsidP="001B747C">
      <w:pPr>
        <w:numPr>
          <w:ilvl w:val="0"/>
          <w:numId w:val="88"/>
        </w:numPr>
        <w:spacing w:after="120"/>
        <w:rPr>
          <w:rFonts w:eastAsia="Times New Roman"/>
          <w:szCs w:val="24"/>
        </w:rPr>
      </w:pPr>
      <w:r w:rsidRPr="001B747C">
        <w:rPr>
          <w:rFonts w:eastAsia="Times New Roman"/>
          <w:szCs w:val="24"/>
        </w:rPr>
        <w:t xml:space="preserve">The ability of the natural gas system to supply fuel to generators, which showed an inability </w:t>
      </w:r>
      <w:r w:rsidRPr="001B747C">
        <w:t>to satisfy the installed capacity of all natural-gas-fired generating units across the six resource-expansion scenarios</w:t>
      </w:r>
    </w:p>
    <w:p w14:paraId="68411180" w14:textId="77777777" w:rsidR="001B747C" w:rsidRPr="001B747C" w:rsidRDefault="001B747C" w:rsidP="001B747C">
      <w:pPr>
        <w:numPr>
          <w:ilvl w:val="0"/>
          <w:numId w:val="88"/>
        </w:numPr>
        <w:rPr>
          <w:rFonts w:eastAsia="Times New Roman"/>
          <w:szCs w:val="24"/>
        </w:rPr>
      </w:pPr>
      <w:r w:rsidRPr="001B747C">
        <w:rPr>
          <w:rFonts w:eastAsia="Times New Roman"/>
          <w:szCs w:val="24"/>
        </w:rPr>
        <w:t>Changes in the amounts of regulation, ramping, and reserves, which showed the advantages of dispatching more flexible resources, having the ability to dispatch wind and PV resources down, and forecasting accurate quantities of wind generation, PV, and demand</w:t>
      </w:r>
    </w:p>
    <w:p w14:paraId="23493F62" w14:textId="77777777" w:rsidR="001B747C" w:rsidRPr="001B747C" w:rsidRDefault="001B747C" w:rsidP="001B747C">
      <w:r w:rsidRPr="001B747C">
        <w:t>The results of the ISO’s 2017 Economic Study, which built upon the 2016 Economic Study, reinforced the above technical results.</w:t>
      </w:r>
      <w:r w:rsidRPr="001B747C">
        <w:rPr>
          <w:vertAlign w:val="superscript"/>
        </w:rPr>
        <w:footnoteReference w:id="33"/>
      </w:r>
      <w:r w:rsidRPr="001B747C">
        <w:t xml:space="preserve"> While the ISO did not conduct an Economic Study in 2018, it did analyze scenarios of offshore wind expansion under conditions experienced during the 2017/2018 cold spell. The results show that wind generation would have reduced production costs, environmental emissions, fossil fuel consumption by generating units, and locational marginal prices.</w:t>
      </w:r>
      <w:r w:rsidR="00307E4B">
        <w:t xml:space="preserve"> </w:t>
      </w:r>
      <w:r w:rsidRPr="00205109">
        <w:t>Eco</w:t>
      </w:r>
      <w:r w:rsidRPr="001B747C">
        <w:t xml:space="preserve">nomic studies for 2019 are currently underway to address issues with offshore wind development and constraints experienced by onshore wind facilities. </w:t>
      </w:r>
    </w:p>
    <w:p w14:paraId="4C114AF2" w14:textId="5CE7E494" w:rsidR="001B747C" w:rsidRPr="001B747C" w:rsidRDefault="001B747C" w:rsidP="00BF3CF1">
      <w:pPr>
        <w:pStyle w:val="Heading3"/>
      </w:pPr>
      <w:bookmarkStart w:id="77" w:name="_Toc8727178"/>
      <w:bookmarkStart w:id="78" w:name="_Toc10116690"/>
      <w:bookmarkStart w:id="79" w:name="_Toc12795142"/>
      <w:r w:rsidRPr="001B747C">
        <w:t>Multistate and State Initiatives that Affect System Planning (</w:t>
      </w:r>
      <w:r w:rsidR="00822696">
        <w:fldChar w:fldCharType="begin"/>
      </w:r>
      <w:r w:rsidR="00822696">
        <w:instrText xml:space="preserve"> REF _Ref12273421 \r \h </w:instrText>
      </w:r>
      <w:r w:rsidR="00B07D57">
        <w:instrText xml:space="preserve"> \* MERGEFORMAT </w:instrText>
      </w:r>
      <w:r w:rsidR="00822696">
        <w:fldChar w:fldCharType="separate"/>
      </w:r>
      <w:r w:rsidR="005D0B73">
        <w:t>Section 10</w:t>
      </w:r>
      <w:r w:rsidR="00822696">
        <w:fldChar w:fldCharType="end"/>
      </w:r>
      <w:r w:rsidRPr="001B747C">
        <w:t>)</w:t>
      </w:r>
      <w:bookmarkEnd w:id="77"/>
      <w:bookmarkEnd w:id="78"/>
      <w:bookmarkEnd w:id="79"/>
    </w:p>
    <w:p w14:paraId="4E751688" w14:textId="1403992D" w:rsidR="001B747C" w:rsidRPr="001B747C" w:rsidRDefault="001B747C" w:rsidP="001B747C">
      <w:pPr>
        <w:tabs>
          <w:tab w:val="left" w:pos="7020"/>
        </w:tabs>
      </w:pPr>
      <w:r w:rsidRPr="001B747C">
        <w:t xml:space="preserve">The ISO continuously works with a wide variety of policymakers and other regional and interregional stakeholders on initiatives that influence electric power system planning. These groups include the New England Conference of Public Utilities Commissioners (NECPUC), the New England States Committee on Electricity (NESCOE), the </w:t>
      </w:r>
      <w:r w:rsidR="00DE5ED8">
        <w:t>Coalition of Northeastern Governors</w:t>
      </w:r>
      <w:r w:rsidRPr="001B747C">
        <w:t>, the Consumer Liaison Group (CLG), and others. Each New England state has a unique set of energy policy objectives and goals and continues to implement laws, policies, and initiatives that affect regional system planning in New England.</w:t>
      </w:r>
    </w:p>
    <w:p w14:paraId="7CEE3977" w14:textId="77777777" w:rsidR="001B747C" w:rsidRPr="001B747C" w:rsidRDefault="001B747C" w:rsidP="00BF3CF1">
      <w:pPr>
        <w:pStyle w:val="Heading2"/>
      </w:pPr>
      <w:bookmarkStart w:id="80" w:name="_Toc8727179"/>
      <w:bookmarkStart w:id="81" w:name="_Toc10116691"/>
      <w:bookmarkStart w:id="82" w:name="_Toc12795143"/>
      <w:r w:rsidRPr="001B747C">
        <w:lastRenderedPageBreak/>
        <w:t>Key Findings and Conclusions</w:t>
      </w:r>
      <w:bookmarkEnd w:id="80"/>
      <w:bookmarkEnd w:id="81"/>
      <w:bookmarkEnd w:id="82"/>
      <w:r w:rsidRPr="001B747C">
        <w:t xml:space="preserve"> </w:t>
      </w:r>
    </w:p>
    <w:p w14:paraId="5A1F972B" w14:textId="77777777" w:rsidR="001B747C" w:rsidRPr="001B747C" w:rsidRDefault="001B747C" w:rsidP="001B747C">
      <w:r w:rsidRPr="001B747C">
        <w:t xml:space="preserve">The </w:t>
      </w:r>
      <w:r w:rsidRPr="001B747C">
        <w:rPr>
          <w:i/>
        </w:rPr>
        <w:t>2019 Regional System Plan</w:t>
      </w:r>
      <w:r w:rsidRPr="001B747C">
        <w:t xml:space="preserve"> identifies system needs, and plans for meeting these needs, for 2019 through 2028. RSP19 also discusses risks to the regional electric power system; the likelihood, timing, and potential consequences of these risks; and mitigating actions. Some of the highlights of RSP19, as discussed in Section 11, are as follows: </w:t>
      </w:r>
    </w:p>
    <w:p w14:paraId="08F74017" w14:textId="09BBCA18" w:rsidR="001B747C" w:rsidRPr="001B747C" w:rsidRDefault="001B747C" w:rsidP="001B747C">
      <w:pPr>
        <w:numPr>
          <w:ilvl w:val="0"/>
          <w:numId w:val="69"/>
        </w:numPr>
        <w:spacing w:after="120"/>
        <w:rPr>
          <w:rFonts w:eastAsia="Times New Roman"/>
        </w:rPr>
      </w:pPr>
      <w:r w:rsidRPr="001B747C">
        <w:rPr>
          <w:rFonts w:eastAsia="Times New Roman"/>
        </w:rPr>
        <w:t xml:space="preserve">Forecasts of the regional net peak and annual energy show negative growth resulting from the additions of PV and EE, </w:t>
      </w:r>
      <w:r w:rsidR="00FF1B33">
        <w:rPr>
          <w:rFonts w:eastAsia="Times New Roman"/>
        </w:rPr>
        <w:t xml:space="preserve">along with other BTM resources, </w:t>
      </w:r>
      <w:r w:rsidRPr="001B747C">
        <w:rPr>
          <w:rFonts w:eastAsia="Times New Roman"/>
        </w:rPr>
        <w:t xml:space="preserve">which are reflected in the planning processes. Growth of net peak demand, thus, is not a key driver of new infrastructure needs over the 10-year planning horizon. Longer term, the electrification of transportation and heating/cooling load is expected to increase system loads. </w:t>
      </w:r>
    </w:p>
    <w:p w14:paraId="10626250" w14:textId="1071189A" w:rsidR="001B747C" w:rsidRPr="001B747C" w:rsidRDefault="001B747C" w:rsidP="001B747C">
      <w:pPr>
        <w:numPr>
          <w:ilvl w:val="0"/>
          <w:numId w:val="68"/>
        </w:numPr>
        <w:spacing w:after="120"/>
        <w:rPr>
          <w:rFonts w:eastAsia="Times New Roman"/>
        </w:rPr>
      </w:pPr>
      <w:r w:rsidRPr="001B747C">
        <w:rPr>
          <w:rFonts w:eastAsia="Times New Roman"/>
        </w:rPr>
        <w:t>Needed capacity and operating reserves are provided through the wholesale markets. Studies of expected system conditions show that developing new resource</w:t>
      </w:r>
      <w:r w:rsidRPr="005D7502">
        <w:rPr>
          <w:rFonts w:eastAsia="Times New Roman"/>
        </w:rPr>
        <w:t>s near load c</w:t>
      </w:r>
      <w:r w:rsidRPr="00633F69">
        <w:rPr>
          <w:rFonts w:eastAsia="Times New Roman"/>
        </w:rPr>
        <w:t xml:space="preserve">enters, particularly in NEMA/Boston and SEMA/RI would provide </w:t>
      </w:r>
      <w:r w:rsidRPr="00854834">
        <w:rPr>
          <w:rFonts w:eastAsia="Times New Roman"/>
        </w:rPr>
        <w:t>the greatest reliability benefit.</w:t>
      </w:r>
      <w:r w:rsidR="00854834">
        <w:rPr>
          <w:rFonts w:eastAsia="Times New Roman"/>
        </w:rPr>
        <w:t xml:space="preserve"> </w:t>
      </w:r>
      <w:r w:rsidR="00C83413" w:rsidRPr="00854834">
        <w:rPr>
          <w:rFonts w:eastAsia="Times New Roman"/>
        </w:rPr>
        <w:t xml:space="preserve">To the extent well-sized and </w:t>
      </w:r>
      <w:r w:rsidR="000E3996" w:rsidRPr="00854834">
        <w:rPr>
          <w:rFonts w:eastAsia="Times New Roman"/>
        </w:rPr>
        <w:t>placed</w:t>
      </w:r>
      <w:r w:rsidR="00C83413" w:rsidRPr="00854834">
        <w:rPr>
          <w:rFonts w:eastAsia="Times New Roman"/>
        </w:rPr>
        <w:t xml:space="preserve"> </w:t>
      </w:r>
      <w:r w:rsidR="00633F69">
        <w:rPr>
          <w:rFonts w:eastAsia="Times New Roman"/>
        </w:rPr>
        <w:t>cost-effective</w:t>
      </w:r>
      <w:r w:rsidR="00C83413" w:rsidRPr="00854834">
        <w:rPr>
          <w:rFonts w:eastAsia="Times New Roman"/>
        </w:rPr>
        <w:t xml:space="preserve"> resources</w:t>
      </w:r>
      <w:r w:rsidR="00C640C2" w:rsidRPr="00854834">
        <w:rPr>
          <w:rFonts w:eastAsia="Times New Roman"/>
        </w:rPr>
        <w:t xml:space="preserve"> were</w:t>
      </w:r>
      <w:r w:rsidR="00C83413" w:rsidRPr="00854834">
        <w:rPr>
          <w:rFonts w:eastAsia="Times New Roman"/>
        </w:rPr>
        <w:t xml:space="preserve"> develop</w:t>
      </w:r>
      <w:r w:rsidR="00C640C2" w:rsidRPr="00854834">
        <w:rPr>
          <w:rFonts w:eastAsia="Times New Roman"/>
        </w:rPr>
        <w:t>ed</w:t>
      </w:r>
      <w:r w:rsidR="00C83413" w:rsidRPr="00854834">
        <w:rPr>
          <w:rFonts w:eastAsia="Times New Roman"/>
        </w:rPr>
        <w:t xml:space="preserve"> to </w:t>
      </w:r>
      <w:r w:rsidR="001638C3">
        <w:rPr>
          <w:rFonts w:eastAsia="Times New Roman"/>
        </w:rPr>
        <w:t xml:space="preserve">more </w:t>
      </w:r>
      <w:r w:rsidR="00C83413" w:rsidRPr="00854834">
        <w:rPr>
          <w:rFonts w:eastAsia="Times New Roman"/>
        </w:rPr>
        <w:t>close</w:t>
      </w:r>
      <w:r w:rsidR="001638C3">
        <w:rPr>
          <w:rFonts w:eastAsia="Times New Roman"/>
        </w:rPr>
        <w:t>ly</w:t>
      </w:r>
      <w:r w:rsidR="00C83413" w:rsidRPr="00854834">
        <w:rPr>
          <w:rFonts w:eastAsia="Times New Roman"/>
        </w:rPr>
        <w:t xml:space="preserve"> match demand, the system would perform more reliably, require fewer transmission upgrades, and exhibit less congestion.</w:t>
      </w:r>
    </w:p>
    <w:p w14:paraId="29625421" w14:textId="2181D4CE" w:rsidR="001B747C" w:rsidRPr="001B747C" w:rsidRDefault="001B747C" w:rsidP="001B747C">
      <w:pPr>
        <w:numPr>
          <w:ilvl w:val="0"/>
          <w:numId w:val="68"/>
        </w:numPr>
        <w:spacing w:after="120"/>
        <w:rPr>
          <w:rFonts w:eastAsia="Times New Roman"/>
          <w:szCs w:val="24"/>
        </w:rPr>
      </w:pPr>
      <w:r w:rsidRPr="001B747C">
        <w:rPr>
          <w:rFonts w:eastAsia="Times New Roman"/>
          <w:szCs w:val="24"/>
        </w:rPr>
        <w:t xml:space="preserve">Transmission expansion in New England has improved the overall level of reliability and resiliency, reduced air emissions, and lowered wholesale market costs by nearly eliminating congestion. Generator retirements, off-peak system needs, the growth of inverter-based resources, and changes to mandatory planning criteria promulgated by NERC and NPCC will </w:t>
      </w:r>
      <w:r w:rsidR="00FF1B33">
        <w:rPr>
          <w:rFonts w:eastAsia="Times New Roman"/>
          <w:szCs w:val="24"/>
        </w:rPr>
        <w:t xml:space="preserve">likely </w:t>
      </w:r>
      <w:r w:rsidRPr="001B747C">
        <w:rPr>
          <w:rFonts w:eastAsia="Times New Roman"/>
          <w:szCs w:val="24"/>
        </w:rPr>
        <w:t xml:space="preserve">drive the need for longer-term transmission projects. </w:t>
      </w:r>
    </w:p>
    <w:p w14:paraId="3C425140" w14:textId="77777777" w:rsidR="001B747C" w:rsidRPr="001B747C" w:rsidRDefault="001B747C" w:rsidP="001B747C">
      <w:pPr>
        <w:numPr>
          <w:ilvl w:val="0"/>
          <w:numId w:val="68"/>
        </w:numPr>
        <w:spacing w:after="120"/>
        <w:rPr>
          <w:rFonts w:eastAsia="Times New Roman"/>
        </w:rPr>
      </w:pPr>
      <w:r w:rsidRPr="001B747C">
        <w:rPr>
          <w:rFonts w:eastAsia="Times New Roman"/>
          <w:szCs w:val="24"/>
        </w:rPr>
        <w:t>Revisions to the ISO planning processes now reflect FERC Order 1000 requirements, probabilistic study assumptions, and changes to national and regional criteria. C</w:t>
      </w:r>
      <w:r w:rsidRPr="001B747C">
        <w:rPr>
          <w:rFonts w:eastAsia="Times New Roman"/>
        </w:rPr>
        <w:t>oordinated planning activities with other systems will continue growing, particularly to provide access to a greater diversity of resources, including hydro imports and variable energy resources, and to meet environmental compliance obligations.</w:t>
      </w:r>
    </w:p>
    <w:p w14:paraId="5733E73B" w14:textId="57285A8E" w:rsidR="001B747C" w:rsidRPr="001B747C" w:rsidRDefault="001B747C" w:rsidP="001B747C">
      <w:pPr>
        <w:numPr>
          <w:ilvl w:val="0"/>
          <w:numId w:val="68"/>
        </w:numPr>
        <w:spacing w:after="120"/>
        <w:rPr>
          <w:rFonts w:eastAsia="Times New Roman"/>
        </w:rPr>
      </w:pPr>
      <w:r w:rsidRPr="001B747C">
        <w:rPr>
          <w:rFonts w:eastAsia="Times New Roman"/>
        </w:rPr>
        <w:t>The regional reliance on natural-gas-fired generation, coupled with natural gas pipeline constraints and uncertain LNG deliveries can pose reliability issues and lead to price spikes in the wholesale electricity markets</w:t>
      </w:r>
      <w:r w:rsidR="00FF1B33">
        <w:rPr>
          <w:rFonts w:eastAsia="Times New Roman"/>
        </w:rPr>
        <w:t xml:space="preserve"> any time of the year</w:t>
      </w:r>
      <w:r w:rsidRPr="001B747C">
        <w:rPr>
          <w:rFonts w:eastAsia="Times New Roman"/>
        </w:rPr>
        <w:t xml:space="preserve">.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w:t>
      </w:r>
      <w:r w:rsidRPr="00633F69">
        <w:rPr>
          <w:rFonts w:eastAsia="Times New Roman"/>
        </w:rPr>
        <w:t>2019 and beyond.</w:t>
      </w:r>
      <w:r w:rsidRPr="00854834">
        <w:rPr>
          <w:rFonts w:eastAsia="Times New Roman"/>
          <w:szCs w:val="24"/>
        </w:rPr>
        <w:t xml:space="preserve"> </w:t>
      </w:r>
      <w:r w:rsidRPr="00854834">
        <w:rPr>
          <w:rFonts w:eastAsia="Times New Roman"/>
        </w:rPr>
        <w:t xml:space="preserve">The greater development of renewable resources, </w:t>
      </w:r>
      <w:r w:rsidR="00633F69" w:rsidRPr="00854834">
        <w:rPr>
          <w:rFonts w:eastAsia="Times New Roman"/>
        </w:rPr>
        <w:t xml:space="preserve">particularly those with </w:t>
      </w:r>
      <w:r w:rsidR="00277BFE" w:rsidRPr="00854834">
        <w:rPr>
          <w:rFonts w:eastAsia="Times New Roman"/>
        </w:rPr>
        <w:t>energy storage</w:t>
      </w:r>
      <w:r w:rsidR="00633F69" w:rsidRPr="00854834">
        <w:rPr>
          <w:rFonts w:eastAsia="Times New Roman"/>
        </w:rPr>
        <w:t xml:space="preserve">; </w:t>
      </w:r>
      <w:r w:rsidRPr="00854834">
        <w:rPr>
          <w:rFonts w:eastAsia="Times New Roman"/>
        </w:rPr>
        <w:t>en</w:t>
      </w:r>
      <w:r w:rsidRPr="001B747C">
        <w:rPr>
          <w:rFonts w:eastAsia="Times New Roman"/>
        </w:rPr>
        <w:t>ergy efficiency</w:t>
      </w:r>
      <w:r w:rsidR="00633F69">
        <w:rPr>
          <w:rFonts w:eastAsia="Times New Roman"/>
        </w:rPr>
        <w:t>;</w:t>
      </w:r>
      <w:r w:rsidRPr="001B747C">
        <w:rPr>
          <w:rFonts w:eastAsia="Times New Roman"/>
        </w:rPr>
        <w:t xml:space="preserve"> imports from neighboring regions</w:t>
      </w:r>
      <w:r w:rsidR="00633F69">
        <w:rPr>
          <w:rFonts w:eastAsia="Times New Roman"/>
        </w:rPr>
        <w:t>;</w:t>
      </w:r>
      <w:r w:rsidRPr="001B747C">
        <w:rPr>
          <w:rFonts w:eastAsia="Times New Roman"/>
        </w:rPr>
        <w:t xml:space="preserve"> and continued investment in gas-efficiency measures are also part of the solution.</w:t>
      </w:r>
    </w:p>
    <w:p w14:paraId="7D3A9A3F" w14:textId="77777777" w:rsidR="001B747C" w:rsidRPr="008B0315" w:rsidRDefault="001B747C" w:rsidP="001B747C">
      <w:pPr>
        <w:numPr>
          <w:ilvl w:val="0"/>
          <w:numId w:val="68"/>
        </w:numPr>
        <w:spacing w:after="120"/>
        <w:rPr>
          <w:rFonts w:eastAsia="Times New Roman"/>
        </w:rPr>
      </w:pPr>
      <w:r w:rsidRPr="001B747C">
        <w:rPr>
          <w:rFonts w:eastAsia="Times New Roman"/>
        </w:rPr>
        <w:t>Environmental regulations, other public policies, and economic considerations will affect the operation of existing resources and the mix of new regional resources. Existing oil and coal generators are expected to retire and be replaced with more efficient natural-gas-fired generation and renewable resources. Generator environmental compliance depends on final federal regulations and site-specific circumstances, which have been subject to uncertainty and delays that could affect generator permitting and operations. Carbon-emission targets will likely be the key regiona</w:t>
      </w:r>
      <w:r w:rsidRPr="008B0315">
        <w:rPr>
          <w:rFonts w:eastAsia="Times New Roman"/>
        </w:rPr>
        <w:t xml:space="preserve">l environmental constraint on energy production by fossil-fired generating units. </w:t>
      </w:r>
    </w:p>
    <w:p w14:paraId="4C3C5E98" w14:textId="1D822DE5" w:rsidR="001B747C" w:rsidRPr="008B0315" w:rsidRDefault="001B747C" w:rsidP="001B747C">
      <w:pPr>
        <w:numPr>
          <w:ilvl w:val="0"/>
          <w:numId w:val="69"/>
        </w:numPr>
        <w:rPr>
          <w:rFonts w:eastAsia="Times New Roman"/>
        </w:rPr>
      </w:pPr>
      <w:r w:rsidRPr="008B0315">
        <w:rPr>
          <w:rFonts w:eastAsia="Times New Roman"/>
        </w:rPr>
        <w:t>The region has significant potential for developing renewable resources and is actively addressing seve</w:t>
      </w:r>
      <w:r w:rsidRPr="001B747C">
        <w:rPr>
          <w:rFonts w:eastAsia="Times New Roman"/>
        </w:rPr>
        <w:t xml:space="preserve">ral key technical challenges to the successful integration of these resources. New </w:t>
      </w:r>
      <w:r w:rsidRPr="001B747C">
        <w:rPr>
          <w:rFonts w:eastAsia="Times New Roman"/>
        </w:rPr>
        <w:lastRenderedPageBreak/>
        <w:t>forecasting methods improve the reliable and economical operation of the system with increasing amounts of wind resources and BTM PV. The ISO conducts cluster analyses that identify the transmission interconnection requirements of multiple resources, which can be used to expeditiously integrate renewable resources. The large-scale development of wind resources in northern New England would re</w:t>
      </w:r>
      <w:r w:rsidRPr="008B0315">
        <w:rPr>
          <w:rFonts w:eastAsia="Times New Roman"/>
        </w:rPr>
        <w:t>quire major transmission system improvements, but offshore wind proposals are better situated closer to load centers in southern New England.</w:t>
      </w:r>
      <w:r w:rsidR="00FF1B33" w:rsidRPr="008B0315">
        <w:rPr>
          <w:rFonts w:eastAsia="Times New Roman"/>
        </w:rPr>
        <w:t xml:space="preserve"> Coupling energy</w:t>
      </w:r>
      <w:r w:rsidR="008801D6">
        <w:rPr>
          <w:rFonts w:eastAsia="Times New Roman"/>
        </w:rPr>
        <w:t>-</w:t>
      </w:r>
      <w:r w:rsidR="00FF1B33" w:rsidRPr="008B0315">
        <w:rPr>
          <w:rFonts w:eastAsia="Times New Roman"/>
        </w:rPr>
        <w:t>storage system</w:t>
      </w:r>
      <w:r w:rsidR="00277BFE" w:rsidRPr="00854834">
        <w:rPr>
          <w:rFonts w:eastAsia="Times New Roman"/>
        </w:rPr>
        <w:t>s</w:t>
      </w:r>
      <w:r w:rsidR="00FF1B33" w:rsidRPr="008B0315">
        <w:rPr>
          <w:rFonts w:eastAsia="Times New Roman"/>
        </w:rPr>
        <w:t xml:space="preserve"> with </w:t>
      </w:r>
      <w:r w:rsidR="008801D6">
        <w:rPr>
          <w:rFonts w:eastAsia="Times New Roman"/>
        </w:rPr>
        <w:t>variable energy resources</w:t>
      </w:r>
      <w:r w:rsidR="00FF1B33" w:rsidRPr="008B0315">
        <w:rPr>
          <w:rFonts w:eastAsia="Times New Roman"/>
        </w:rPr>
        <w:t xml:space="preserve"> may improve </w:t>
      </w:r>
      <w:r w:rsidR="008801D6">
        <w:rPr>
          <w:rFonts w:eastAsia="Times New Roman"/>
        </w:rPr>
        <w:t>VERs’</w:t>
      </w:r>
      <w:r w:rsidR="00FF1B33" w:rsidRPr="008B0315">
        <w:rPr>
          <w:rFonts w:eastAsia="Times New Roman"/>
        </w:rPr>
        <w:t xml:space="preserve"> consistency of supply and overall system performance.</w:t>
      </w:r>
    </w:p>
    <w:p w14:paraId="4305C2DD" w14:textId="77777777" w:rsidR="001B747C" w:rsidRPr="001B747C" w:rsidRDefault="001B747C" w:rsidP="001B747C">
      <w:pPr>
        <w:numPr>
          <w:ilvl w:val="0"/>
          <w:numId w:val="69"/>
        </w:numPr>
        <w:spacing w:after="120"/>
        <w:rPr>
          <w:rFonts w:eastAsia="Times New Roman"/>
        </w:rPr>
      </w:pPr>
      <w:r w:rsidRPr="001B747C">
        <w:rPr>
          <w:rFonts w:eastAsia="Times New Roman"/>
        </w:rPr>
        <w:t xml:space="preserve">New England is transforming to a sustainable, hybrid grid that supports the connection of more renewable energy and the transition to the smart grid, which will allow for the more effective use of distributed energy resources. The lack of observability and controllability of variable and distributed energy resources will need to be addressed to realize the full benefits of energy storage, microgrids, and smart grid technologies. The rapid implementation of revised interconnection standards for distributed resources, including the IEEE 1547 and testing standards, is vital for ensuring overall system reliability and facilitating the economical development of renewable resources, such as PV. The ISO remains a leader in technological </w:t>
      </w:r>
      <w:r w:rsidRPr="008801D6">
        <w:rPr>
          <w:rFonts w:eastAsia="Times New Roman"/>
        </w:rPr>
        <w:t>innovation, as shown by the widespread use of phasor measurement units, extensive application of flexible alternating-current transmission systems, and the implementation of state-of-the-art forecasting methods for wind resources and PV.</w:t>
      </w:r>
    </w:p>
    <w:p w14:paraId="4F11635D" w14:textId="77777777" w:rsidR="001B747C" w:rsidRPr="001B747C" w:rsidRDefault="001B747C" w:rsidP="001B747C">
      <w:pPr>
        <w:numPr>
          <w:ilvl w:val="0"/>
          <w:numId w:val="69"/>
        </w:numPr>
        <w:spacing w:after="120"/>
        <w:rPr>
          <w:rFonts w:eastAsia="Times New Roman"/>
        </w:rPr>
      </w:pPr>
      <w:r w:rsidRPr="001B747C">
        <w:rPr>
          <w:rFonts w:eastAsia="Times New Roman"/>
        </w:rPr>
        <w:t xml:space="preserve">Federal and state policies and initiatives will continue to affect the planning process, such as those promoting EE, PV, and wind resources. </w:t>
      </w:r>
    </w:p>
    <w:p w14:paraId="691DC0C6" w14:textId="48A9C8AE" w:rsidR="001B747C" w:rsidRPr="001B747C" w:rsidRDefault="001B747C" w:rsidP="001B747C">
      <w:pPr>
        <w:numPr>
          <w:ilvl w:val="0"/>
          <w:numId w:val="69"/>
        </w:numPr>
        <w:rPr>
          <w:rFonts w:eastAsia="Times New Roman"/>
          <w:szCs w:val="24"/>
        </w:rPr>
      </w:pPr>
      <w:r w:rsidRPr="001B747C">
        <w:rPr>
          <w:rFonts w:eastAsia="Times New Roman"/>
          <w:szCs w:val="24"/>
        </w:rPr>
        <w:t>In response to the New England electric power system becoming more energy limited, t</w:t>
      </w:r>
      <w:r w:rsidRPr="001B747C">
        <w:rPr>
          <w:rFonts w:eastAsia="Times New Roman"/>
        </w:rPr>
        <w:t xml:space="preserve">he ISO has improved the forecasting and dispatch of resources, enhanced the markets, and created new systems and tools to improve operational and planning study models, capabilities, and performance. </w:t>
      </w:r>
      <w:r w:rsidR="00A81E15">
        <w:rPr>
          <w:rFonts w:eastAsia="Times New Roman"/>
        </w:rPr>
        <w:t>W</w:t>
      </w:r>
      <w:r w:rsidRPr="001B747C">
        <w:rPr>
          <w:rFonts w:eastAsia="Times New Roman"/>
        </w:rPr>
        <w:t xml:space="preserve">ork is ongoing. </w:t>
      </w:r>
    </w:p>
    <w:p w14:paraId="56F9E280" w14:textId="77777777" w:rsidR="00975E25" w:rsidRDefault="001B747C" w:rsidP="001B747C">
      <w:pPr>
        <w:rPr>
          <w:rFonts w:eastAsia="Times New Roman"/>
          <w:szCs w:val="24"/>
        </w:rPr>
        <w:sectPr w:rsidR="00975E25" w:rsidSect="00974DD1">
          <w:headerReference w:type="default" r:id="rId21"/>
          <w:footerReference w:type="default" r:id="rId22"/>
          <w:pgSz w:w="12240" w:h="15840"/>
          <w:pgMar w:top="1440" w:right="1440" w:bottom="1440" w:left="1800" w:header="720" w:footer="720" w:gutter="0"/>
          <w:pgNumType w:start="1"/>
          <w:cols w:space="720"/>
          <w:docGrid w:linePitch="360"/>
        </w:sectPr>
      </w:pPr>
      <w:r w:rsidRPr="001B747C">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the region is working toward meeting all challenges for planning and operating the system </w:t>
      </w:r>
      <w:r w:rsidRPr="001B747C">
        <w:rPr>
          <w:rFonts w:eastAsia="Times New Roman"/>
        </w:rPr>
        <w:t>reliably and economically.</w:t>
      </w:r>
      <w:r w:rsidRPr="001B747C">
        <w:rPr>
          <w:rFonts w:eastAsia="Times New Roman"/>
          <w:szCs w:val="24"/>
        </w:rPr>
        <w:t xml:space="preserve"> RSP19 complies with the intraregional and interregional planning processes required by the ISO’s </w:t>
      </w:r>
      <w:r w:rsidRPr="001B747C">
        <w:rPr>
          <w:rFonts w:eastAsia="Times New Roman"/>
          <w:i/>
          <w:szCs w:val="24"/>
        </w:rPr>
        <w:t>Open Access Transmission Tariff</w:t>
      </w:r>
      <w:r w:rsidRPr="001B747C">
        <w:rPr>
          <w:rFonts w:eastAsia="Times New Roman"/>
          <w:szCs w:val="24"/>
        </w:rPr>
        <w:t xml:space="preserve">. As shown by RSP19, planning studies also comply with all NERC, NPCC, and regional requirements. </w:t>
      </w:r>
    </w:p>
    <w:p w14:paraId="6CB79F21" w14:textId="77777777" w:rsidR="007D367C" w:rsidRPr="00A76C4B" w:rsidRDefault="007D367C" w:rsidP="00A76C4B">
      <w:pPr>
        <w:pStyle w:val="Heading1"/>
      </w:pPr>
      <w:r w:rsidRPr="00947CFC">
        <w:lastRenderedPageBreak/>
        <w:br/>
      </w:r>
      <w:bookmarkStart w:id="83" w:name="_Toc484973048"/>
      <w:bookmarkStart w:id="84" w:name="_Toc490323002"/>
      <w:bookmarkStart w:id="85" w:name="_Toc12795144"/>
      <w:r w:rsidRPr="00947CFC">
        <w:t>Overview of RSP19, the Power System,</w:t>
      </w:r>
      <w:r w:rsidRPr="00947CFC">
        <w:br/>
        <w:t>and Regional System Planning</w:t>
      </w:r>
      <w:bookmarkEnd w:id="83"/>
      <w:bookmarkEnd w:id="84"/>
      <w:bookmarkEnd w:id="85"/>
      <w:r w:rsidRPr="00947CFC">
        <w:t xml:space="preserve"> </w:t>
      </w:r>
    </w:p>
    <w:p w14:paraId="5B60A00F" w14:textId="77777777" w:rsidR="007D367C" w:rsidRPr="007D367C" w:rsidRDefault="007D367C" w:rsidP="007D367C">
      <w:r w:rsidRPr="007D367C">
        <w:t>As the Regional Transmission Organization (RTO) for New England, ISO New England (ISO) operates the region’s electric power system, administers the region’s competitive wholesale electricity markets, and conducts the regional system planning process, which includes coordinating planning efforts with neighboring areas. The main objectives of the ISO’s system planning process are as follows:</w:t>
      </w:r>
    </w:p>
    <w:p w14:paraId="24E94F05" w14:textId="77777777" w:rsidR="007D367C" w:rsidRPr="007D367C" w:rsidRDefault="007D367C" w:rsidP="00955D2D">
      <w:pPr>
        <w:numPr>
          <w:ilvl w:val="0"/>
          <w:numId w:val="35"/>
        </w:numPr>
        <w:spacing w:after="120"/>
      </w:pPr>
      <w:r w:rsidRPr="007D367C">
        <w:t>Identify system needs and potential solutions for ensuring the short-term and long-term reliability of the system</w:t>
      </w:r>
    </w:p>
    <w:p w14:paraId="2589380D" w14:textId="77777777" w:rsidR="007D367C" w:rsidRPr="007D367C" w:rsidRDefault="007D367C" w:rsidP="00955D2D">
      <w:pPr>
        <w:numPr>
          <w:ilvl w:val="0"/>
          <w:numId w:val="35"/>
        </w:numPr>
        <w:spacing w:after="120"/>
      </w:pPr>
      <w:r w:rsidRPr="007D367C">
        <w:t>Facilitate the efficient operation of the markets through resource additions and transmission upgrades that serve to reliably move power from various internal and external sources to the region’s load centers</w:t>
      </w:r>
      <w:r w:rsidRPr="007D367C">
        <w:rPr>
          <w:vertAlign w:val="superscript"/>
        </w:rPr>
        <w:footnoteReference w:id="34"/>
      </w:r>
    </w:p>
    <w:p w14:paraId="1C381E45" w14:textId="77777777" w:rsidR="007D367C" w:rsidRPr="007D367C" w:rsidRDefault="007D367C" w:rsidP="00955D2D">
      <w:pPr>
        <w:numPr>
          <w:ilvl w:val="0"/>
          <w:numId w:val="35"/>
        </w:numPr>
      </w:pPr>
      <w:r w:rsidRPr="007D367C">
        <w:t>Provide information to regional stakeholders, who can further develop system improvements</w:t>
      </w:r>
    </w:p>
    <w:p w14:paraId="2FEE04D9" w14:textId="77777777" w:rsidR="007D367C" w:rsidRPr="007D367C" w:rsidRDefault="007D367C" w:rsidP="007D367C">
      <w:pPr>
        <w:spacing w:line="240" w:lineRule="auto"/>
        <w:rPr>
          <w:rFonts w:eastAsia="Times New Roman"/>
        </w:rPr>
      </w:pPr>
      <w:r w:rsidRPr="007D367C">
        <w:rPr>
          <w:rFonts w:eastAsia="Times New Roman"/>
        </w:rPr>
        <w:t xml:space="preserve">To meet these objectives and in compliance with all portions of the ISO’s </w:t>
      </w:r>
      <w:r w:rsidRPr="007D367C">
        <w:rPr>
          <w:rFonts w:eastAsia="Times New Roman"/>
          <w:i/>
        </w:rPr>
        <w:t xml:space="preserve">Transmission, Markets, and Services Tariff </w:t>
      </w:r>
      <w:r w:rsidRPr="007D367C">
        <w:rPr>
          <w:rFonts w:eastAsia="Times New Roman"/>
        </w:rPr>
        <w:t xml:space="preserve">(ISO tariff), including the </w:t>
      </w:r>
      <w:r w:rsidRPr="007D367C">
        <w:rPr>
          <w:rFonts w:eastAsia="Times New Roman"/>
          <w:i/>
        </w:rPr>
        <w:t>Open Access Transmission Tariff</w:t>
      </w:r>
      <w:r w:rsidRPr="007D367C">
        <w:rPr>
          <w:rFonts w:eastAsia="Times New Roman"/>
        </w:rPr>
        <w:t xml:space="preserve"> (OATT), the </w:t>
      </w:r>
      <w:r w:rsidRPr="007D367C">
        <w:rPr>
          <w:rFonts w:eastAsia="Times New Roman"/>
          <w:i/>
        </w:rPr>
        <w:t>2019 Regional System Plan</w:t>
      </w:r>
      <w:r w:rsidRPr="007D367C">
        <w:rPr>
          <w:rFonts w:eastAsia="Times New Roman"/>
        </w:rPr>
        <w:t xml:space="preserve"> (RSP19) describes the ISO’s ongoing system resource and transmission planning activities covering the 10-year period to 202</w:t>
      </w:r>
      <w:r w:rsidR="00422215">
        <w:rPr>
          <w:rFonts w:eastAsia="Times New Roman"/>
        </w:rPr>
        <w:t>8</w:t>
      </w:r>
      <w:r w:rsidRPr="007D367C">
        <w:rPr>
          <w:rFonts w:eastAsia="Times New Roman"/>
        </w:rPr>
        <w:t>.</w:t>
      </w:r>
      <w:r w:rsidRPr="007D367C">
        <w:rPr>
          <w:rFonts w:eastAsia="Times New Roman"/>
          <w:vertAlign w:val="superscript"/>
        </w:rPr>
        <w:footnoteReference w:id="35"/>
      </w:r>
      <w:r w:rsidRPr="007D367C">
        <w:rPr>
          <w:rFonts w:eastAsia="Times New Roman"/>
        </w:rPr>
        <w:t xml:space="preserve"> </w:t>
      </w:r>
    </w:p>
    <w:p w14:paraId="593CD31F" w14:textId="77777777" w:rsidR="007D367C" w:rsidRPr="007D367C" w:rsidRDefault="007D367C" w:rsidP="007D367C">
      <w:r w:rsidRPr="007D367C">
        <w:t xml:space="preserve">This section provides an overview of RSP19 and the ISO’s regional system planning process required by the ISO’s tariff. For background, the section also provides highlights of the power system and the wholesale electricity market structure in New England. A summary of the various regional subdivisions the ISO uses in system planning studies is also provided. </w:t>
      </w:r>
    </w:p>
    <w:p w14:paraId="0D7C2162" w14:textId="7EAA3D8E" w:rsidR="007D367C" w:rsidRPr="007D367C" w:rsidRDefault="007D367C" w:rsidP="007D367C">
      <w:r w:rsidRPr="007D367C">
        <w:t>Throughout RSP19, italicized terms indicate that a definition for the term is included within the text or footnotes</w:t>
      </w:r>
      <w:r w:rsidR="00BC3D41">
        <w:t>. L</w:t>
      </w:r>
      <w:r w:rsidRPr="007D367C">
        <w:t xml:space="preserve">inks </w:t>
      </w:r>
      <w:r w:rsidR="00BC3D41">
        <w:t xml:space="preserve">are provided </w:t>
      </w:r>
      <w:r w:rsidRPr="007D367C">
        <w:t>to other documents, including the tariff</w:t>
      </w:r>
      <w:r w:rsidR="00422215">
        <w:t>,</w:t>
      </w:r>
      <w:r w:rsidRPr="007D367C">
        <w:t xml:space="preserve"> that </w:t>
      </w:r>
      <w:r w:rsidR="00BC3D41">
        <w:t xml:space="preserve">include exact wording and </w:t>
      </w:r>
      <w:r w:rsidRPr="007D367C">
        <w:t>full</w:t>
      </w:r>
      <w:r w:rsidR="00BC3D41">
        <w:t xml:space="preserve"> </w:t>
      </w:r>
      <w:r w:rsidRPr="007D367C">
        <w:t>defin</w:t>
      </w:r>
      <w:r w:rsidR="00BC3D41">
        <w:t xml:space="preserve">itions of </w:t>
      </w:r>
      <w:r w:rsidRPr="007D367C">
        <w:t xml:space="preserve">the more complex terms. In case of any discrepancies between RSP and tariff definitions, the tariff definition overrules. Links to relevant technical reports; presentations; and other, more detailed materials also are included throughout the report. All website addresses are current as of the time of publication. </w:t>
      </w:r>
      <w:r w:rsidR="00430714" w:rsidRPr="007D367C">
        <w:t>Appendix</w:t>
      </w:r>
      <w:r w:rsidR="00430714">
        <w:t> </w:t>
      </w:r>
      <w:r w:rsidRPr="007D367C">
        <w:t>A is a list of acronyms and abbreviations used in RSP19.</w:t>
      </w:r>
      <w:r w:rsidRPr="007D367C">
        <w:rPr>
          <w:szCs w:val="36"/>
        </w:rPr>
        <w:t xml:space="preserve"> </w:t>
      </w:r>
    </w:p>
    <w:p w14:paraId="6E196D43" w14:textId="77777777" w:rsidR="007D367C" w:rsidRPr="007D367C" w:rsidRDefault="007D367C" w:rsidP="00B31FEF">
      <w:pPr>
        <w:pStyle w:val="Heading2"/>
      </w:pPr>
      <w:bookmarkStart w:id="86" w:name="_Ref364760449"/>
      <w:bookmarkStart w:id="87" w:name="_Toc396807600"/>
      <w:bookmarkStart w:id="88" w:name="_Toc484973049"/>
      <w:bookmarkStart w:id="89" w:name="_Toc490323003"/>
      <w:bookmarkStart w:id="90" w:name="_Toc12795145"/>
      <w:r w:rsidRPr="007D367C">
        <w:t>Overview of the System Planning Process and RSP1</w:t>
      </w:r>
      <w:bookmarkEnd w:id="86"/>
      <w:bookmarkEnd w:id="87"/>
      <w:r w:rsidRPr="007D367C">
        <w:t>9</w:t>
      </w:r>
      <w:bookmarkEnd w:id="88"/>
      <w:bookmarkEnd w:id="89"/>
      <w:bookmarkEnd w:id="90"/>
    </w:p>
    <w:p w14:paraId="60819A2D" w14:textId="77777777" w:rsidR="007D367C" w:rsidRPr="007D367C" w:rsidRDefault="007D367C" w:rsidP="007D367C">
      <w:r w:rsidRPr="007D367C">
        <w:t xml:space="preserve">For maintaining the reliability of the New England power system, while promoting the operation of efficient wholesale electricity markets, the ISO and its stakeholders analyze the system and its components as a whole. They account for the performance of these individual elements and the many </w:t>
      </w:r>
      <w:r w:rsidRPr="007D367C">
        <w:lastRenderedPageBreak/>
        <w:t xml:space="preserve">varied and complex interactions that occur among the components that affect the overall performance of the system. </w:t>
      </w:r>
    </w:p>
    <w:p w14:paraId="67048D7B" w14:textId="77777777" w:rsidR="007D367C" w:rsidRPr="007D367C" w:rsidRDefault="007D367C" w:rsidP="007D367C">
      <w:r w:rsidRPr="007D367C">
        <w:t xml:space="preserve">Using information on defined system needs, a variety of established signals from ISO-administered markets, and other factors, stakeholders responsible for developing needed resources can assess their options for satisfying these needs and commit to developing market resource projects. For example, stakeholders can build a new power plant to provide additional system capacity and produce electric energy. Similarly, market participants can provide </w:t>
      </w:r>
      <w:r w:rsidRPr="007D367C">
        <w:rPr>
          <w:i/>
        </w:rPr>
        <w:t xml:space="preserve">demand resources, </w:t>
      </w:r>
      <w:r w:rsidRPr="007D367C">
        <w:t>including</w:t>
      </w:r>
      <w:r w:rsidRPr="007D367C">
        <w:rPr>
          <w:i/>
        </w:rPr>
        <w:t xml:space="preserve"> active demand resources </w:t>
      </w:r>
      <w:r w:rsidRPr="007D367C">
        <w:t xml:space="preserve">and </w:t>
      </w:r>
      <w:r w:rsidRPr="007D367C">
        <w:rPr>
          <w:i/>
        </w:rPr>
        <w:t>passive demand resources</w:t>
      </w:r>
      <w:r w:rsidRPr="007D367C">
        <w:t xml:space="preserve"> (PDRs)</w:t>
      </w:r>
      <w:r w:rsidR="004A2EAB">
        <w:t>,</w:t>
      </w:r>
      <w:r w:rsidRPr="007D367C">
        <w:t xml:space="preserve"> to meet capacity needs and reduce the amount of electric energy used.</w:t>
      </w:r>
      <w:r w:rsidRPr="007D367C">
        <w:rPr>
          <w:vertAlign w:val="superscript"/>
        </w:rPr>
        <w:footnoteReference w:id="36"/>
      </w:r>
      <w:r w:rsidRPr="007D367C">
        <w:t xml:space="preserve"> They also can develop</w:t>
      </w:r>
      <w:r w:rsidR="00EB1581">
        <w:t>,</w:t>
      </w:r>
      <w:r w:rsidRPr="007D367C">
        <w:t xml:space="preserve"> and independently fund transmission upgrades</w:t>
      </w:r>
      <w:r w:rsidR="00EB1581">
        <w:t>,</w:t>
      </w:r>
      <w:r w:rsidRPr="007D367C">
        <w:t xml:space="preserve"> to interconnect a merchant transmission facility (MTF) to the ISO system.</w:t>
      </w:r>
      <w:r w:rsidRPr="007D367C">
        <w:rPr>
          <w:vertAlign w:val="superscript"/>
        </w:rPr>
        <w:footnoteReference w:id="37"/>
      </w:r>
      <w:r w:rsidRPr="007D367C">
        <w:t xml:space="preserve"> These upgrades and supply and demand resource alternatives could result in modifying, offsetting, or deferring proposed regulated transmission upgrades. </w:t>
      </w:r>
    </w:p>
    <w:p w14:paraId="34B49F6C" w14:textId="77777777" w:rsidR="007D367C" w:rsidRPr="007D367C" w:rsidRDefault="007D367C" w:rsidP="007D367C">
      <w:r w:rsidRPr="007D367C">
        <w:t>To the extent that stakeholder responses to market or other signals are not forthcoming or adequate to meet identified system needs, the planning process requires the ISO either to acquire transmission solutions through a competitive solicitation or to work with incumbent transmission owners to develop their own transmission solutions, depending on the identified year of need. All transmission upgrades must meet reliability performance requirements.</w:t>
      </w:r>
    </w:p>
    <w:p w14:paraId="1054AFC1" w14:textId="77777777" w:rsidR="007D367C" w:rsidRPr="007D367C" w:rsidRDefault="007D367C" w:rsidP="00BF3CF1">
      <w:pPr>
        <w:pStyle w:val="Heading3"/>
      </w:pPr>
      <w:bookmarkStart w:id="91" w:name="_Ref418856844"/>
      <w:bookmarkStart w:id="92" w:name="_Toc484973050"/>
      <w:bookmarkStart w:id="93" w:name="_Toc490323004"/>
      <w:bookmarkStart w:id="94" w:name="_Toc12795146"/>
      <w:r w:rsidRPr="007D367C">
        <w:t>Types of Transmission Upgrades</w:t>
      </w:r>
      <w:bookmarkEnd w:id="91"/>
      <w:bookmarkEnd w:id="92"/>
      <w:bookmarkEnd w:id="93"/>
      <w:bookmarkEnd w:id="94"/>
    </w:p>
    <w:p w14:paraId="1BE73776" w14:textId="059748ED" w:rsidR="007D367C" w:rsidRPr="007D367C" w:rsidRDefault="007D367C" w:rsidP="007D367C">
      <w:r w:rsidRPr="007D367C">
        <w:t>Attachment N of the OATT, “Procedures for Regional System Plan Upgrades,” defines several categories of transmission upgrades that can be developed to address various types of defined system needs, such as reliability and market efficiency.</w:t>
      </w:r>
      <w:r w:rsidRPr="007D367C">
        <w:rPr>
          <w:vertAlign w:val="superscript"/>
        </w:rPr>
        <w:footnoteReference w:id="38"/>
      </w:r>
      <w:r w:rsidRPr="007D367C">
        <w:t xml:space="preserve"> Transmission upgrades resulting from system changes proposed by individual proponents include, for example, generator-interconnection-related upgrades and e</w:t>
      </w:r>
      <w:r w:rsidRPr="007D367C">
        <w:rPr>
          <w:color w:val="000000"/>
        </w:rPr>
        <w:t>lective transmission upgrades (</w:t>
      </w:r>
      <w:r w:rsidRPr="007D367C">
        <w:t xml:space="preserve">ETUs). Section </w:t>
      </w:r>
      <w:r w:rsidR="00EB1581">
        <w:fldChar w:fldCharType="begin"/>
      </w:r>
      <w:r w:rsidR="00EB1581">
        <w:instrText xml:space="preserve"> REF _Ref10803277 \r \h </w:instrText>
      </w:r>
      <w:r w:rsidR="00EB1581">
        <w:fldChar w:fldCharType="separate"/>
      </w:r>
      <w:r w:rsidR="005D0B73">
        <w:t>5.5</w:t>
      </w:r>
      <w:r w:rsidR="00EB1581">
        <w:fldChar w:fldCharType="end"/>
      </w:r>
      <w:r w:rsidRPr="007D367C">
        <w:t xml:space="preserve"> discusses specific transmission upgrades.</w:t>
      </w:r>
    </w:p>
    <w:p w14:paraId="10477420" w14:textId="77777777" w:rsidR="007D367C" w:rsidRPr="007D367C" w:rsidRDefault="007D367C" w:rsidP="00BF3CF1">
      <w:pPr>
        <w:pStyle w:val="Heading4"/>
      </w:pPr>
      <w:r w:rsidRPr="007D367C">
        <w:t>Reliability Transmission Upgrades</w:t>
      </w:r>
    </w:p>
    <w:p w14:paraId="203EA354" w14:textId="77777777" w:rsidR="007D367C" w:rsidRPr="007D367C" w:rsidRDefault="007D367C" w:rsidP="007D367C">
      <w:r w:rsidRPr="007D367C">
        <w:rPr>
          <w:i/>
        </w:rPr>
        <w:t>Reliability transmission upgrades</w:t>
      </w:r>
      <w:r w:rsidRPr="007D367C">
        <w:t xml:space="preserve"> (RTUs) are necessary to ensure the continued reliability of the New England transmission system, in compliance with applicable reliability standards. An RTU also may provide market-efficiency benefits. To identify the transmission system facilities required to maintain reliability and system performance, the ISO evaluates the following factors using reasonable assumptions for forecasted load and the availability of generation and transmission facilities:</w:t>
      </w:r>
    </w:p>
    <w:p w14:paraId="1E0C8DBB" w14:textId="6E956986" w:rsidR="007D367C" w:rsidRPr="007D367C" w:rsidRDefault="007D367C" w:rsidP="00955D2D">
      <w:pPr>
        <w:numPr>
          <w:ilvl w:val="0"/>
          <w:numId w:val="33"/>
        </w:numPr>
        <w:spacing w:after="120"/>
        <w:rPr>
          <w:color w:val="000000"/>
        </w:rPr>
      </w:pPr>
      <w:r w:rsidRPr="007D367C">
        <w:rPr>
          <w:color w:val="000000"/>
        </w:rPr>
        <w:t xml:space="preserve">Known changes in available supply resources and transmission facilities, such as anticipated transmission enhancements, considering elective transmission upgrades and merchant transmission facilities </w:t>
      </w:r>
      <w:r w:rsidRPr="007D367C">
        <w:t xml:space="preserve">(see Section </w:t>
      </w:r>
      <w:r w:rsidR="00EB1581">
        <w:fldChar w:fldCharType="begin"/>
      </w:r>
      <w:r w:rsidR="00EB1581">
        <w:instrText xml:space="preserve"> REF _Ref423460892 \r \h </w:instrText>
      </w:r>
      <w:r w:rsidR="00EB1581">
        <w:fldChar w:fldCharType="separate"/>
      </w:r>
      <w:r w:rsidR="005D0B73">
        <w:t>2.1.1.5</w:t>
      </w:r>
      <w:r w:rsidR="00EB1581">
        <w:fldChar w:fldCharType="end"/>
      </w:r>
      <w:r w:rsidRPr="007D367C">
        <w:t>)</w:t>
      </w:r>
      <w:r w:rsidRPr="007D367C">
        <w:rPr>
          <w:color w:val="000000"/>
        </w:rPr>
        <w:t xml:space="preserve">; the addition of </w:t>
      </w:r>
      <w:r w:rsidR="0088028C">
        <w:rPr>
          <w:color w:val="000000"/>
        </w:rPr>
        <w:t xml:space="preserve">generators and </w:t>
      </w:r>
      <w:r w:rsidRPr="007D367C">
        <w:rPr>
          <w:color w:val="000000"/>
        </w:rPr>
        <w:t>demand resources</w:t>
      </w:r>
      <w:r w:rsidR="0088028C">
        <w:rPr>
          <w:color w:val="000000"/>
        </w:rPr>
        <w:t xml:space="preserve">; </w:t>
      </w:r>
      <w:r w:rsidR="0088028C">
        <w:rPr>
          <w:color w:val="000000"/>
        </w:rPr>
        <w:lastRenderedPageBreak/>
        <w:t xml:space="preserve">resource </w:t>
      </w:r>
      <w:r w:rsidRPr="007D367C">
        <w:rPr>
          <w:color w:val="000000"/>
        </w:rPr>
        <w:t xml:space="preserve">retirements; and maintenance schedules, forced outages, and other unavailability factors </w:t>
      </w:r>
    </w:p>
    <w:p w14:paraId="62A60BF5" w14:textId="77777777" w:rsidR="007D367C" w:rsidRPr="007D367C" w:rsidRDefault="007D367C" w:rsidP="00955D2D">
      <w:pPr>
        <w:numPr>
          <w:ilvl w:val="0"/>
          <w:numId w:val="30"/>
        </w:numPr>
        <w:spacing w:after="120"/>
        <w:rPr>
          <w:color w:val="000000"/>
        </w:rPr>
      </w:pPr>
      <w:r w:rsidRPr="007D367C">
        <w:rPr>
          <w:color w:val="000000"/>
        </w:rPr>
        <w:t>Forecasted load, which accounts for growth, reductions, and redistribution throughout the grid</w:t>
      </w:r>
    </w:p>
    <w:p w14:paraId="1725ABB8" w14:textId="77777777" w:rsidR="007D367C" w:rsidRPr="007D367C" w:rsidRDefault="007D367C" w:rsidP="00955D2D">
      <w:pPr>
        <w:numPr>
          <w:ilvl w:val="0"/>
          <w:numId w:val="30"/>
        </w:numPr>
        <w:spacing w:after="120"/>
        <w:rPr>
          <w:color w:val="000000"/>
        </w:rPr>
      </w:pPr>
      <w:r w:rsidRPr="007D367C">
        <w:rPr>
          <w:color w:val="000000"/>
        </w:rPr>
        <w:t>Acceptable stability response</w:t>
      </w:r>
    </w:p>
    <w:p w14:paraId="1B397309" w14:textId="77777777" w:rsidR="007D367C" w:rsidRPr="007D367C" w:rsidRDefault="007D367C" w:rsidP="00955D2D">
      <w:pPr>
        <w:numPr>
          <w:ilvl w:val="0"/>
          <w:numId w:val="30"/>
        </w:numPr>
        <w:spacing w:after="120"/>
        <w:rPr>
          <w:color w:val="000000"/>
        </w:rPr>
      </w:pPr>
      <w:r w:rsidRPr="007D367C">
        <w:rPr>
          <w:color w:val="000000"/>
        </w:rPr>
        <w:t>Acceptable short-circuit performance</w:t>
      </w:r>
    </w:p>
    <w:p w14:paraId="05FED4CC" w14:textId="77777777" w:rsidR="007D367C" w:rsidRPr="007D367C" w:rsidRDefault="007D367C" w:rsidP="00955D2D">
      <w:pPr>
        <w:numPr>
          <w:ilvl w:val="0"/>
          <w:numId w:val="30"/>
        </w:numPr>
        <w:spacing w:after="120"/>
        <w:rPr>
          <w:color w:val="000000"/>
        </w:rPr>
      </w:pPr>
      <w:r w:rsidRPr="007D367C">
        <w:rPr>
          <w:color w:val="000000"/>
        </w:rPr>
        <w:t>Acceptable voltage levels</w:t>
      </w:r>
    </w:p>
    <w:p w14:paraId="1C365640" w14:textId="77777777" w:rsidR="007D367C" w:rsidRPr="007D367C" w:rsidRDefault="007D367C" w:rsidP="00955D2D">
      <w:pPr>
        <w:numPr>
          <w:ilvl w:val="0"/>
          <w:numId w:val="30"/>
        </w:numPr>
        <w:spacing w:after="120"/>
        <w:rPr>
          <w:color w:val="000000"/>
        </w:rPr>
      </w:pPr>
      <w:r w:rsidRPr="007D367C">
        <w:rPr>
          <w:color w:val="000000"/>
        </w:rPr>
        <w:t>Adequate thermal capability</w:t>
      </w:r>
    </w:p>
    <w:p w14:paraId="6B979B4E" w14:textId="77777777" w:rsidR="007D367C" w:rsidRPr="007D367C" w:rsidRDefault="007D367C" w:rsidP="00955D2D">
      <w:pPr>
        <w:numPr>
          <w:ilvl w:val="0"/>
          <w:numId w:val="30"/>
        </w:numPr>
        <w:rPr>
          <w:color w:val="000000"/>
        </w:rPr>
      </w:pPr>
      <w:r w:rsidRPr="007D367C">
        <w:rPr>
          <w:color w:val="000000"/>
        </w:rPr>
        <w:t>Acceptable system operability and responses (e.g., automatic operations, voltage changes)</w:t>
      </w:r>
    </w:p>
    <w:p w14:paraId="322DF92C" w14:textId="77777777" w:rsidR="007D367C" w:rsidRPr="007D367C" w:rsidRDefault="007D367C" w:rsidP="00BF3CF1">
      <w:pPr>
        <w:pStyle w:val="Heading4"/>
      </w:pPr>
      <w:bookmarkStart w:id="95" w:name="_Ref418965112"/>
      <w:r w:rsidRPr="007D367C">
        <w:t>Market Efficiency Transmission Upgrades</w:t>
      </w:r>
      <w:bookmarkEnd w:id="95"/>
    </w:p>
    <w:p w14:paraId="28BCCDF3" w14:textId="77777777" w:rsidR="007D367C" w:rsidRPr="007D367C" w:rsidRDefault="007D367C" w:rsidP="007D367C">
      <w:r w:rsidRPr="007D367C">
        <w:rPr>
          <w:i/>
        </w:rPr>
        <w:t>Market efficiency transmission upgrades</w:t>
      </w:r>
      <w:r w:rsidRPr="007D367C">
        <w:t xml:space="preserve"> (METUs) are primarily designed to reduce the total net production cost to supply the system load. The ISO categorizes a proposed transmission upgrade as a METU when it determines that the net present value of the net savings in the total cost to supply system load with and without the METU is greater than the net present value of the carrying cost of the identified upgrade. Analyses can include historical information from market reports and special studies, for example, and they report on cumulative net present value annually over the study period.</w:t>
      </w:r>
    </w:p>
    <w:p w14:paraId="6E35A942" w14:textId="77777777" w:rsidR="007D367C" w:rsidRPr="007D367C" w:rsidRDefault="007D367C" w:rsidP="00BF3CF1">
      <w:pPr>
        <w:pStyle w:val="Heading4"/>
      </w:pPr>
      <w:r w:rsidRPr="007D367C">
        <w:t>Public Policy Transmission Upgrades</w:t>
      </w:r>
    </w:p>
    <w:p w14:paraId="1BAB3BD8" w14:textId="2714A2F7" w:rsidR="007D367C" w:rsidRPr="007D367C" w:rsidRDefault="007D367C" w:rsidP="007D367C">
      <w:r w:rsidRPr="007D367C">
        <w:t xml:space="preserve">A </w:t>
      </w:r>
      <w:r w:rsidRPr="007D367C">
        <w:rPr>
          <w:rFonts w:asciiTheme="majorHAnsi" w:hAnsiTheme="majorHAnsi"/>
          <w:i/>
        </w:rPr>
        <w:t>pu</w:t>
      </w:r>
      <w:r w:rsidRPr="007D367C">
        <w:rPr>
          <w:i/>
        </w:rPr>
        <w:t>blic policy transmission upgrade</w:t>
      </w:r>
      <w:r w:rsidRPr="007D367C">
        <w:t xml:space="preserve"> (PPTU) is an addition or upgrade designed to meet transmission needs driven by public policy requirements. The planning process for PPTUs includes opportunities for input from the Ne</w:t>
      </w:r>
      <w:r w:rsidRPr="002F0157">
        <w:t xml:space="preserve">w England States Committee on Electricity (NESCOE; see Section </w:t>
      </w:r>
      <w:r w:rsidR="002F0157" w:rsidRPr="002F0157">
        <w:fldChar w:fldCharType="begin"/>
      </w:r>
      <w:r w:rsidR="002F0157" w:rsidRPr="002F0157">
        <w:instrText xml:space="preserve"> REF _Ref10812974 \n \h </w:instrText>
      </w:r>
      <w:r w:rsidR="002F0157">
        <w:instrText xml:space="preserve"> \* MERGEFORMAT </w:instrText>
      </w:r>
      <w:r w:rsidR="002F0157" w:rsidRPr="002F0157">
        <w:fldChar w:fldCharType="separate"/>
      </w:r>
      <w:r w:rsidR="005D0B73">
        <w:t>10.1.1</w:t>
      </w:r>
      <w:r w:rsidR="002F0157" w:rsidRPr="002F0157">
        <w:fldChar w:fldCharType="end"/>
      </w:r>
      <w:r w:rsidRPr="002F0157">
        <w:t xml:space="preserve">) and the Planning Advisory Committee (PAC; see Section </w:t>
      </w:r>
      <w:r w:rsidR="002F0157" w:rsidRPr="002F0157">
        <w:fldChar w:fldCharType="begin"/>
      </w:r>
      <w:r w:rsidR="002F0157" w:rsidRPr="002F0157">
        <w:instrText xml:space="preserve"> REF _Ref419640002 \n \h </w:instrText>
      </w:r>
      <w:r w:rsidR="002F0157">
        <w:instrText xml:space="preserve"> \* MERGEFORMAT </w:instrText>
      </w:r>
      <w:r w:rsidR="002F0157" w:rsidRPr="002F0157">
        <w:fldChar w:fldCharType="separate"/>
      </w:r>
      <w:r w:rsidR="005D0B73">
        <w:t>2.1.5</w:t>
      </w:r>
      <w:r w:rsidR="002F0157" w:rsidRPr="002F0157">
        <w:fldChar w:fldCharType="end"/>
      </w:r>
      <w:r w:rsidRPr="002F0157">
        <w:t xml:space="preserve">). The ISO conducts the public policy planning process, as set out in Attachment K, in accordance with its compliance filing for FERC Order 1000 (see Section </w:t>
      </w:r>
      <w:r w:rsidR="002F0157" w:rsidRPr="002F0157">
        <w:fldChar w:fldCharType="begin"/>
      </w:r>
      <w:r w:rsidR="002F0157" w:rsidRPr="002F0157">
        <w:instrText xml:space="preserve"> REF _Ref485807737 \n \h  \* MERGEFORMAT </w:instrText>
      </w:r>
      <w:r w:rsidR="002F0157" w:rsidRPr="002F0157">
        <w:fldChar w:fldCharType="separate"/>
      </w:r>
      <w:r w:rsidR="005D0B73">
        <w:t>5.3</w:t>
      </w:r>
      <w:r w:rsidR="002F0157" w:rsidRPr="002F0157">
        <w:fldChar w:fldCharType="end"/>
      </w:r>
      <w:r w:rsidRPr="002F0157">
        <w:t xml:space="preserve"> and Se</w:t>
      </w:r>
      <w:r w:rsidRPr="007D367C">
        <w:t xml:space="preserve">ction </w:t>
      </w:r>
      <w:r w:rsidR="002F0157">
        <w:fldChar w:fldCharType="begin"/>
      </w:r>
      <w:r w:rsidR="002F0157">
        <w:instrText xml:space="preserve"> REF _Ref360798959 \n \h </w:instrText>
      </w:r>
      <w:r w:rsidR="002F0157">
        <w:fldChar w:fldCharType="separate"/>
      </w:r>
      <w:r w:rsidR="005D0B73">
        <w:t>6.6</w:t>
      </w:r>
      <w:r w:rsidR="002F0157">
        <w:fldChar w:fldCharType="end"/>
      </w:r>
      <w:r w:rsidRPr="007D367C">
        <w:t>).</w:t>
      </w:r>
      <w:r w:rsidRPr="007D367C">
        <w:rPr>
          <w:vertAlign w:val="superscript"/>
        </w:rPr>
        <w:footnoteReference w:id="39"/>
      </w:r>
    </w:p>
    <w:p w14:paraId="1323927B" w14:textId="77777777" w:rsidR="007D367C" w:rsidRPr="007D367C" w:rsidRDefault="007D367C" w:rsidP="00BF3CF1">
      <w:pPr>
        <w:pStyle w:val="Heading4"/>
      </w:pPr>
      <w:r w:rsidRPr="007D367C">
        <w:t>Generator-Interconnection-Related Upgrades</w:t>
      </w:r>
    </w:p>
    <w:p w14:paraId="56B73753" w14:textId="77777777" w:rsidR="007D367C" w:rsidRPr="007D367C" w:rsidRDefault="007D367C" w:rsidP="007D367C">
      <w:r w:rsidRPr="007D367C">
        <w:t xml:space="preserve">A </w:t>
      </w:r>
      <w:r w:rsidRPr="007D367C">
        <w:rPr>
          <w:i/>
        </w:rPr>
        <w:t>generator-interconnection-related upgrade</w:t>
      </w:r>
      <w:r w:rsidRPr="007D367C">
        <w:t xml:space="preserve"> is an addition or modification to the New England transmission system for interconnecting a new or existing generating unit whose capability to provide energy or capacity is materially changing and increasing, whether or not the interconnection is for meeting the Network</w:t>
      </w:r>
      <w:r w:rsidR="00865A5F">
        <w:t>-</w:t>
      </w:r>
      <w:r w:rsidRPr="007D367C">
        <w:t>Capability Interconnection Standard or the Capacity</w:t>
      </w:r>
      <w:r w:rsidR="00865A5F">
        <w:t>-</w:t>
      </w:r>
      <w:r w:rsidRPr="007D367C">
        <w:t>Capability Interconnection Standard.</w:t>
      </w:r>
      <w:r w:rsidRPr="007D367C">
        <w:rPr>
          <w:vertAlign w:val="superscript"/>
        </w:rPr>
        <w:footnoteReference w:id="40"/>
      </w:r>
      <w:r w:rsidRPr="007D367C">
        <w:t xml:space="preserve"> The costs for this upgrade typically are allocated to the generator owner in accordance with the OATT.</w:t>
      </w:r>
    </w:p>
    <w:p w14:paraId="4DD23F4C" w14:textId="77777777" w:rsidR="007D367C" w:rsidRPr="007D367C" w:rsidRDefault="007D367C" w:rsidP="00BF3CF1">
      <w:pPr>
        <w:pStyle w:val="Heading4"/>
      </w:pPr>
      <w:bookmarkStart w:id="96" w:name="_Ref423460892"/>
      <w:r w:rsidRPr="007D367C">
        <w:lastRenderedPageBreak/>
        <w:t>Elective Transmission Upgrades</w:t>
      </w:r>
      <w:bookmarkEnd w:id="96"/>
    </w:p>
    <w:p w14:paraId="15D31FC7" w14:textId="6BC5FCEB" w:rsidR="007D367C" w:rsidRPr="007D367C" w:rsidRDefault="007D367C" w:rsidP="007D367C">
      <w:pPr>
        <w:rPr>
          <w:color w:val="000000"/>
        </w:rPr>
      </w:pPr>
      <w:r w:rsidRPr="007D367C">
        <w:rPr>
          <w:color w:val="000000"/>
        </w:rPr>
        <w:t xml:space="preserve">An </w:t>
      </w:r>
      <w:r w:rsidRPr="007D367C">
        <w:rPr>
          <w:i/>
          <w:color w:val="000000"/>
        </w:rPr>
        <w:t>elective transmission upgrade</w:t>
      </w:r>
      <w:r w:rsidRPr="007D367C">
        <w:rPr>
          <w:color w:val="000000"/>
        </w:rPr>
        <w:t xml:space="preserve"> is an interconnection or upgrade to the pool transmission facilities (PTFs) that are part of the New England transmission system and subject to the ISO’s operational control pursuant to an operating agreement.</w:t>
      </w:r>
      <w:r w:rsidRPr="007D367C">
        <w:rPr>
          <w:color w:val="000000"/>
          <w:vertAlign w:val="superscript"/>
        </w:rPr>
        <w:footnoteReference w:id="41"/>
      </w:r>
      <w:r w:rsidRPr="007D367C">
        <w:rPr>
          <w:color w:val="000000"/>
        </w:rPr>
        <w:t xml:space="preserve"> ETUs are independently developed facilities funded by one or more entities that have agreed to pay for all the costs of the upgrade and thus assume the full market risk of development.</w:t>
      </w:r>
    </w:p>
    <w:p w14:paraId="5F76CE9D" w14:textId="77777777" w:rsidR="007D367C" w:rsidRPr="007D367C" w:rsidRDefault="007D367C" w:rsidP="007D367C">
      <w:pPr>
        <w:rPr>
          <w:color w:val="000000"/>
        </w:rPr>
      </w:pPr>
      <w:r w:rsidRPr="007D367C">
        <w:rPr>
          <w:color w:val="000000"/>
        </w:rPr>
        <w:t xml:space="preserve">The ETU process is the mechanism available to integrate new merchant transmission facilities into the regional transmission system. </w:t>
      </w:r>
      <w:r w:rsidRPr="007D367C">
        <w:rPr>
          <w:rFonts w:eastAsia="Calibri"/>
          <w:color w:val="000000"/>
        </w:rPr>
        <w:t>The process provides an option for project sponsors to propose, develop, and fund transmission development within New England or connecting to neighboring systems.</w:t>
      </w:r>
      <w:r w:rsidRPr="007D367C">
        <w:rPr>
          <w:rFonts w:eastAsia="Calibri"/>
          <w:color w:val="000000"/>
          <w:vertAlign w:val="superscript"/>
        </w:rPr>
        <w:footnoteReference w:id="42"/>
      </w:r>
      <w:r w:rsidRPr="007D367C">
        <w:rPr>
          <w:rFonts w:eastAsia="Calibri"/>
          <w:color w:val="000000"/>
        </w:rPr>
        <w:t xml:space="preserve"> Such transmission may result in strengthening electrically weak portions of the regional transmission network, enhancing generator deliverability, or facilitating the integration of renewable resources. </w:t>
      </w:r>
    </w:p>
    <w:p w14:paraId="6BE13526" w14:textId="77777777" w:rsidR="007D367C" w:rsidRPr="007D367C" w:rsidRDefault="007D367C" w:rsidP="007D367C">
      <w:r w:rsidRPr="007D367C">
        <w:t>The ETU interconnection procedures have requirements and obligations similar to those of generators, so that ETUs can establish and maintain a meaningful position in the ISO Interconnection Request Queue (the queue).</w:t>
      </w:r>
      <w:r w:rsidRPr="007D367C">
        <w:rPr>
          <w:vertAlign w:val="superscript"/>
        </w:rPr>
        <w:footnoteReference w:id="43"/>
      </w:r>
      <w:r w:rsidRPr="007D367C">
        <w:t xml:space="preserve"> The ETU interconnection service allows certain tie lines with neighboring areas to be designed to deliver capacity into New England and have these interconnection service rights preserved as the New England system changes over time. The market rules ensure that these resources can deliver capacity and energy into the wholesale power markets. </w:t>
      </w:r>
    </w:p>
    <w:p w14:paraId="39C0E406" w14:textId="77777777" w:rsidR="007D367C" w:rsidRPr="007D367C" w:rsidRDefault="007D367C" w:rsidP="00BF3CF1">
      <w:pPr>
        <w:pStyle w:val="Heading3"/>
      </w:pPr>
      <w:bookmarkStart w:id="97" w:name="_Ref418972745"/>
      <w:bookmarkStart w:id="98" w:name="_Toc484973051"/>
      <w:bookmarkStart w:id="99" w:name="_Toc490323005"/>
      <w:bookmarkStart w:id="100" w:name="_Toc12795147"/>
      <w:r w:rsidRPr="007D367C">
        <w:t>Transmission Planning Guides</w:t>
      </w:r>
      <w:bookmarkEnd w:id="97"/>
      <w:bookmarkEnd w:id="98"/>
      <w:bookmarkEnd w:id="99"/>
      <w:bookmarkEnd w:id="100"/>
    </w:p>
    <w:p w14:paraId="37F87F57" w14:textId="77777777" w:rsidR="007D367C" w:rsidRPr="007D367C" w:rsidRDefault="007D367C" w:rsidP="007D367C">
      <w:r w:rsidRPr="007D367C">
        <w:t>The ISO developed guides that document both the implementation of the regional planning process described in Attachment K of the OATT and the associated technical assumptions.</w:t>
      </w:r>
      <w:r w:rsidRPr="007D367C">
        <w:rPr>
          <w:vertAlign w:val="superscript"/>
        </w:rPr>
        <w:footnoteReference w:id="44"/>
      </w:r>
      <w:r w:rsidRPr="007D367C">
        <w:t xml:space="preserve"> The </w:t>
      </w:r>
      <w:r w:rsidRPr="007D367C">
        <w:rPr>
          <w:i/>
        </w:rPr>
        <w:t>Transmission Planning Process Guide</w:t>
      </w:r>
      <w:r w:rsidRPr="007D367C">
        <w:t xml:space="preserve"> (Process Guide) contains details on the existing regional system planning process and how transmission planning studies are performed through the open regional stakeholder process.</w:t>
      </w:r>
      <w:r w:rsidRPr="007D367C">
        <w:rPr>
          <w:vertAlign w:val="superscript"/>
        </w:rPr>
        <w:footnoteReference w:id="45"/>
      </w:r>
      <w:r w:rsidRPr="007D367C">
        <w:t xml:space="preserve"> It discusses the development of needs assessments and solution studies, including the opportunities for stakeholder involvement. The guide includes more recent modifications required by FERC Order 1000 for </w:t>
      </w:r>
      <w:r w:rsidRPr="007D367C">
        <w:lastRenderedPageBreak/>
        <w:t>the use of qualified transmission project sponsors (QTPSs), planning for public policy, and interregional planning.</w:t>
      </w:r>
      <w:r w:rsidRPr="007D367C">
        <w:rPr>
          <w:vertAlign w:val="superscript"/>
        </w:rPr>
        <w:footnoteReference w:id="46"/>
      </w:r>
      <w:r w:rsidRPr="007D367C">
        <w:t xml:space="preserve"> The </w:t>
      </w:r>
      <w:r w:rsidRPr="007D367C">
        <w:rPr>
          <w:i/>
        </w:rPr>
        <w:t>Transmission Planning Technical Guide</w:t>
      </w:r>
      <w:r w:rsidRPr="007D367C">
        <w:t xml:space="preserve"> (Technical Guide) describes the current standards, criteria, and assumptions used in transmission planning studies of the regional power system.</w:t>
      </w:r>
      <w:r w:rsidRPr="007D367C">
        <w:rPr>
          <w:vertAlign w:val="superscript"/>
        </w:rPr>
        <w:footnoteReference w:id="47"/>
      </w:r>
      <w:r w:rsidRPr="007D367C">
        <w:t xml:space="preserve"> Both guides include stakeholder input.</w:t>
      </w:r>
    </w:p>
    <w:p w14:paraId="5339F92E" w14:textId="77777777" w:rsidR="007D367C" w:rsidRPr="007D367C" w:rsidRDefault="007D367C" w:rsidP="00BF3CF1">
      <w:pPr>
        <w:pStyle w:val="Heading3"/>
      </w:pPr>
      <w:bookmarkStart w:id="101" w:name="_Toc396807601"/>
      <w:bookmarkStart w:id="102" w:name="_Toc484973052"/>
      <w:bookmarkStart w:id="103" w:name="_Ref485979082"/>
      <w:bookmarkStart w:id="104" w:name="_Ref485981494"/>
      <w:bookmarkStart w:id="105" w:name="_Toc490323006"/>
      <w:bookmarkStart w:id="106" w:name="_Toc12795148"/>
      <w:r w:rsidRPr="007D367C">
        <w:t>Planning Studies Conducted for and Summarized in RSP1</w:t>
      </w:r>
      <w:bookmarkEnd w:id="101"/>
      <w:r w:rsidRPr="007D367C">
        <w:t>9</w:t>
      </w:r>
      <w:bookmarkEnd w:id="102"/>
      <w:bookmarkEnd w:id="103"/>
      <w:bookmarkEnd w:id="104"/>
      <w:bookmarkEnd w:id="105"/>
      <w:bookmarkEnd w:id="106"/>
    </w:p>
    <w:p w14:paraId="72194BF9" w14:textId="77777777" w:rsidR="007D367C" w:rsidRPr="007D367C" w:rsidRDefault="007D367C" w:rsidP="007D367C">
      <w:r w:rsidRPr="007D367C">
        <w:t xml:space="preserve">The ISO continually conducts numerous regional and local-area studies during all stages of planning for ensuring the reliability of the power system. FERC, interregional entities, the states, and others, also </w:t>
      </w:r>
      <w:r w:rsidRPr="00067D82">
        <w:t xml:space="preserve">sponsor planning initiatives for improving the power system and interregional coordination. Throughout </w:t>
      </w:r>
      <w:r w:rsidRPr="00CF2B8B">
        <w:t>RSP19, the ISO’s major studies and initiatives, as well as those conducted by others, both individually and jointly with the I</w:t>
      </w:r>
      <w:r w:rsidRPr="00DB5598">
        <w:t>SO, are summarized consistent with the steps used in the planning process:</w:t>
      </w:r>
    </w:p>
    <w:p w14:paraId="4F848FBC" w14:textId="77777777" w:rsidR="007D367C" w:rsidRPr="00DB5598" w:rsidRDefault="007D367C" w:rsidP="006357E6">
      <w:pPr>
        <w:numPr>
          <w:ilvl w:val="0"/>
          <w:numId w:val="34"/>
        </w:numPr>
        <w:spacing w:after="120"/>
        <w:ind w:left="720"/>
      </w:pPr>
      <w:r w:rsidRPr="0088028C">
        <w:t xml:space="preserve">Ten-year load forecasts through 2028 of </w:t>
      </w:r>
      <w:r w:rsidR="0088028C" w:rsidRPr="0088028C">
        <w:t xml:space="preserve">seasonal gross </w:t>
      </w:r>
      <w:r w:rsidRPr="0088028C">
        <w:t>p</w:t>
      </w:r>
      <w:r w:rsidRPr="00DB5598">
        <w:t>eak</w:t>
      </w:r>
      <w:r w:rsidR="00D73636" w:rsidRPr="00DB5598">
        <w:t xml:space="preserve"> </w:t>
      </w:r>
      <w:r w:rsidR="006357E6" w:rsidRPr="00DB5598">
        <w:t>lo</w:t>
      </w:r>
      <w:r w:rsidR="0088028C" w:rsidRPr="00DB5598">
        <w:t xml:space="preserve">ad and </w:t>
      </w:r>
      <w:r w:rsidR="00C727DA" w:rsidRPr="00DB5598">
        <w:t>annual</w:t>
      </w:r>
      <w:r w:rsidR="00D022EE" w:rsidRPr="00DB5598">
        <w:t xml:space="preserve"> </w:t>
      </w:r>
      <w:r w:rsidR="0088028C" w:rsidRPr="00DB5598">
        <w:t xml:space="preserve">gross </w:t>
      </w:r>
      <w:r w:rsidRPr="00DB5598">
        <w:t>electric energy</w:t>
      </w:r>
      <w:r w:rsidR="0088028C" w:rsidRPr="00DB5598">
        <w:t xml:space="preserve"> use</w:t>
      </w:r>
      <w:r w:rsidRPr="00DB5598">
        <w:t xml:space="preserve"> </w:t>
      </w:r>
    </w:p>
    <w:p w14:paraId="2B8AF7F0" w14:textId="77777777" w:rsidR="0088028C" w:rsidRPr="008939EA" w:rsidRDefault="0088028C" w:rsidP="00DB5598">
      <w:pPr>
        <w:numPr>
          <w:ilvl w:val="0"/>
          <w:numId w:val="34"/>
        </w:numPr>
        <w:spacing w:after="120"/>
        <w:ind w:left="720"/>
      </w:pPr>
      <w:r w:rsidRPr="008939EA">
        <w:t xml:space="preserve">Distributed </w:t>
      </w:r>
      <w:r w:rsidR="008939EA" w:rsidRPr="00DB5598">
        <w:t xml:space="preserve">generation (DG) forecast for </w:t>
      </w:r>
      <w:r w:rsidRPr="00D1271D">
        <w:t>photovoltaic</w:t>
      </w:r>
      <w:r w:rsidRPr="008939EA">
        <w:t xml:space="preserve"> (PV) generation</w:t>
      </w:r>
      <w:r w:rsidRPr="00D1271D">
        <w:t xml:space="preserve"> </w:t>
      </w:r>
      <w:r w:rsidRPr="008939EA">
        <w:t>and an energy-efficiency (EE) forecast f</w:t>
      </w:r>
      <w:r w:rsidR="00C727DA" w:rsidRPr="008939EA">
        <w:t>or</w:t>
      </w:r>
      <w:r w:rsidRPr="008939EA">
        <w:t xml:space="preserve"> 2019 to 2028</w:t>
      </w:r>
    </w:p>
    <w:p w14:paraId="0D568776" w14:textId="77777777" w:rsidR="0088028C" w:rsidRPr="007D367C" w:rsidRDefault="0088028C" w:rsidP="00CF2B8B">
      <w:pPr>
        <w:numPr>
          <w:ilvl w:val="0"/>
          <w:numId w:val="34"/>
        </w:numPr>
        <w:spacing w:after="120"/>
        <w:ind w:left="720"/>
      </w:pPr>
      <w:r w:rsidRPr="007D367C">
        <w:t>The development of a net forecast</w:t>
      </w:r>
      <w:r>
        <w:t>s</w:t>
      </w:r>
      <w:r w:rsidRPr="00947E2E">
        <w:t xml:space="preserve"> </w:t>
      </w:r>
      <w:r>
        <w:t xml:space="preserve">of annual and peak electric </w:t>
      </w:r>
      <w:r w:rsidRPr="00C727DA">
        <w:t>e</w:t>
      </w:r>
      <w:r w:rsidRPr="00CF2B8B">
        <w:rPr>
          <w:szCs w:val="22"/>
        </w:rPr>
        <w:t>nergy</w:t>
      </w:r>
      <w:r w:rsidRPr="00C727DA">
        <w:t xml:space="preserve"> </w:t>
      </w:r>
      <w:r>
        <w:t>us</w:t>
      </w:r>
      <w:r w:rsidR="00C727DA">
        <w:t>e</w:t>
      </w:r>
    </w:p>
    <w:p w14:paraId="4B97621A" w14:textId="77777777" w:rsidR="0088028C" w:rsidRPr="007D367C" w:rsidRDefault="0088028C" w:rsidP="00CF2B8B">
      <w:pPr>
        <w:numPr>
          <w:ilvl w:val="0"/>
          <w:numId w:val="34"/>
        </w:numPr>
        <w:spacing w:after="120"/>
        <w:ind w:left="720"/>
      </w:pPr>
      <w:r w:rsidRPr="007D367C">
        <w:t xml:space="preserve">Analyses of the amount, operating characteristics, and locations of needed </w:t>
      </w:r>
      <w:r>
        <w:t xml:space="preserve">energy, </w:t>
      </w:r>
      <w:r w:rsidRPr="007D367C">
        <w:t>capacity and operating reserves</w:t>
      </w:r>
    </w:p>
    <w:p w14:paraId="099B6E0B" w14:textId="77777777" w:rsidR="0088028C" w:rsidRPr="006357E6" w:rsidRDefault="0088028C" w:rsidP="006357E6">
      <w:pPr>
        <w:numPr>
          <w:ilvl w:val="0"/>
          <w:numId w:val="34"/>
        </w:numPr>
        <w:spacing w:after="120"/>
        <w:ind w:left="720"/>
      </w:pPr>
      <w:r w:rsidRPr="006357E6">
        <w:t xml:space="preserve">Analyses of Forward Capacity Market </w:t>
      </w:r>
      <w:r w:rsidR="006357E6" w:rsidRPr="006357E6">
        <w:t xml:space="preserve">(FCM) </w:t>
      </w:r>
      <w:r w:rsidRPr="006357E6">
        <w:t xml:space="preserve">results and locational Forward Reserve Market </w:t>
      </w:r>
      <w:r w:rsidR="006357E6" w:rsidRPr="006357E6">
        <w:t xml:space="preserve">(FRM) </w:t>
      </w:r>
      <w:r w:rsidRPr="006357E6">
        <w:t>resources that meet system needs</w:t>
      </w:r>
    </w:p>
    <w:p w14:paraId="2AD9535F" w14:textId="7C9F1E0B" w:rsidR="0088028C" w:rsidRPr="006357E6" w:rsidRDefault="0088028C" w:rsidP="006357E6">
      <w:pPr>
        <w:pStyle w:val="ListParagraph"/>
        <w:numPr>
          <w:ilvl w:val="0"/>
          <w:numId w:val="750"/>
        </w:numPr>
        <w:ind w:left="720"/>
      </w:pPr>
      <w:r w:rsidRPr="006357E6">
        <w:rPr>
          <w:color w:val="000000"/>
        </w:rPr>
        <w:t xml:space="preserve">Implications of generator retirements and interconnection of </w:t>
      </w:r>
      <w:r w:rsidRPr="006357E6">
        <w:t xml:space="preserve">distributed </w:t>
      </w:r>
      <w:r w:rsidR="00975E25">
        <w:t xml:space="preserve">energy </w:t>
      </w:r>
      <w:r w:rsidRPr="006357E6">
        <w:t>resources</w:t>
      </w:r>
      <w:r w:rsidR="0002310B">
        <w:t xml:space="preserve"> </w:t>
      </w:r>
      <w:r w:rsidRPr="006357E6">
        <w:rPr>
          <w:color w:val="000000"/>
        </w:rPr>
        <w:t>on the transmission system</w:t>
      </w:r>
      <w:r w:rsidRPr="006357E6">
        <w:rPr>
          <w:rFonts w:eastAsiaTheme="minorHAnsi"/>
          <w:szCs w:val="20"/>
          <w:vertAlign w:val="superscript"/>
        </w:rPr>
        <w:footnoteReference w:id="48"/>
      </w:r>
    </w:p>
    <w:p w14:paraId="6E601FE7" w14:textId="77777777" w:rsidR="007D367C" w:rsidRPr="007D367C" w:rsidRDefault="007D367C" w:rsidP="00CF2B8B">
      <w:pPr>
        <w:numPr>
          <w:ilvl w:val="0"/>
          <w:numId w:val="34"/>
        </w:numPr>
        <w:spacing w:after="120"/>
        <w:ind w:left="720"/>
        <w:rPr>
          <w:color w:val="000000"/>
        </w:rPr>
      </w:pPr>
      <w:r w:rsidRPr="007D367C">
        <w:rPr>
          <w:color w:val="000000"/>
        </w:rPr>
        <w:t>Assessments of systemwide and local-area needs (i.e., needs assessments), and transmission solutions to meet these needs (i.e., solution studies)</w:t>
      </w:r>
      <w:r w:rsidRPr="007D367C">
        <w:rPr>
          <w:color w:val="000000"/>
          <w:vertAlign w:val="superscript"/>
        </w:rPr>
        <w:footnoteReference w:id="49"/>
      </w:r>
      <w:r w:rsidRPr="007D367C">
        <w:rPr>
          <w:color w:val="000000"/>
          <w:vertAlign w:val="superscript"/>
        </w:rPr>
        <w:t xml:space="preserve"> </w:t>
      </w:r>
    </w:p>
    <w:p w14:paraId="78B4CA30" w14:textId="77777777" w:rsidR="007D367C" w:rsidRPr="007D367C" w:rsidRDefault="007D367C" w:rsidP="00CF2B8B">
      <w:pPr>
        <w:numPr>
          <w:ilvl w:val="0"/>
          <w:numId w:val="34"/>
        </w:numPr>
        <w:spacing w:after="120"/>
        <w:ind w:left="720"/>
      </w:pPr>
      <w:r w:rsidRPr="007D367C">
        <w:t>Planning coordination studies and initiatives affecting the planning of the system</w:t>
      </w:r>
      <w:r w:rsidR="001F1576">
        <w:t>:</w:t>
      </w:r>
    </w:p>
    <w:p w14:paraId="4ABD9B95" w14:textId="77777777" w:rsidR="007D367C" w:rsidRPr="007D367C" w:rsidRDefault="007D367C" w:rsidP="00955D2D">
      <w:pPr>
        <w:numPr>
          <w:ilvl w:val="0"/>
          <w:numId w:val="37"/>
        </w:numPr>
        <w:spacing w:after="120"/>
      </w:pPr>
      <w:r w:rsidRPr="007D367C">
        <w:t>Northeastern ISO/RTO planning coordination studies</w:t>
      </w:r>
    </w:p>
    <w:p w14:paraId="67067E9D" w14:textId="77777777" w:rsidR="007D367C" w:rsidRPr="007D367C" w:rsidRDefault="007D367C" w:rsidP="00955D2D">
      <w:pPr>
        <w:numPr>
          <w:ilvl w:val="0"/>
          <w:numId w:val="37"/>
        </w:numPr>
        <w:spacing w:after="120"/>
      </w:pPr>
      <w:r w:rsidRPr="007D367C">
        <w:t>Eastern Interconnection Planning Collaborative (EIPC) activities</w:t>
      </w:r>
      <w:r w:rsidRPr="007D367C">
        <w:rPr>
          <w:vertAlign w:val="superscript"/>
        </w:rPr>
        <w:footnoteReference w:id="50"/>
      </w:r>
    </w:p>
    <w:p w14:paraId="7F3444EB" w14:textId="77777777" w:rsidR="007D367C" w:rsidRPr="001F1576" w:rsidRDefault="00A226F8" w:rsidP="00955D2D">
      <w:pPr>
        <w:numPr>
          <w:ilvl w:val="0"/>
          <w:numId w:val="37"/>
        </w:numPr>
        <w:spacing w:after="120"/>
      </w:pPr>
      <w:r>
        <w:lastRenderedPageBreak/>
        <w:t>J</w:t>
      </w:r>
      <w:r w:rsidR="007D367C" w:rsidRPr="006357E6">
        <w:t>oint planning studies with neighboring regions</w:t>
      </w:r>
      <w:r w:rsidRPr="006357E6">
        <w:t xml:space="preserve"> conducted with the US Department of Energy (DOE</w:t>
      </w:r>
      <w:r w:rsidRPr="00C20086">
        <w:t xml:space="preserve">), </w:t>
      </w:r>
      <w:r w:rsidR="006357E6" w:rsidRPr="00C20086">
        <w:t>North American Electric Reliability Corporation (NERC)</w:t>
      </w:r>
      <w:r w:rsidR="00FC7F00" w:rsidRPr="00C20086">
        <w:t>,</w:t>
      </w:r>
      <w:r w:rsidR="006357E6" w:rsidRPr="00C20086">
        <w:t xml:space="preserve"> and Northeast </w:t>
      </w:r>
      <w:r w:rsidR="006357E6" w:rsidRPr="001F1576">
        <w:t>Power Coordinating Council (NPCC)</w:t>
      </w:r>
      <w:r w:rsidR="002E36D6" w:rsidRPr="00E04497">
        <w:t>.</w:t>
      </w:r>
      <w:r w:rsidR="00815A86" w:rsidRPr="00E04497">
        <w:rPr>
          <w:rStyle w:val="FootnoteReference"/>
        </w:rPr>
        <w:footnoteReference w:id="51"/>
      </w:r>
    </w:p>
    <w:p w14:paraId="1344DD31" w14:textId="77777777" w:rsidR="007D367C" w:rsidRPr="00E04497" w:rsidRDefault="007D367C" w:rsidP="00E04497">
      <w:pPr>
        <w:numPr>
          <w:ilvl w:val="0"/>
          <w:numId w:val="34"/>
        </w:numPr>
        <w:spacing w:after="120"/>
        <w:ind w:left="720"/>
        <w:rPr>
          <w:color w:val="000000"/>
        </w:rPr>
      </w:pPr>
      <w:r w:rsidRPr="00E04497">
        <w:rPr>
          <w:color w:val="000000"/>
        </w:rPr>
        <w:t xml:space="preserve">Discussions of regional strategic planning needs and solutions to resource adequacy and regional </w:t>
      </w:r>
      <w:r w:rsidR="001F1576" w:rsidRPr="00E04497">
        <w:rPr>
          <w:color w:val="000000"/>
        </w:rPr>
        <w:t>energy</w:t>
      </w:r>
      <w:r w:rsidRPr="00E04497">
        <w:rPr>
          <w:color w:val="000000"/>
        </w:rPr>
        <w:t>-security issue</w:t>
      </w:r>
      <w:r w:rsidR="001F1576" w:rsidRPr="00E04497">
        <w:rPr>
          <w:color w:val="000000"/>
        </w:rPr>
        <w:t>s</w:t>
      </w:r>
    </w:p>
    <w:p w14:paraId="53E650FB" w14:textId="77777777" w:rsidR="007D367C" w:rsidRPr="00E04497" w:rsidRDefault="007D367C" w:rsidP="00E04497">
      <w:pPr>
        <w:numPr>
          <w:ilvl w:val="0"/>
          <w:numId w:val="34"/>
        </w:numPr>
        <w:spacing w:after="120"/>
        <w:ind w:left="720"/>
        <w:rPr>
          <w:color w:val="000000"/>
        </w:rPr>
      </w:pPr>
      <w:r w:rsidRPr="00E04497">
        <w:rPr>
          <w:color w:val="000000"/>
        </w:rPr>
        <w:t>Effects of compliance with environmental regulations on generator operating requirements and the need for remediation measures</w:t>
      </w:r>
    </w:p>
    <w:p w14:paraId="45BD7F28" w14:textId="77777777" w:rsidR="007D367C" w:rsidRPr="002B625F" w:rsidRDefault="007D367C" w:rsidP="001F1576">
      <w:pPr>
        <w:numPr>
          <w:ilvl w:val="0"/>
          <w:numId w:val="34"/>
        </w:numPr>
        <w:spacing w:after="120"/>
        <w:ind w:left="720"/>
        <w:rPr>
          <w:color w:val="000000"/>
        </w:rPr>
      </w:pPr>
      <w:r w:rsidRPr="00CF2B8B">
        <w:rPr>
          <w:color w:val="000000"/>
        </w:rPr>
        <w:t>Operating and planni</w:t>
      </w:r>
      <w:r w:rsidRPr="001F1576">
        <w:rPr>
          <w:color w:val="000000"/>
        </w:rPr>
        <w:t xml:space="preserve">ng for </w:t>
      </w:r>
      <w:r w:rsidR="001F1576">
        <w:rPr>
          <w:color w:val="000000"/>
        </w:rPr>
        <w:t xml:space="preserve">the </w:t>
      </w:r>
      <w:r w:rsidRPr="001F1576">
        <w:rPr>
          <w:color w:val="000000"/>
        </w:rPr>
        <w:t>inte</w:t>
      </w:r>
      <w:r w:rsidRPr="00CF2B8B">
        <w:rPr>
          <w:color w:val="000000"/>
        </w:rPr>
        <w:t>gration of renewable resources, including the need for tra</w:t>
      </w:r>
      <w:r w:rsidRPr="002B625F">
        <w:rPr>
          <w:color w:val="000000"/>
        </w:rPr>
        <w:t>nsmission development for wind generation (e.g. cluster st</w:t>
      </w:r>
      <w:r w:rsidRPr="00D022EE">
        <w:rPr>
          <w:color w:val="000000"/>
        </w:rPr>
        <w:t>ud</w:t>
      </w:r>
      <w:r w:rsidR="001F1576" w:rsidRPr="00D022EE">
        <w:rPr>
          <w:color w:val="000000"/>
        </w:rPr>
        <w:t>ies</w:t>
      </w:r>
      <w:r w:rsidRPr="002B625F">
        <w:rPr>
          <w:color w:val="000000"/>
        </w:rPr>
        <w:t xml:space="preserve">) and the identification of interconnection issues </w:t>
      </w:r>
    </w:p>
    <w:p w14:paraId="11C3F06F" w14:textId="77777777" w:rsidR="007D367C" w:rsidRPr="00CF2B8B" w:rsidRDefault="007D367C" w:rsidP="002B625F">
      <w:pPr>
        <w:numPr>
          <w:ilvl w:val="0"/>
          <w:numId w:val="34"/>
        </w:numPr>
        <w:spacing w:after="120"/>
        <w:ind w:left="720"/>
        <w:rPr>
          <w:color w:val="000000"/>
        </w:rPr>
      </w:pPr>
      <w:r w:rsidRPr="002B625F">
        <w:rPr>
          <w:color w:val="000000"/>
        </w:rPr>
        <w:t>Studies of the economic and environmental performance of the system for various future resource- and transmission-expansion scen</w:t>
      </w:r>
      <w:r w:rsidRPr="00CF2B8B">
        <w:rPr>
          <w:color w:val="000000"/>
        </w:rPr>
        <w:t>arios</w:t>
      </w:r>
    </w:p>
    <w:p w14:paraId="24EB9011" w14:textId="77777777" w:rsidR="007D367C" w:rsidRPr="007D367C" w:rsidRDefault="007D367C" w:rsidP="00CF2B8B">
      <w:pPr>
        <w:numPr>
          <w:ilvl w:val="0"/>
          <w:numId w:val="34"/>
        </w:numPr>
        <w:ind w:left="720"/>
      </w:pPr>
      <w:r w:rsidRPr="007D367C">
        <w:t>Federal, state, and regional initiatives and governmental activities and policies affecting the planning process</w:t>
      </w:r>
    </w:p>
    <w:p w14:paraId="7C02A96C" w14:textId="77777777" w:rsidR="007D367C" w:rsidRPr="00F72D00" w:rsidRDefault="007D367C" w:rsidP="00BF3CF1">
      <w:pPr>
        <w:pStyle w:val="Heading3"/>
      </w:pPr>
      <w:bookmarkStart w:id="107" w:name="_Toc484973053"/>
      <w:bookmarkStart w:id="108" w:name="_Toc490323007"/>
      <w:bookmarkStart w:id="109" w:name="_Toc12795149"/>
      <w:bookmarkStart w:id="110" w:name="_Ref16934086"/>
      <w:r w:rsidRPr="00F72D00">
        <w:t>Accounting for Uncertainty</w:t>
      </w:r>
      <w:bookmarkEnd w:id="107"/>
      <w:bookmarkEnd w:id="108"/>
      <w:bookmarkEnd w:id="109"/>
      <w:bookmarkEnd w:id="110"/>
    </w:p>
    <w:p w14:paraId="0D2A9EDB" w14:textId="77777777" w:rsidR="00DB13B0" w:rsidRDefault="007D367C" w:rsidP="00DB5598">
      <w:r w:rsidRPr="00F72D00">
        <w:t xml:space="preserve">Regional system planning must account for the uncertainty in assumptions made about the next 10 years stemming from </w:t>
      </w:r>
      <w:r w:rsidR="00DB13B0">
        <w:t>the following:</w:t>
      </w:r>
    </w:p>
    <w:p w14:paraId="371CEC89" w14:textId="267770C2" w:rsidR="00DB13B0" w:rsidRDefault="00DB13B0" w:rsidP="00DB5598">
      <w:pPr>
        <w:numPr>
          <w:ilvl w:val="0"/>
          <w:numId w:val="768"/>
        </w:numPr>
        <w:spacing w:after="120"/>
      </w:pPr>
      <w:r>
        <w:t>C</w:t>
      </w:r>
      <w:r w:rsidR="007D367C" w:rsidRPr="00F72D00">
        <w:t>hanging demand, fuel avail</w:t>
      </w:r>
      <w:r w:rsidR="007D367C" w:rsidRPr="008B3A50">
        <w:t>ability</w:t>
      </w:r>
      <w:r w:rsidRPr="008B3A50">
        <w:t xml:space="preserve"> (i.e., </w:t>
      </w:r>
      <w:r w:rsidR="007D367C" w:rsidRPr="008B3A50">
        <w:t>production by</w:t>
      </w:r>
      <w:r w:rsidR="0002310B" w:rsidRPr="008B3A50">
        <w:rPr>
          <w:rFonts w:eastAsia="Times New Roman"/>
          <w:szCs w:val="24"/>
        </w:rPr>
        <w:t xml:space="preserve"> </w:t>
      </w:r>
      <w:r w:rsidR="00E572B8" w:rsidRPr="008B3A50">
        <w:rPr>
          <w:rFonts w:eastAsia="Times New Roman"/>
          <w:szCs w:val="24"/>
        </w:rPr>
        <w:t xml:space="preserve">generators relying on fuel delivered </w:t>
      </w:r>
      <w:r w:rsidR="00E572B8" w:rsidRPr="007B60EC">
        <w:rPr>
          <w:rFonts w:eastAsia="Times New Roman"/>
          <w:szCs w:val="24"/>
        </w:rPr>
        <w:t>“</w:t>
      </w:r>
      <w:r w:rsidR="0002310B" w:rsidRPr="007B60EC">
        <w:rPr>
          <w:rFonts w:eastAsia="Times New Roman"/>
          <w:szCs w:val="24"/>
        </w:rPr>
        <w:t>just</w:t>
      </w:r>
      <w:r w:rsidR="00E572B8" w:rsidRPr="007B60EC">
        <w:rPr>
          <w:rFonts w:eastAsia="Times New Roman"/>
          <w:szCs w:val="24"/>
        </w:rPr>
        <w:t xml:space="preserve"> </w:t>
      </w:r>
      <w:r w:rsidR="0002310B" w:rsidRPr="007B60EC">
        <w:rPr>
          <w:rFonts w:eastAsia="Times New Roman"/>
          <w:szCs w:val="24"/>
        </w:rPr>
        <w:t>in</w:t>
      </w:r>
      <w:r w:rsidR="00E572B8" w:rsidRPr="007B60EC">
        <w:rPr>
          <w:rFonts w:eastAsia="Times New Roman"/>
          <w:szCs w:val="24"/>
        </w:rPr>
        <w:t xml:space="preserve"> </w:t>
      </w:r>
      <w:r w:rsidR="0002310B" w:rsidRPr="007B60EC">
        <w:rPr>
          <w:rFonts w:eastAsia="Times New Roman"/>
          <w:szCs w:val="24"/>
        </w:rPr>
        <w:t>time</w:t>
      </w:r>
      <w:r w:rsidRPr="007B60EC">
        <w:rPr>
          <w:rFonts w:eastAsia="Times New Roman"/>
          <w:szCs w:val="24"/>
        </w:rPr>
        <w:t>,</w:t>
      </w:r>
      <w:r w:rsidR="0002310B" w:rsidRPr="007B60EC">
        <w:rPr>
          <w:rFonts w:eastAsia="Times New Roman"/>
          <w:szCs w:val="24"/>
        </w:rPr>
        <w:t xml:space="preserve">” </w:t>
      </w:r>
      <w:r w:rsidRPr="007B60EC">
        <w:rPr>
          <w:rFonts w:eastAsia="Times New Roman"/>
          <w:szCs w:val="24"/>
        </w:rPr>
        <w:t xml:space="preserve">including </w:t>
      </w:r>
      <w:r w:rsidR="00E572B8" w:rsidRPr="007B60EC">
        <w:rPr>
          <w:rFonts w:eastAsia="Times New Roman"/>
          <w:szCs w:val="24"/>
        </w:rPr>
        <w:t>natural gas</w:t>
      </w:r>
      <w:r w:rsidR="00975E25" w:rsidRPr="007B60EC">
        <w:rPr>
          <w:rFonts w:eastAsia="Times New Roman"/>
          <w:szCs w:val="24"/>
        </w:rPr>
        <w:t xml:space="preserve">) </w:t>
      </w:r>
      <w:r w:rsidR="0002310B" w:rsidRPr="007B60EC">
        <w:t xml:space="preserve">and </w:t>
      </w:r>
      <w:r w:rsidR="00975E25" w:rsidRPr="007B60EC">
        <w:t>production</w:t>
      </w:r>
      <w:r w:rsidR="00975E25">
        <w:t xml:space="preserve"> </w:t>
      </w:r>
      <w:r w:rsidRPr="00CF2B8B">
        <w:t xml:space="preserve">by </w:t>
      </w:r>
      <w:r w:rsidR="007D367C" w:rsidRPr="00CF2B8B">
        <w:rPr>
          <w:i/>
        </w:rPr>
        <w:t>variable energy resources</w:t>
      </w:r>
      <w:r w:rsidR="00F72D00" w:rsidRPr="00CF2B8B">
        <w:t xml:space="preserve"> </w:t>
      </w:r>
      <w:r w:rsidR="008B376A">
        <w:t>(</w:t>
      </w:r>
      <w:r w:rsidR="00F72D00" w:rsidRPr="00CF2B8B">
        <w:t>VERs</w:t>
      </w:r>
      <w:r w:rsidR="008B376A">
        <w:t>)</w:t>
      </w:r>
      <w:r w:rsidRPr="00CF2B8B">
        <w:t xml:space="preserve">, which are </w:t>
      </w:r>
      <w:r w:rsidR="009E6989" w:rsidRPr="008B3A50">
        <w:t>intermittent resources</w:t>
      </w:r>
      <w:r w:rsidR="005B5402" w:rsidRPr="00CF2B8B">
        <w:t>,</w:t>
      </w:r>
      <w:r w:rsidR="009E6989" w:rsidRPr="008B3A50">
        <w:t xml:space="preserve"> such as </w:t>
      </w:r>
      <w:r w:rsidR="00F72D00" w:rsidRPr="00CF2B8B">
        <w:t xml:space="preserve">wind and </w:t>
      </w:r>
      <w:r w:rsidR="00E572B8" w:rsidRPr="00CF2B8B">
        <w:t>PV</w:t>
      </w:r>
      <w:r w:rsidR="007D367C" w:rsidRPr="008B3A50">
        <w:t xml:space="preserve">, </w:t>
      </w:r>
      <w:r w:rsidR="007D367C" w:rsidRPr="00F617C9">
        <w:t xml:space="preserve">market rules, </w:t>
      </w:r>
      <w:r w:rsidR="00F617C9">
        <w:t xml:space="preserve">technologies, </w:t>
      </w:r>
      <w:r w:rsidR="007D367C" w:rsidRPr="00F617C9">
        <w:t>planning processes, and environmental requirements</w:t>
      </w:r>
      <w:r w:rsidRPr="00DB13B0">
        <w:rPr>
          <w:vertAlign w:val="superscript"/>
        </w:rPr>
        <w:footnoteReference w:id="52"/>
      </w:r>
    </w:p>
    <w:p w14:paraId="6BAB075A" w14:textId="77777777" w:rsidR="00DB13B0" w:rsidRDefault="00DB13B0" w:rsidP="00DB5598">
      <w:pPr>
        <w:numPr>
          <w:ilvl w:val="0"/>
          <w:numId w:val="768"/>
        </w:numPr>
        <w:spacing w:after="120"/>
      </w:pPr>
      <w:r>
        <w:t>D</w:t>
      </w:r>
      <w:r w:rsidR="007D367C" w:rsidRPr="00F617C9">
        <w:t>evelopment and retirement of resources</w:t>
      </w:r>
    </w:p>
    <w:p w14:paraId="1B4601C2" w14:textId="77777777" w:rsidR="00DB13B0" w:rsidRDefault="00DB13B0" w:rsidP="00DB5598">
      <w:pPr>
        <w:numPr>
          <w:ilvl w:val="0"/>
          <w:numId w:val="768"/>
        </w:numPr>
        <w:spacing w:after="120"/>
      </w:pPr>
      <w:r>
        <w:t>P</w:t>
      </w:r>
      <w:r w:rsidR="007D367C" w:rsidRPr="00F617C9">
        <w:t>hysical conditi</w:t>
      </w:r>
      <w:r w:rsidR="007D367C" w:rsidRPr="00F72D00">
        <w:t>ons under which the system might be operating</w:t>
      </w:r>
    </w:p>
    <w:p w14:paraId="67BE1EE7" w14:textId="77777777" w:rsidR="00DB13B0" w:rsidRDefault="00DB13B0" w:rsidP="00DB5598">
      <w:pPr>
        <w:numPr>
          <w:ilvl w:val="0"/>
          <w:numId w:val="768"/>
        </w:numPr>
        <w:spacing w:after="120"/>
      </w:pPr>
      <w:r>
        <w:t>O</w:t>
      </w:r>
      <w:r w:rsidR="007D367C" w:rsidRPr="00F72D00">
        <w:t>ther relevant events</w:t>
      </w:r>
    </w:p>
    <w:p w14:paraId="03B4834D" w14:textId="74265805" w:rsidR="00A226F8" w:rsidRPr="00DB13B0" w:rsidRDefault="007D367C" w:rsidP="00DB5598">
      <w:pPr>
        <w:spacing w:after="120"/>
      </w:pPr>
      <w:r w:rsidRPr="007D367C">
        <w:t xml:space="preserve">The following major factors may vary RSP19 results and conclusions and ultimately </w:t>
      </w:r>
      <w:r w:rsidRPr="00DB13B0">
        <w:t>affect the development and timing of needed transmission facilities</w:t>
      </w:r>
      <w:r w:rsidR="00D022EE" w:rsidRPr="00DB5598">
        <w:t>,</w:t>
      </w:r>
      <w:r w:rsidRPr="00DB5598">
        <w:t xml:space="preserve"> generation, </w:t>
      </w:r>
      <w:r w:rsidR="00D022EE" w:rsidRPr="00DB5598">
        <w:t xml:space="preserve">and </w:t>
      </w:r>
      <w:r w:rsidRPr="00DB5598">
        <w:t>demand:</w:t>
      </w:r>
    </w:p>
    <w:p w14:paraId="3F1DCC5B" w14:textId="77777777" w:rsidR="007D367C" w:rsidRPr="007D367C" w:rsidRDefault="007D367C" w:rsidP="00955D2D">
      <w:pPr>
        <w:numPr>
          <w:ilvl w:val="0"/>
          <w:numId w:val="38"/>
        </w:numPr>
        <w:spacing w:after="120"/>
        <w:rPr>
          <w:rFonts w:eastAsia="Times New Roman"/>
        </w:rPr>
      </w:pPr>
      <w:r w:rsidRPr="007D367C">
        <w:rPr>
          <w:rFonts w:eastAsia="Times New Roman"/>
        </w:rPr>
        <w:t>Forecasts of demand, energy efficiency, an</w:t>
      </w:r>
      <w:r w:rsidRPr="00737438">
        <w:rPr>
          <w:rFonts w:eastAsia="Times New Roman"/>
        </w:rPr>
        <w:t>d distr</w:t>
      </w:r>
      <w:r w:rsidRPr="0056449C">
        <w:rPr>
          <w:rFonts w:eastAsia="Times New Roman"/>
        </w:rPr>
        <w:t>ibuted generation, wh</w:t>
      </w:r>
      <w:r w:rsidRPr="00737438">
        <w:rPr>
          <w:rFonts w:eastAsia="Times New Roman"/>
        </w:rPr>
        <w:t>ich are dependent on the economy, new building and federal appliance-efficiency standards, state g</w:t>
      </w:r>
      <w:r w:rsidRPr="007D367C">
        <w:rPr>
          <w:rFonts w:eastAsia="Times New Roman"/>
        </w:rPr>
        <w:t>oals for the implementation of EE and DG programs, and other considerations</w:t>
      </w:r>
    </w:p>
    <w:p w14:paraId="75359F6A" w14:textId="77777777" w:rsidR="007D367C" w:rsidRPr="007D367C" w:rsidRDefault="007D367C" w:rsidP="00955D2D">
      <w:pPr>
        <w:numPr>
          <w:ilvl w:val="0"/>
          <w:numId w:val="38"/>
        </w:numPr>
        <w:spacing w:after="120"/>
        <w:rPr>
          <w:rFonts w:eastAsia="Times New Roman"/>
        </w:rPr>
      </w:pPr>
      <w:r w:rsidRPr="007D367C">
        <w:rPr>
          <w:rFonts w:eastAsia="Times New Roman"/>
        </w:rPr>
        <w:lastRenderedPageBreak/>
        <w:t>Resource availability, which is dependent on physical and economic parameters, including fuel availability, which affect the performance, development, and retirement of resources</w:t>
      </w:r>
    </w:p>
    <w:p w14:paraId="253195FA" w14:textId="77777777" w:rsidR="007D367C" w:rsidRPr="007D367C" w:rsidRDefault="007D367C" w:rsidP="00955D2D">
      <w:pPr>
        <w:numPr>
          <w:ilvl w:val="0"/>
          <w:numId w:val="38"/>
        </w:numPr>
        <w:spacing w:after="120"/>
        <w:rPr>
          <w:rFonts w:eastAsia="Times New Roman"/>
        </w:rPr>
      </w:pPr>
      <w:r w:rsidRPr="007D367C">
        <w:rPr>
          <w:rFonts w:eastAsia="Times New Roman"/>
        </w:rPr>
        <w:t xml:space="preserve">Environmental regulations and compliance strategies, which can vary with changes in public policies, economic parameters, and technology development </w:t>
      </w:r>
    </w:p>
    <w:p w14:paraId="7A536405" w14:textId="77777777" w:rsidR="007D367C" w:rsidRPr="007D367C" w:rsidRDefault="007D367C" w:rsidP="00955D2D">
      <w:pPr>
        <w:numPr>
          <w:ilvl w:val="0"/>
          <w:numId w:val="38"/>
        </w:numPr>
        <w:spacing w:after="120"/>
        <w:rPr>
          <w:rFonts w:eastAsia="Times New Roman"/>
        </w:rPr>
      </w:pPr>
      <w:r w:rsidRPr="007D367C">
        <w:rPr>
          <w:rFonts w:eastAsia="Times New Roman"/>
        </w:rPr>
        <w:t>The deployment of new technologies, which may affect the physical ability and economic viability of new types of power system equipment and the efficiency of operating the power system</w:t>
      </w:r>
    </w:p>
    <w:p w14:paraId="6C31099A" w14:textId="77777777" w:rsidR="007D367C" w:rsidRPr="007D367C" w:rsidRDefault="007D367C" w:rsidP="00955D2D">
      <w:pPr>
        <w:numPr>
          <w:ilvl w:val="0"/>
          <w:numId w:val="38"/>
        </w:numPr>
        <w:spacing w:after="120"/>
        <w:rPr>
          <w:rFonts w:eastAsia="Times New Roman"/>
        </w:rPr>
      </w:pPr>
      <w:r w:rsidRPr="007D367C">
        <w:rPr>
          <w:rFonts w:eastAsia="Times New Roman"/>
        </w:rPr>
        <w:t>Fuel price forecasts, which change with world markets and infrastructure development</w:t>
      </w:r>
    </w:p>
    <w:p w14:paraId="304A4777" w14:textId="77777777" w:rsidR="007D367C" w:rsidRPr="007D367C" w:rsidRDefault="007D367C" w:rsidP="00955D2D">
      <w:pPr>
        <w:numPr>
          <w:ilvl w:val="0"/>
          <w:numId w:val="38"/>
        </w:numPr>
        <w:spacing w:after="120"/>
        <w:rPr>
          <w:rFonts w:eastAsia="Times New Roman"/>
        </w:rPr>
      </w:pPr>
      <w:r w:rsidRPr="007D367C">
        <w:rPr>
          <w:rFonts w:eastAsia="Times New Roman"/>
        </w:rPr>
        <w:t>Market rules and public policies, which can alter the development of market resources</w:t>
      </w:r>
    </w:p>
    <w:p w14:paraId="2CA47713" w14:textId="77777777" w:rsidR="007D367C" w:rsidRPr="007D367C" w:rsidRDefault="007D367C" w:rsidP="00955D2D">
      <w:pPr>
        <w:numPr>
          <w:ilvl w:val="0"/>
          <w:numId w:val="38"/>
        </w:numPr>
        <w:rPr>
          <w:rFonts w:eastAsia="Times New Roman"/>
          <w:szCs w:val="24"/>
        </w:rPr>
      </w:pPr>
      <w:r w:rsidRPr="007D367C">
        <w:rPr>
          <w:rFonts w:eastAsia="Times New Roman"/>
        </w:rPr>
        <w:t xml:space="preserve">Siting and construction delays </w:t>
      </w:r>
      <w:r w:rsidR="00905BC4">
        <w:rPr>
          <w:rFonts w:eastAsia="Times New Roman"/>
        </w:rPr>
        <w:t xml:space="preserve">for generation and transmission </w:t>
      </w:r>
      <w:r w:rsidRPr="007D367C">
        <w:rPr>
          <w:rFonts w:eastAsia="Times New Roman"/>
        </w:rPr>
        <w:t xml:space="preserve">and </w:t>
      </w:r>
      <w:r w:rsidR="00307E4B">
        <w:rPr>
          <w:rFonts w:eastAsia="Times New Roman"/>
        </w:rPr>
        <w:t xml:space="preserve">other </w:t>
      </w:r>
      <w:r w:rsidRPr="007D367C">
        <w:rPr>
          <w:rFonts w:eastAsia="Times New Roman"/>
        </w:rPr>
        <w:t>changes to the system</w:t>
      </w:r>
    </w:p>
    <w:p w14:paraId="3C78DB62" w14:textId="7C2B3409" w:rsidR="00201D1C" w:rsidRDefault="007D367C" w:rsidP="007D367C">
      <w:r w:rsidRPr="00BB0D3B">
        <w:t>While each RSP represents a snapshot in time, the planning process is continuous</w:t>
      </w:r>
      <w:r w:rsidR="00117EBD" w:rsidRPr="00BB0D3B">
        <w:t xml:space="preserve">, </w:t>
      </w:r>
      <w:r w:rsidR="0094466F" w:rsidRPr="00BB0D3B">
        <w:t xml:space="preserve">adaptive, </w:t>
      </w:r>
      <w:r w:rsidR="00117EBD" w:rsidRPr="00BB0D3B">
        <w:t xml:space="preserve">and successful in meeting planning objectives in an open and transparent manner with interested stakeholders for the 10-year planning horizon; see </w:t>
      </w:r>
      <w:r w:rsidR="00117EBD" w:rsidRPr="00BB0D3B">
        <w:fldChar w:fldCharType="begin"/>
      </w:r>
      <w:r w:rsidR="00117EBD" w:rsidRPr="00BB0D3B">
        <w:instrText xml:space="preserve"> REF _Ref12534496 \h  \* MERGEFORMAT </w:instrText>
      </w:r>
      <w:r w:rsidR="00117EBD" w:rsidRPr="00BB0D3B">
        <w:fldChar w:fldCharType="separate"/>
      </w:r>
      <w:r w:rsidR="005D0B73">
        <w:t xml:space="preserve">Figure </w:t>
      </w:r>
      <w:r w:rsidR="005D0B73">
        <w:rPr>
          <w:noProof/>
        </w:rPr>
        <w:t>2</w:t>
      </w:r>
      <w:r w:rsidR="005D0B73">
        <w:rPr>
          <w:noProof/>
        </w:rPr>
        <w:noBreakHyphen/>
        <w:t>1</w:t>
      </w:r>
      <w:r w:rsidR="00117EBD" w:rsidRPr="00BB0D3B">
        <w:fldChar w:fldCharType="end"/>
      </w:r>
      <w:r w:rsidR="00117EBD" w:rsidRPr="00BB0D3B">
        <w:t>. T</w:t>
      </w:r>
      <w:r w:rsidRPr="00BB0D3B">
        <w:t xml:space="preserve">he ISO </w:t>
      </w:r>
      <w:r w:rsidR="00117EBD" w:rsidRPr="00BB0D3B">
        <w:t xml:space="preserve">continually evaluates system needs, responds to changing market conditions, updates inputs and assumptions to studies, and </w:t>
      </w:r>
      <w:r w:rsidRPr="00BB0D3B">
        <w:t>revi</w:t>
      </w:r>
      <w:r w:rsidRPr="007D367C">
        <w:t>sits the results as needed when new information becomes available</w:t>
      </w:r>
      <w:r w:rsidR="00117EBD">
        <w:t xml:space="preserve">. </w:t>
      </w:r>
      <w:r w:rsidR="004174BD">
        <w:t xml:space="preserve">The ISO has been improving the information provided to stakeholders, especially the required timing of transmission projects. </w:t>
      </w:r>
    </w:p>
    <w:p w14:paraId="03852362" w14:textId="77777777" w:rsidR="007F7C01" w:rsidRDefault="007F7C01" w:rsidP="00CF2B8B">
      <w:pPr>
        <w:spacing w:after="0" w:line="240" w:lineRule="auto"/>
        <w:jc w:val="center"/>
      </w:pPr>
      <w:r w:rsidRPr="00AB1ED2">
        <w:rPr>
          <w:noProof/>
        </w:rPr>
        <w:drawing>
          <wp:inline distT="0" distB="0" distL="0" distR="0" wp14:anchorId="5A6AE237" wp14:editId="51753CAF">
            <wp:extent cx="2686050" cy="22479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247900"/>
                    </a:xfrm>
                    <a:prstGeom prst="rect">
                      <a:avLst/>
                    </a:prstGeom>
                    <a:noFill/>
                    <a:ln w="3175">
                      <a:solidFill>
                        <a:srgbClr val="000000"/>
                      </a:solidFill>
                    </a:ln>
                  </pic:spPr>
                </pic:pic>
              </a:graphicData>
            </a:graphic>
          </wp:inline>
        </w:drawing>
      </w:r>
    </w:p>
    <w:p w14:paraId="25AB25D8" w14:textId="0E677A4E" w:rsidR="00C71F4F" w:rsidRPr="002B625F" w:rsidRDefault="00DB13B0" w:rsidP="00E071FE">
      <w:pPr>
        <w:pStyle w:val="Caption"/>
        <w:spacing w:before="120" w:after="240"/>
        <w:ind w:left="2347"/>
        <w:jc w:val="left"/>
      </w:pPr>
      <w:bookmarkStart w:id="111" w:name="_Ref12534496"/>
      <w:bookmarkStart w:id="112" w:name="_Toc17709737"/>
      <w:r>
        <w:t xml:space="preserve">Figure </w:t>
      </w:r>
      <w:fldSimple w:instr=" STYLEREF 1 \s ">
        <w:r w:rsidR="008E7223">
          <w:rPr>
            <w:noProof/>
          </w:rPr>
          <w:t>2</w:t>
        </w:r>
      </w:fldSimple>
      <w:r w:rsidR="008E7223">
        <w:noBreakHyphen/>
      </w:r>
      <w:fldSimple w:instr=" SEQ Figure \* ARABIC \s 1 ">
        <w:r w:rsidR="008E7223">
          <w:rPr>
            <w:noProof/>
          </w:rPr>
          <w:t>1</w:t>
        </w:r>
      </w:fldSimple>
      <w:bookmarkEnd w:id="111"/>
      <w:r>
        <w:t xml:space="preserve">: ISO New England </w:t>
      </w:r>
      <w:r w:rsidR="00312B9F">
        <w:t>s</w:t>
      </w:r>
      <w:r>
        <w:t xml:space="preserve">ystem </w:t>
      </w:r>
      <w:r w:rsidR="00312B9F">
        <w:t>p</w:t>
      </w:r>
      <w:r>
        <w:t xml:space="preserve">lanning </w:t>
      </w:r>
      <w:r w:rsidR="00312B9F">
        <w:t>p</w:t>
      </w:r>
      <w:r>
        <w:t>rocess</w:t>
      </w:r>
      <w:r w:rsidR="00312B9F">
        <w:t>.</w:t>
      </w:r>
      <w:bookmarkEnd w:id="112"/>
    </w:p>
    <w:p w14:paraId="31D78EA2" w14:textId="77777777" w:rsidR="007D367C" w:rsidRPr="007D367C" w:rsidRDefault="007D367C" w:rsidP="00BF3CF1">
      <w:pPr>
        <w:pStyle w:val="Heading3"/>
      </w:pPr>
      <w:bookmarkStart w:id="113" w:name="_Ref419640002"/>
      <w:bookmarkStart w:id="114" w:name="_Toc484973054"/>
      <w:bookmarkStart w:id="115" w:name="_Toc490323008"/>
      <w:bookmarkStart w:id="116" w:name="_Toc12795150"/>
      <w:r w:rsidRPr="007D367C">
        <w:t>Working with the Planning Advisory Committee and Other Committees</w:t>
      </w:r>
      <w:bookmarkEnd w:id="113"/>
      <w:bookmarkEnd w:id="114"/>
      <w:bookmarkEnd w:id="115"/>
      <w:bookmarkEnd w:id="116"/>
    </w:p>
    <w:p w14:paraId="3587BB69" w14:textId="77777777" w:rsidR="007D367C" w:rsidRPr="007D367C" w:rsidRDefault="007D367C" w:rsidP="007D367C">
      <w:r w:rsidRPr="007D367C">
        <w:t>To conduct the system planning process, the ISO holds an open and transparent stakeholder forum with the Planning Advisory Committee (PAC).</w:t>
      </w:r>
      <w:r w:rsidRPr="007D367C">
        <w:rPr>
          <w:vertAlign w:val="superscript"/>
        </w:rPr>
        <w:footnoteReference w:id="53"/>
      </w:r>
      <w:r w:rsidRPr="007D367C">
        <w:t xml:space="preserve"> Any stakeholder can designate a representative to the PAC by providing written notice to the ISO. PAC membership currently includes representatives from state and federal governmental agencies; participating transmission owners (PTOs); ISO market participants; other New England Power Pool (NEPOOL) members; consulting companies; manufacturers; and other organizations, such as universities and environmental groups.</w:t>
      </w:r>
      <w:r w:rsidRPr="007D367C">
        <w:rPr>
          <w:vertAlign w:val="superscript"/>
        </w:rPr>
        <w:footnoteReference w:id="54"/>
      </w:r>
      <w:r w:rsidRPr="007D367C">
        <w:t xml:space="preserve"> The PAC has met 19 times from fall 2017 </w:t>
      </w:r>
      <w:r w:rsidRPr="007D367C">
        <w:lastRenderedPageBreak/>
        <w:t>to summer 2019 to discuss draft scopes of work, assumptions, and draft and final study results on a wide range of issues. In addition, subgroups of the PAC have discussed the energy-efficiency forecast, the distributed generation forecast, environmental issues, and economic studies.</w:t>
      </w:r>
    </w:p>
    <w:p w14:paraId="332D8DD4" w14:textId="51AF8057" w:rsidR="007D367C" w:rsidRPr="007D367C" w:rsidRDefault="007D367C" w:rsidP="007D367C">
      <w:r w:rsidRPr="007D367C">
        <w:t xml:space="preserve">Other committees are involved in the system planning process. The Reliability Committee (RC) provides input on planning procedures, </w:t>
      </w:r>
      <w:r w:rsidR="00895B79">
        <w:t>p</w:t>
      </w:r>
      <w:r w:rsidRPr="007D367C">
        <w:t xml:space="preserve">roposed </w:t>
      </w:r>
      <w:r w:rsidR="00895B79">
        <w:t>p</w:t>
      </w:r>
      <w:r w:rsidRPr="007D367C">
        <w:t xml:space="preserve">lan </w:t>
      </w:r>
      <w:r w:rsidR="00895B79">
        <w:t>a</w:t>
      </w:r>
      <w:r w:rsidRPr="007D367C">
        <w:t>pplications, regional transmission cost allocation</w:t>
      </w:r>
      <w:r w:rsidR="00DC195F">
        <w:t xml:space="preserve"> (TCA)</w:t>
      </w:r>
      <w:r w:rsidR="007A61AF">
        <w:t xml:space="preserve"> applications</w:t>
      </w:r>
      <w:r w:rsidRPr="007D367C">
        <w:t xml:space="preserve">, and other activities that affect the design and oversight of reliability standards for the power system. The Transmission Committee (TC) provides advisory input on the general tariff provisions of the OATT and amendments to the Transmission </w:t>
      </w:r>
      <w:r w:rsidR="004160A6">
        <w:t>Operating</w:t>
      </w:r>
      <w:r w:rsidR="004160A6" w:rsidRPr="007D367C">
        <w:t xml:space="preserve"> </w:t>
      </w:r>
      <w:r w:rsidRPr="007D367C">
        <w:t>Agreement.</w:t>
      </w:r>
      <w:r w:rsidRPr="007D367C">
        <w:rPr>
          <w:vertAlign w:val="superscript"/>
        </w:rPr>
        <w:footnoteReference w:id="55"/>
      </w:r>
      <w:r w:rsidRPr="007D367C">
        <w:t xml:space="preserve"> The Markets Committee provides advisory input on changes proposed by the ISO to </w:t>
      </w:r>
      <w:r w:rsidRPr="007D367C">
        <w:rPr>
          <w:i/>
        </w:rPr>
        <w:t>Market Rule 1</w:t>
      </w:r>
      <w:r w:rsidRPr="007D367C">
        <w:t xml:space="preserve"> and market procedures.</w:t>
      </w:r>
      <w:r w:rsidRPr="007D367C">
        <w:rPr>
          <w:vertAlign w:val="superscript"/>
        </w:rPr>
        <w:footnoteReference w:id="56"/>
      </w:r>
      <w:r w:rsidRPr="007D367C">
        <w:t xml:space="preserve"> Stakeholders who advise ISO New England or its neighboring ISO/RTOs on system planning matters have the opportunity to meet as a unified group through the Interregional Planning Stakeholder Advisory Committee (IPSAC; see Section</w:t>
      </w:r>
      <w:r w:rsidR="00FC7F00">
        <w:t xml:space="preserve"> </w:t>
      </w:r>
      <w:r w:rsidR="00FC7F00">
        <w:fldChar w:fldCharType="begin"/>
      </w:r>
      <w:r w:rsidR="00FC7F00">
        <w:instrText xml:space="preserve"> REF _Ref360798959 \n \h </w:instrText>
      </w:r>
      <w:r w:rsidR="00FC7F00">
        <w:fldChar w:fldCharType="separate"/>
      </w:r>
      <w:r w:rsidR="005D0B73">
        <w:t>6.6</w:t>
      </w:r>
      <w:r w:rsidR="00FC7F00">
        <w:fldChar w:fldCharType="end"/>
      </w:r>
      <w:r w:rsidRPr="007D367C">
        <w:t>).</w:t>
      </w:r>
    </w:p>
    <w:p w14:paraId="75A6B9F5" w14:textId="77777777" w:rsidR="007D367C" w:rsidRPr="00513653" w:rsidRDefault="007D367C" w:rsidP="00BF3CF1">
      <w:pPr>
        <w:pStyle w:val="Heading3"/>
      </w:pPr>
      <w:bookmarkStart w:id="117" w:name="_Toc303086353"/>
      <w:bookmarkStart w:id="118" w:name="_Ref418890076"/>
      <w:bookmarkStart w:id="119" w:name="_Ref418890526"/>
      <w:bookmarkStart w:id="120" w:name="_Toc484973055"/>
      <w:bookmarkStart w:id="121" w:name="_Ref485718934"/>
      <w:bookmarkStart w:id="122" w:name="_Ref485804489"/>
      <w:bookmarkStart w:id="123" w:name="_Toc490323009"/>
      <w:bookmarkStart w:id="124" w:name="_Ref10813349"/>
      <w:bookmarkStart w:id="125" w:name="_Toc12795151"/>
      <w:r w:rsidRPr="00513653">
        <w:t>Providing Information to Stakeholders</w:t>
      </w:r>
      <w:bookmarkEnd w:id="117"/>
      <w:bookmarkEnd w:id="118"/>
      <w:bookmarkEnd w:id="119"/>
      <w:bookmarkEnd w:id="120"/>
      <w:bookmarkEnd w:id="121"/>
      <w:bookmarkEnd w:id="122"/>
      <w:bookmarkEnd w:id="123"/>
      <w:bookmarkEnd w:id="124"/>
      <w:bookmarkEnd w:id="125"/>
    </w:p>
    <w:p w14:paraId="1838D1D6" w14:textId="1EB323B4" w:rsidR="00A930EB" w:rsidRDefault="007D367C" w:rsidP="007D367C">
      <w:r w:rsidRPr="00513653">
        <w:t xml:space="preserve">In addition to publishing the Regional System Plan and specific needs </w:t>
      </w:r>
      <w:r w:rsidRPr="00BB0D3B">
        <w:t xml:space="preserve">assessments and solutions studies to provide information to stakeholders, the ISO issues the </w:t>
      </w:r>
      <w:r w:rsidRPr="00BB0D3B">
        <w:rPr>
          <w:i/>
        </w:rPr>
        <w:t>RSP Project List</w:t>
      </w:r>
      <w:r w:rsidR="00905BC4" w:rsidRPr="00BB0D3B">
        <w:rPr>
          <w:i/>
        </w:rPr>
        <w:t xml:space="preserve"> </w:t>
      </w:r>
      <w:r w:rsidR="00905BC4" w:rsidRPr="00BB0D3B">
        <w:t xml:space="preserve">and </w:t>
      </w:r>
      <w:r w:rsidR="00905BC4" w:rsidRPr="00BB0D3B">
        <w:rPr>
          <w:i/>
        </w:rPr>
        <w:t>Asset</w:t>
      </w:r>
      <w:r w:rsidR="00EC4036">
        <w:rPr>
          <w:i/>
        </w:rPr>
        <w:t>-</w:t>
      </w:r>
      <w:r w:rsidR="00905BC4" w:rsidRPr="00BB0D3B">
        <w:rPr>
          <w:i/>
        </w:rPr>
        <w:t xml:space="preserve">Condition </w:t>
      </w:r>
      <w:r w:rsidR="009D34FF" w:rsidRPr="00BB0D3B">
        <w:rPr>
          <w:i/>
        </w:rPr>
        <w:t>Update</w:t>
      </w:r>
      <w:r w:rsidR="003A1FF5" w:rsidRPr="00BB0D3B">
        <w:rPr>
          <w:i/>
        </w:rPr>
        <w:t xml:space="preserve"> </w:t>
      </w:r>
      <w:r w:rsidR="003A1FF5" w:rsidRPr="00BB0D3B">
        <w:t xml:space="preserve">(see Sections </w:t>
      </w:r>
      <w:r w:rsidR="003A1FF5" w:rsidRPr="00BB0D3B">
        <w:fldChar w:fldCharType="begin"/>
      </w:r>
      <w:r w:rsidR="003A1FF5" w:rsidRPr="00BB0D3B">
        <w:instrText xml:space="preserve"> REF _Ref12536461 \r \h </w:instrText>
      </w:r>
      <w:r w:rsidR="00513653" w:rsidRPr="00BB0D3B">
        <w:instrText xml:space="preserve"> \* MERGEFORMAT </w:instrText>
      </w:r>
      <w:r w:rsidR="003A1FF5" w:rsidRPr="00BB0D3B">
        <w:fldChar w:fldCharType="separate"/>
      </w:r>
      <w:r w:rsidR="005D0B73">
        <w:t>5.7</w:t>
      </w:r>
      <w:r w:rsidR="003A1FF5" w:rsidRPr="00BB0D3B">
        <w:fldChar w:fldCharType="end"/>
      </w:r>
      <w:r w:rsidR="003A1FF5" w:rsidRPr="00BB0D3B">
        <w:t xml:space="preserve"> and </w:t>
      </w:r>
      <w:r w:rsidR="003A1FF5" w:rsidRPr="00BB0D3B">
        <w:fldChar w:fldCharType="begin"/>
      </w:r>
      <w:r w:rsidR="003A1FF5" w:rsidRPr="00BB0D3B">
        <w:instrText xml:space="preserve"> REF _Ref485720285 \n \h </w:instrText>
      </w:r>
      <w:r w:rsidR="00513653" w:rsidRPr="00BB0D3B">
        <w:instrText xml:space="preserve"> \* MERGEFORMAT </w:instrText>
      </w:r>
      <w:r w:rsidR="003A1FF5" w:rsidRPr="00BB0D3B">
        <w:fldChar w:fldCharType="separate"/>
      </w:r>
      <w:r w:rsidR="005D0B73">
        <w:t>5.9</w:t>
      </w:r>
      <w:r w:rsidR="003A1FF5" w:rsidRPr="00BB0D3B">
        <w:fldChar w:fldCharType="end"/>
      </w:r>
      <w:r w:rsidR="003A1FF5" w:rsidRPr="00BB0D3B">
        <w:t>).</w:t>
      </w:r>
      <w:r w:rsidR="003A1FF5" w:rsidRPr="00BB0D3B">
        <w:rPr>
          <w:vertAlign w:val="superscript"/>
        </w:rPr>
        <w:footnoteReference w:id="57"/>
      </w:r>
      <w:r w:rsidRPr="00BB0D3B">
        <w:t xml:space="preserve"> The </w:t>
      </w:r>
      <w:r w:rsidR="009D34FF" w:rsidRPr="00BB0D3B">
        <w:rPr>
          <w:i/>
        </w:rPr>
        <w:t>RSP Project L</w:t>
      </w:r>
      <w:r w:rsidRPr="00BB0D3B">
        <w:rPr>
          <w:i/>
        </w:rPr>
        <w:t>ist</w:t>
      </w:r>
      <w:r w:rsidRPr="00BB0D3B">
        <w:t xml:space="preserve"> includes the status of transmission upgrades during a project’s lifecycle</w:t>
      </w:r>
      <w:r w:rsidR="009D34FF" w:rsidRPr="00BB0D3B">
        <w:t xml:space="preserve">, and the </w:t>
      </w:r>
      <w:r w:rsidR="009D34FF" w:rsidRPr="00BB0D3B">
        <w:rPr>
          <w:i/>
        </w:rPr>
        <w:t>Asset</w:t>
      </w:r>
      <w:r w:rsidR="00EC4036">
        <w:rPr>
          <w:i/>
        </w:rPr>
        <w:t>-</w:t>
      </w:r>
      <w:r w:rsidR="009D34FF" w:rsidRPr="00BB0D3B">
        <w:rPr>
          <w:i/>
        </w:rPr>
        <w:t xml:space="preserve">Condition List </w:t>
      </w:r>
      <w:r w:rsidR="009D34FF" w:rsidRPr="00BB0D3B">
        <w:t>capture</w:t>
      </w:r>
      <w:r w:rsidR="003A1FF5" w:rsidRPr="00BB0D3B">
        <w:t>s</w:t>
      </w:r>
      <w:r w:rsidR="009D34FF" w:rsidRPr="00BB0D3B">
        <w:t xml:space="preserve"> </w:t>
      </w:r>
      <w:r w:rsidR="003A1FF5" w:rsidRPr="00BB0D3B">
        <w:t xml:space="preserve">the transmission </w:t>
      </w:r>
      <w:r w:rsidR="009D34FF" w:rsidRPr="00BB0D3B">
        <w:t>asset</w:t>
      </w:r>
      <w:r w:rsidR="003A1FF5" w:rsidRPr="00BB0D3B">
        <w:t xml:space="preserve"> </w:t>
      </w:r>
      <w:r w:rsidR="009D34FF" w:rsidRPr="00BB0D3B">
        <w:t>condition</w:t>
      </w:r>
      <w:r w:rsidR="003A1FF5" w:rsidRPr="00BB0D3B">
        <w:t xml:space="preserve">s reported </w:t>
      </w:r>
      <w:r w:rsidR="00AF21B0" w:rsidRPr="00BB0D3B">
        <w:t xml:space="preserve">to the </w:t>
      </w:r>
      <w:r w:rsidR="003A1FF5" w:rsidRPr="00BB0D3B">
        <w:t>PAC.</w:t>
      </w:r>
      <w:r w:rsidR="003A1FF5" w:rsidRPr="00BB0D3B">
        <w:rPr>
          <w:rStyle w:val="FootnoteReference"/>
        </w:rPr>
        <w:footnoteReference w:id="58"/>
      </w:r>
      <w:r w:rsidR="003A1FF5" w:rsidRPr="00BB0D3B">
        <w:t xml:space="preserve"> </w:t>
      </w:r>
      <w:r w:rsidR="009D34FF" w:rsidRPr="00BB0D3B">
        <w:t xml:space="preserve">Both lists are </w:t>
      </w:r>
      <w:r w:rsidRPr="00BB0D3B">
        <w:t>updated several times per year</w:t>
      </w:r>
      <w:r w:rsidR="00AF21B0" w:rsidRPr="00BB0D3B">
        <w:t xml:space="preserve">; </w:t>
      </w:r>
      <w:r w:rsidRPr="00BB0D3B">
        <w:t>RSP19 incorporates information from the June 2019 list</w:t>
      </w:r>
      <w:r w:rsidR="009D34FF" w:rsidRPr="00BB0D3B">
        <w:t>s</w:t>
      </w:r>
      <w:r w:rsidRPr="00BB0D3B">
        <w:t>.</w:t>
      </w:r>
      <w:r w:rsidRPr="007D367C">
        <w:t xml:space="preserve"> </w:t>
      </w:r>
    </w:p>
    <w:p w14:paraId="56D6AC86" w14:textId="77777777" w:rsidR="007D367C" w:rsidRPr="007D367C" w:rsidRDefault="007D367C" w:rsidP="007D367C">
      <w:r w:rsidRPr="007D367C">
        <w:t>Additionally, the ISO posts on its website detailed information supplemental to the RSP process, such as the Regional Electricity Outlook (REO), Annual Markets Report (AMR), Wholesale Markets Project Plan (WMPP), presentations, and other reports.</w:t>
      </w:r>
      <w:r w:rsidRPr="007D367C">
        <w:rPr>
          <w:vertAlign w:val="superscript"/>
        </w:rPr>
        <w:footnoteReference w:id="59"/>
      </w:r>
      <w:r w:rsidRPr="007D367C">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Pr="007D367C">
        <w:rPr>
          <w:vertAlign w:val="superscript"/>
        </w:rPr>
        <w:footnoteReference w:id="60"/>
      </w:r>
      <w:r w:rsidRPr="007D367C">
        <w:t xml:space="preserve"> Stakeholders can use this information and data to conduct their own independent studies. </w:t>
      </w:r>
    </w:p>
    <w:p w14:paraId="04A569D9" w14:textId="77777777" w:rsidR="007D367C" w:rsidRPr="007D367C" w:rsidRDefault="007D367C" w:rsidP="00BF3CF1">
      <w:pPr>
        <w:pStyle w:val="Heading3"/>
      </w:pPr>
      <w:bookmarkStart w:id="126" w:name="_Toc303086355"/>
      <w:bookmarkStart w:id="127" w:name="_Ref365471084"/>
      <w:bookmarkStart w:id="128" w:name="_Toc484973056"/>
      <w:bookmarkStart w:id="129" w:name="_Ref485806625"/>
      <w:bookmarkStart w:id="130" w:name="_Toc490323010"/>
      <w:bookmarkStart w:id="131" w:name="_Toc12795152"/>
      <w:r w:rsidRPr="007D367C">
        <w:lastRenderedPageBreak/>
        <w:t>Meeting All Requirements</w:t>
      </w:r>
      <w:bookmarkEnd w:id="126"/>
      <w:bookmarkEnd w:id="127"/>
      <w:bookmarkEnd w:id="128"/>
      <w:bookmarkEnd w:id="129"/>
      <w:bookmarkEnd w:id="130"/>
      <w:bookmarkEnd w:id="131"/>
    </w:p>
    <w:p w14:paraId="58DA6327" w14:textId="77777777" w:rsidR="007D367C" w:rsidRPr="007D367C" w:rsidRDefault="007D367C" w:rsidP="007D367C">
      <w:r w:rsidRPr="007D367C">
        <w:t>In addition to complying with the ISO tariff, which reflects the requirements of FERC orders, RSP19 complies with NERC and NPCC criteria and standards, as well as ISO planning and operating procedures.</w:t>
      </w:r>
      <w:r w:rsidRPr="007D367C">
        <w:rPr>
          <w:vertAlign w:val="superscript"/>
        </w:rPr>
        <w:footnoteReference w:id="61"/>
      </w:r>
      <w:r w:rsidRPr="007D367C">
        <w:t xml:space="preserve"> RSP19 also conforms to transmission owner criteria, rules, standards, guides, and policies consistent with NERC, NPCC, and ISO criteria, standards, and procedures.</w:t>
      </w:r>
      <w:r w:rsidRPr="007D367C">
        <w:rPr>
          <w:vertAlign w:val="superscript"/>
        </w:rPr>
        <w:footnoteReference w:id="62"/>
      </w:r>
      <w:r w:rsidRPr="007D367C">
        <w:t xml:space="preserve"> </w:t>
      </w:r>
    </w:p>
    <w:p w14:paraId="4D1AA748" w14:textId="77777777" w:rsidR="007D367C" w:rsidRPr="007D367C" w:rsidRDefault="007D367C" w:rsidP="00BF3CF1">
      <w:pPr>
        <w:pStyle w:val="Heading2"/>
      </w:pPr>
      <w:bookmarkStart w:id="132" w:name="_Ref173210348"/>
      <w:bookmarkStart w:id="133" w:name="_Toc176244985"/>
      <w:bookmarkStart w:id="134" w:name="_Toc201669902"/>
      <w:bookmarkStart w:id="135" w:name="_Toc207531802"/>
      <w:bookmarkStart w:id="136" w:name="_Toc239157046"/>
      <w:bookmarkStart w:id="137" w:name="_Toc271632205"/>
      <w:bookmarkStart w:id="138" w:name="_Toc303086356"/>
      <w:bookmarkStart w:id="139" w:name="_Toc396807603"/>
      <w:bookmarkStart w:id="140" w:name="_Toc484973057"/>
      <w:bookmarkStart w:id="141" w:name="_Toc490323011"/>
      <w:bookmarkStart w:id="142" w:name="_Toc12795153"/>
      <w:r w:rsidRPr="007D367C">
        <w:t>Overview of the New England Electric Power System</w:t>
      </w:r>
      <w:bookmarkEnd w:id="132"/>
      <w:bookmarkEnd w:id="133"/>
      <w:bookmarkEnd w:id="134"/>
      <w:bookmarkEnd w:id="135"/>
      <w:bookmarkEnd w:id="136"/>
      <w:bookmarkEnd w:id="137"/>
      <w:bookmarkEnd w:id="138"/>
      <w:bookmarkEnd w:id="139"/>
      <w:bookmarkEnd w:id="140"/>
      <w:bookmarkEnd w:id="141"/>
      <w:bookmarkEnd w:id="142"/>
    </w:p>
    <w:p w14:paraId="12906660" w14:textId="5E46A3C3" w:rsidR="00430FE1" w:rsidRDefault="007D367C" w:rsidP="00E257A6">
      <w:r w:rsidRPr="007D367C">
        <w:t xml:space="preserve">New England’s electric power grid </w:t>
      </w:r>
      <w:r w:rsidR="005A6C2C">
        <w:t xml:space="preserve">is </w:t>
      </w:r>
      <w:r w:rsidRPr="007D367C">
        <w:t>planned and operated as a unified system of its participating transmission owners and market participants.</w:t>
      </w:r>
      <w:r w:rsidRPr="007D367C">
        <w:rPr>
          <w:vertAlign w:val="superscript"/>
        </w:rPr>
        <w:footnoteReference w:id="63"/>
      </w:r>
      <w:r w:rsidRPr="007D367C">
        <w:t xml:space="preserve"> The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 </w:t>
      </w:r>
      <w:r w:rsidRPr="007D367C">
        <w:fldChar w:fldCharType="begin"/>
      </w:r>
      <w:r w:rsidRPr="007D367C">
        <w:instrText xml:space="preserve"> REF _Ref493253004 \h  \* MERGEFORMAT </w:instrText>
      </w:r>
      <w:r w:rsidRPr="007D367C">
        <w:fldChar w:fldCharType="separate"/>
      </w:r>
      <w:r w:rsidR="005D0B73" w:rsidRPr="005D0B73">
        <w:t xml:space="preserve">Figure </w:t>
      </w:r>
      <w:r w:rsidR="005D0B73" w:rsidRPr="005D0B73">
        <w:rPr>
          <w:noProof/>
        </w:rPr>
        <w:t>2</w:t>
      </w:r>
      <w:r w:rsidR="005D0B73" w:rsidRPr="005D0B73">
        <w:rPr>
          <w:noProof/>
        </w:rPr>
        <w:noBreakHyphen/>
        <w:t>2</w:t>
      </w:r>
      <w:r w:rsidRPr="007D367C">
        <w:fldChar w:fldCharType="end"/>
      </w:r>
      <w:r w:rsidRPr="007D367C">
        <w:t xml:space="preserve"> shows key facts about the New England regional electric power system.</w:t>
      </w:r>
    </w:p>
    <w:p w14:paraId="0F717F67" w14:textId="72476231" w:rsidR="000943E2" w:rsidRDefault="000943E2" w:rsidP="00A634FF">
      <w:pPr>
        <w:spacing w:after="0" w:line="240" w:lineRule="auto"/>
      </w:pPr>
      <w:r w:rsidRPr="00B73D1D">
        <w:rPr>
          <w:noProof/>
        </w:rPr>
        <w:lastRenderedPageBreak/>
        <w:drawing>
          <wp:inline distT="0" distB="0" distL="0" distR="0" wp14:anchorId="378EE737" wp14:editId="2C8B6531">
            <wp:extent cx="5715000" cy="4575175"/>
            <wp:effectExtent l="19050" t="19050" r="1905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575175"/>
                    </a:xfrm>
                    <a:prstGeom prst="rect">
                      <a:avLst/>
                    </a:prstGeom>
                    <a:noFill/>
                    <a:ln w="3175">
                      <a:solidFill>
                        <a:srgbClr val="000000"/>
                      </a:solidFill>
                    </a:ln>
                  </pic:spPr>
                </pic:pic>
              </a:graphicData>
            </a:graphic>
          </wp:inline>
        </w:drawing>
      </w:r>
    </w:p>
    <w:p w14:paraId="4486E3FA" w14:textId="1395974E" w:rsidR="007D367C" w:rsidRPr="007D367C" w:rsidRDefault="007D367C" w:rsidP="007D367C">
      <w:pPr>
        <w:keepNext/>
        <w:keepLines/>
        <w:spacing w:before="120" w:after="80" w:line="240" w:lineRule="auto"/>
        <w:ind w:left="86"/>
        <w:rPr>
          <w:rFonts w:ascii="Calibri" w:hAnsi="Calibri"/>
          <w:b/>
        </w:rPr>
      </w:pPr>
      <w:bookmarkStart w:id="143" w:name="_Ref173207023"/>
      <w:bookmarkStart w:id="144" w:name="_Ref493253004"/>
      <w:bookmarkStart w:id="145" w:name="_Toc176244955"/>
      <w:bookmarkStart w:id="146" w:name="_Toc200440095"/>
      <w:bookmarkStart w:id="147" w:name="_Toc207531926"/>
      <w:bookmarkStart w:id="148" w:name="_Toc239157181"/>
      <w:bookmarkStart w:id="149" w:name="_Toc271552366"/>
      <w:bookmarkStart w:id="150" w:name="_Toc303086720"/>
      <w:bookmarkStart w:id="151" w:name="_Toc429063512"/>
      <w:bookmarkStart w:id="152" w:name="_Toc486233196"/>
      <w:bookmarkStart w:id="153" w:name="_Toc17709738"/>
      <w:r w:rsidRPr="000943E2">
        <w:rPr>
          <w:rFonts w:ascii="Calibri" w:hAnsi="Calibri"/>
          <w:b/>
        </w:rPr>
        <w:t xml:space="preserve">Figure </w:t>
      </w:r>
      <w:r w:rsidR="008E7223">
        <w:rPr>
          <w:rFonts w:ascii="Calibri" w:hAnsi="Calibri"/>
          <w:b/>
        </w:rPr>
        <w:fldChar w:fldCharType="begin"/>
      </w:r>
      <w:r w:rsidR="008E7223">
        <w:rPr>
          <w:rFonts w:ascii="Calibri" w:hAnsi="Calibri"/>
          <w:b/>
        </w:rPr>
        <w:instrText xml:space="preserve"> STYLEREF 1 \s </w:instrText>
      </w:r>
      <w:r w:rsidR="008E7223">
        <w:rPr>
          <w:rFonts w:ascii="Calibri" w:hAnsi="Calibri"/>
          <w:b/>
        </w:rPr>
        <w:fldChar w:fldCharType="separate"/>
      </w:r>
      <w:r w:rsidR="008E7223">
        <w:rPr>
          <w:rFonts w:ascii="Calibri" w:hAnsi="Calibri"/>
          <w:b/>
          <w:noProof/>
        </w:rPr>
        <w:t>2</w:t>
      </w:r>
      <w:r w:rsidR="008E7223">
        <w:rPr>
          <w:rFonts w:ascii="Calibri" w:hAnsi="Calibri"/>
          <w:b/>
        </w:rPr>
        <w:fldChar w:fldCharType="end"/>
      </w:r>
      <w:r w:rsidR="008E7223">
        <w:rPr>
          <w:rFonts w:ascii="Calibri" w:hAnsi="Calibri"/>
          <w:b/>
        </w:rPr>
        <w:noBreakHyphen/>
      </w:r>
      <w:r w:rsidR="008E7223">
        <w:rPr>
          <w:rFonts w:ascii="Calibri" w:hAnsi="Calibri"/>
          <w:b/>
        </w:rPr>
        <w:fldChar w:fldCharType="begin"/>
      </w:r>
      <w:r w:rsidR="008E7223">
        <w:rPr>
          <w:rFonts w:ascii="Calibri" w:hAnsi="Calibri"/>
          <w:b/>
        </w:rPr>
        <w:instrText xml:space="preserve"> SEQ Figure \* ARABIC \s 1 </w:instrText>
      </w:r>
      <w:r w:rsidR="008E7223">
        <w:rPr>
          <w:rFonts w:ascii="Calibri" w:hAnsi="Calibri"/>
          <w:b/>
        </w:rPr>
        <w:fldChar w:fldCharType="separate"/>
      </w:r>
      <w:r w:rsidR="008E7223">
        <w:rPr>
          <w:rFonts w:ascii="Calibri" w:hAnsi="Calibri"/>
          <w:b/>
          <w:noProof/>
        </w:rPr>
        <w:t>2</w:t>
      </w:r>
      <w:r w:rsidR="008E7223">
        <w:rPr>
          <w:rFonts w:ascii="Calibri" w:hAnsi="Calibri"/>
          <w:b/>
        </w:rPr>
        <w:fldChar w:fldCharType="end"/>
      </w:r>
      <w:bookmarkEnd w:id="143"/>
      <w:bookmarkEnd w:id="144"/>
      <w:r w:rsidRPr="000943E2">
        <w:rPr>
          <w:rFonts w:ascii="Calibri" w:hAnsi="Calibri"/>
          <w:b/>
        </w:rPr>
        <w:t>: Key facts about New England’s electric power system and wholesale electricity markets</w:t>
      </w:r>
      <w:bookmarkEnd w:id="145"/>
      <w:bookmarkEnd w:id="146"/>
      <w:bookmarkEnd w:id="147"/>
      <w:bookmarkEnd w:id="148"/>
      <w:r w:rsidRPr="000943E2">
        <w:rPr>
          <w:rFonts w:ascii="Calibri" w:hAnsi="Calibri"/>
          <w:b/>
        </w:rPr>
        <w:t>.</w:t>
      </w:r>
      <w:bookmarkEnd w:id="149"/>
      <w:bookmarkEnd w:id="150"/>
      <w:bookmarkEnd w:id="151"/>
      <w:bookmarkEnd w:id="152"/>
      <w:bookmarkEnd w:id="153"/>
    </w:p>
    <w:p w14:paraId="05E4BDD9" w14:textId="32A3CA5D" w:rsidR="007D367C" w:rsidRPr="007D367C" w:rsidRDefault="007D367C" w:rsidP="007D367C">
      <w:pPr>
        <w:keepNext/>
        <w:keepLines/>
        <w:autoSpaceDE w:val="0"/>
        <w:autoSpaceDN w:val="0"/>
        <w:adjustRightInd w:val="0"/>
        <w:spacing w:after="80"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color w:val="000000"/>
          <w:sz w:val="16"/>
          <w:szCs w:val="16"/>
        </w:rPr>
        <w:t xml:space="preserve">Sources: </w:t>
      </w:r>
      <w:r w:rsidRPr="007D367C">
        <w:rPr>
          <w:rFonts w:asciiTheme="minorHAnsi" w:eastAsia="Times New Roman" w:hAnsiTheme="minorHAnsi" w:cs="Arial"/>
          <w:color w:val="000000"/>
          <w:sz w:val="16"/>
          <w:szCs w:val="16"/>
        </w:rPr>
        <w:t xml:space="preserve">The </w:t>
      </w:r>
      <w:r w:rsidRPr="007D367C">
        <w:rPr>
          <w:rFonts w:asciiTheme="minorHAnsi" w:eastAsia="Times New Roman" w:hAnsiTheme="minorHAnsi" w:cs="Arial"/>
          <w:i/>
          <w:color w:val="000000"/>
          <w:sz w:val="16"/>
          <w:szCs w:val="16"/>
        </w:rPr>
        <w:t>2019–2028 Forecast Report of Capacity, Energy, Loads, and Transmission</w:t>
      </w:r>
      <w:r w:rsidRPr="007D367C">
        <w:rPr>
          <w:rFonts w:asciiTheme="minorHAnsi" w:eastAsia="Times New Roman" w:hAnsiTheme="minorHAnsi" w:cs="Arial"/>
          <w:color w:val="000000"/>
          <w:sz w:val="16"/>
          <w:szCs w:val="16"/>
        </w:rPr>
        <w:t xml:space="preserve"> (2019 CELT Report) (April 30, 2019), </w:t>
      </w:r>
      <w:hyperlink r:id="rId25" w:history="1">
        <w:r w:rsidRPr="007D367C">
          <w:rPr>
            <w:rFonts w:asciiTheme="minorHAnsi" w:eastAsia="Times New Roman" w:hAnsiTheme="minorHAnsi" w:cs="Arial"/>
            <w:sz w:val="16"/>
            <w:szCs w:val="16"/>
          </w:rPr>
          <w:t>http://www.iso-ne.com/system-planning/system-plans-studies/celt#</w:t>
        </w:r>
      </w:hyperlink>
      <w:r w:rsidRPr="007D367C">
        <w:rPr>
          <w:rFonts w:asciiTheme="minorHAnsi" w:eastAsia="Times New Roman" w:hAnsiTheme="minorHAnsi" w:cs="Arial"/>
          <w:sz w:val="16"/>
          <w:szCs w:val="16"/>
        </w:rPr>
        <w:t xml:space="preserve">; </w:t>
      </w:r>
      <w:r w:rsidRPr="00FC7F00">
        <w:rPr>
          <w:rFonts w:asciiTheme="minorHAnsi" w:eastAsia="Times New Roman" w:hAnsiTheme="minorHAnsi" w:cs="Arial"/>
          <w:color w:val="000000"/>
          <w:sz w:val="16"/>
          <w:szCs w:val="16"/>
        </w:rPr>
        <w:t xml:space="preserve">the </w:t>
      </w:r>
      <w:r w:rsidRPr="00FC7F00">
        <w:rPr>
          <w:rFonts w:asciiTheme="minorHAnsi" w:eastAsia="Times New Roman" w:hAnsiTheme="minorHAnsi" w:cs="Arial"/>
          <w:i/>
          <w:color w:val="000000"/>
          <w:sz w:val="16"/>
          <w:szCs w:val="16"/>
        </w:rPr>
        <w:t>RSP Project List</w:t>
      </w:r>
      <w:r w:rsidRPr="00FC7F00">
        <w:rPr>
          <w:rFonts w:asciiTheme="minorHAnsi" w:eastAsia="Times New Roman" w:hAnsiTheme="minorHAnsi" w:cs="Arial"/>
          <w:color w:val="000000"/>
          <w:sz w:val="16"/>
          <w:szCs w:val="16"/>
        </w:rPr>
        <w:t xml:space="preserve"> for June 2019; and </w:t>
      </w:r>
      <w:r w:rsidRPr="00FC7F00">
        <w:rPr>
          <w:rFonts w:asciiTheme="minorHAnsi" w:eastAsia="Times New Roman" w:hAnsiTheme="minorHAnsi" w:cs="Arial"/>
          <w:sz w:val="16"/>
          <w:szCs w:val="16"/>
        </w:rPr>
        <w:t>ISO market analysis and settlements data.</w:t>
      </w:r>
      <w:r w:rsidRPr="00FC7F00">
        <w:rPr>
          <w:rFonts w:asciiTheme="minorHAnsi" w:eastAsia="Times New Roman" w:hAnsiTheme="minorHAnsi"/>
          <w:color w:val="000000"/>
          <w:sz w:val="16"/>
          <w:szCs w:val="16"/>
        </w:rPr>
        <w:t xml:space="preserve"> ISO-NE Internal Market Monitor, </w:t>
      </w:r>
      <w:r w:rsidRPr="00FC7F00">
        <w:rPr>
          <w:rFonts w:asciiTheme="minorHAnsi" w:eastAsia="Times New Roman" w:hAnsiTheme="minorHAnsi"/>
          <w:i/>
          <w:color w:val="000000"/>
          <w:sz w:val="16"/>
          <w:szCs w:val="16"/>
        </w:rPr>
        <w:t>2019 Annual Markets Report</w:t>
      </w:r>
      <w:r w:rsidRPr="00FC7F00">
        <w:rPr>
          <w:rFonts w:asciiTheme="minorHAnsi" w:eastAsia="Times New Roman" w:hAnsiTheme="minorHAnsi"/>
          <w:color w:val="000000"/>
          <w:sz w:val="16"/>
          <w:szCs w:val="16"/>
        </w:rPr>
        <w:t xml:space="preserve"> (May</w:t>
      </w:r>
      <w:r w:rsidR="00FC7F00" w:rsidRPr="00FC7F00">
        <w:rPr>
          <w:rFonts w:asciiTheme="minorHAnsi" w:eastAsia="Times New Roman" w:hAnsiTheme="minorHAnsi"/>
          <w:color w:val="000000"/>
          <w:sz w:val="16"/>
          <w:szCs w:val="16"/>
        </w:rPr>
        <w:t xml:space="preserve"> 23</w:t>
      </w:r>
      <w:r w:rsidRPr="00FC7F00">
        <w:rPr>
          <w:rFonts w:asciiTheme="minorHAnsi" w:eastAsia="Times New Roman" w:hAnsiTheme="minorHAnsi"/>
          <w:color w:val="000000"/>
          <w:sz w:val="16"/>
          <w:szCs w:val="16"/>
        </w:rPr>
        <w:t>, 2019),</w:t>
      </w:r>
      <w:r w:rsidRPr="00430FE1">
        <w:rPr>
          <w:rFonts w:asciiTheme="minorHAnsi" w:eastAsia="Times New Roman" w:hAnsiTheme="minorHAnsi"/>
          <w:color w:val="000000"/>
          <w:sz w:val="16"/>
          <w:szCs w:val="16"/>
        </w:rPr>
        <w:t xml:space="preserve"> </w:t>
      </w:r>
      <w:hyperlink r:id="rId26" w:history="1">
        <w:r w:rsidR="00FC7F00" w:rsidRPr="0021743F">
          <w:rPr>
            <w:rStyle w:val="Hyperlink"/>
            <w:rFonts w:asciiTheme="minorHAnsi" w:eastAsia="Times New Roman" w:hAnsiTheme="minorHAnsi" w:cs="Arial"/>
            <w:sz w:val="16"/>
            <w:szCs w:val="16"/>
          </w:rPr>
          <w:t>https://www.iso-ne.com/static-assets/documents/2019/05/2018-annual-markets-report.pdf</w:t>
        </w:r>
      </w:hyperlink>
      <w:r w:rsidRPr="00430FE1">
        <w:rPr>
          <w:rFonts w:asciiTheme="minorHAnsi" w:eastAsia="Times New Roman" w:hAnsiTheme="minorHAnsi" w:cs="Arial"/>
          <w:sz w:val="16"/>
          <w:szCs w:val="16"/>
        </w:rPr>
        <w:t xml:space="preserve">; </w:t>
      </w:r>
      <w:r w:rsidRPr="00FC7F00">
        <w:rPr>
          <w:rFonts w:asciiTheme="minorHAnsi" w:eastAsia="Times New Roman" w:hAnsiTheme="minorHAnsi" w:cs="Arial"/>
          <w:sz w:val="16"/>
          <w:szCs w:val="16"/>
        </w:rPr>
        <w:t>“Key Grid and Market Stats</w:t>
      </w:r>
      <w:r w:rsidRPr="007D367C">
        <w:rPr>
          <w:rFonts w:asciiTheme="minorHAnsi" w:eastAsia="Times New Roman" w:hAnsiTheme="minorHAnsi" w:cs="Arial"/>
          <w:sz w:val="16"/>
          <w:szCs w:val="16"/>
        </w:rPr>
        <w:t xml:space="preserve">,” website (2019), </w:t>
      </w:r>
      <w:hyperlink r:id="rId27" w:history="1">
        <w:r w:rsidRPr="007D367C">
          <w:rPr>
            <w:rFonts w:asciiTheme="minorHAnsi" w:eastAsia="Times New Roman" w:hAnsiTheme="minorHAnsi" w:cs="Arial"/>
            <w:color w:val="000000"/>
            <w:sz w:val="16"/>
            <w:szCs w:val="16"/>
          </w:rPr>
          <w:t>https://www.iso-ne.com/about/key-stats</w:t>
        </w:r>
      </w:hyperlink>
      <w:r w:rsidRPr="007D367C">
        <w:rPr>
          <w:rFonts w:asciiTheme="minorHAnsi" w:eastAsia="Times New Roman" w:hAnsiTheme="minorHAnsi" w:cs="Arial"/>
          <w:sz w:val="16"/>
          <w:szCs w:val="16"/>
        </w:rPr>
        <w:t>.</w:t>
      </w:r>
    </w:p>
    <w:p w14:paraId="3353E102" w14:textId="77777777" w:rsidR="007D367C" w:rsidRPr="007D367C" w:rsidRDefault="007D367C" w:rsidP="007D367C">
      <w:pPr>
        <w:keepNext/>
        <w:keepLines/>
        <w:autoSpaceDE w:val="0"/>
        <w:autoSpaceDN w:val="0"/>
        <w:adjustRightInd w:val="0"/>
        <w:spacing w:line="240" w:lineRule="auto"/>
        <w:ind w:left="86" w:right="86"/>
        <w:rPr>
          <w:rFonts w:asciiTheme="minorHAnsi" w:eastAsia="Times New Roman" w:hAnsiTheme="minorHAnsi" w:cs="Arial"/>
          <w:sz w:val="16"/>
          <w:szCs w:val="16"/>
        </w:rPr>
      </w:pPr>
      <w:r w:rsidRPr="007D367C">
        <w:rPr>
          <w:rFonts w:asciiTheme="minorHAnsi" w:eastAsia="Times New Roman" w:hAnsiTheme="minorHAnsi" w:cs="Arial"/>
          <w:b/>
          <w:sz w:val="16"/>
          <w:szCs w:val="16"/>
        </w:rPr>
        <w:t>Notes:</w:t>
      </w:r>
      <w:r w:rsidRPr="007D367C">
        <w:rPr>
          <w:rFonts w:asciiTheme="minorHAnsi" w:eastAsia="Times New Roman" w:hAnsiTheme="minorHAnsi" w:cs="Arial"/>
          <w:sz w:val="16"/>
          <w:szCs w:val="16"/>
        </w:rPr>
        <w:t xml:space="preserve"> </w:t>
      </w:r>
      <w:r w:rsidRPr="007D367C">
        <w:rPr>
          <w:rFonts w:asciiTheme="majorHAnsi" w:eastAsia="Times New Roman" w:hAnsiTheme="majorHAnsi" w:cs="Arial"/>
          <w:i/>
          <w:sz w:val="16"/>
          <w:szCs w:val="16"/>
        </w:rPr>
        <w:t>Se</w:t>
      </w:r>
      <w:r w:rsidRPr="007D367C">
        <w:rPr>
          <w:rFonts w:asciiTheme="majorHAnsi" w:hAnsiTheme="majorHAnsi"/>
          <w:i/>
          <w:iCs/>
          <w:sz w:val="16"/>
          <w:szCs w:val="16"/>
        </w:rPr>
        <w:t>ttlement-only resources</w:t>
      </w:r>
      <w:r w:rsidRPr="007D367C">
        <w:rPr>
          <w:rFonts w:asciiTheme="majorHAnsi" w:hAnsiTheme="majorHAnsi"/>
          <w:sz w:val="16"/>
          <w:szCs w:val="16"/>
        </w:rPr>
        <w:t xml:space="preserve"> (SORs) are less than 5 MW but not centrally dispatched by the ISO control room and not monitored in </w:t>
      </w:r>
      <w:r w:rsidRPr="00C71F4F">
        <w:rPr>
          <w:rFonts w:asciiTheme="majorHAnsi" w:hAnsiTheme="majorHAnsi"/>
          <w:sz w:val="16"/>
          <w:szCs w:val="16"/>
        </w:rPr>
        <w:t>real time.</w:t>
      </w:r>
      <w:r w:rsidRPr="00C71F4F">
        <w:rPr>
          <w:sz w:val="18"/>
          <w:szCs w:val="18"/>
        </w:rPr>
        <w:t xml:space="preserve"> </w:t>
      </w:r>
      <w:r w:rsidRPr="00C71F4F">
        <w:rPr>
          <w:rFonts w:asciiTheme="minorHAnsi" w:eastAsia="Times New Roman" w:hAnsiTheme="minorHAnsi" w:cs="Arial"/>
          <w:color w:val="000000"/>
          <w:sz w:val="16"/>
          <w:szCs w:val="16"/>
        </w:rPr>
        <w:t xml:space="preserve">The </w:t>
      </w:r>
      <w:r w:rsidR="00E77F2D" w:rsidRPr="00C71F4F">
        <w:rPr>
          <w:rFonts w:asciiTheme="minorHAnsi" w:eastAsia="Times New Roman" w:hAnsiTheme="minorHAnsi" w:cs="Arial"/>
          <w:color w:val="000000"/>
          <w:sz w:val="16"/>
          <w:szCs w:val="16"/>
        </w:rPr>
        <w:t xml:space="preserve">over 3,000 </w:t>
      </w:r>
      <w:r w:rsidR="00C71F4F" w:rsidRPr="00C71F4F">
        <w:rPr>
          <w:rFonts w:asciiTheme="minorHAnsi" w:eastAsia="Times New Roman" w:hAnsiTheme="minorHAnsi" w:cs="Arial"/>
          <w:color w:val="000000"/>
          <w:sz w:val="16"/>
          <w:szCs w:val="16"/>
        </w:rPr>
        <w:t xml:space="preserve">MW </w:t>
      </w:r>
      <w:r w:rsidRPr="00C71F4F">
        <w:rPr>
          <w:rFonts w:asciiTheme="minorHAnsi" w:eastAsia="Times New Roman" w:hAnsiTheme="minorHAnsi" w:cs="Arial"/>
          <w:color w:val="000000"/>
          <w:sz w:val="16"/>
          <w:szCs w:val="16"/>
        </w:rPr>
        <w:t xml:space="preserve">of ISO demand resources do not include </w:t>
      </w:r>
      <w:r w:rsidRPr="00C71F4F">
        <w:rPr>
          <w:rFonts w:asciiTheme="minorHAnsi" w:eastAsia="Times New Roman" w:hAnsiTheme="minorHAnsi" w:cs="Arial"/>
          <w:sz w:val="16"/>
          <w:szCs w:val="16"/>
        </w:rPr>
        <w:t xml:space="preserve">behind-the-meter photovoltaic resources (BTM PV) </w:t>
      </w:r>
      <w:r w:rsidRPr="00C71F4F">
        <w:rPr>
          <w:rFonts w:asciiTheme="minorHAnsi" w:eastAsia="Times New Roman" w:hAnsiTheme="minorHAnsi" w:cs="Arial"/>
          <w:color w:val="000000"/>
          <w:sz w:val="16"/>
          <w:szCs w:val="16"/>
        </w:rPr>
        <w:t>and energy efficiency provided by other customer-based programs outside the ISO markets or are otherwise unknown to the ISO. The total load on August 2, 2006, would have been 28,770 MW had it not been reduced by approximately 640 MW, which included a 490 MW demand</w:t>
      </w:r>
      <w:r w:rsidRPr="007D367C">
        <w:rPr>
          <w:rFonts w:asciiTheme="minorHAnsi" w:eastAsia="Times New Roman" w:hAnsiTheme="minorHAnsi" w:cs="Arial"/>
          <w:color w:val="000000"/>
          <w:sz w:val="16"/>
          <w:szCs w:val="16"/>
        </w:rPr>
        <w:t xml:space="preserve"> reduction in response to ISO Operating Procedure No. 4 (OP 4), </w:t>
      </w:r>
      <w:r w:rsidRPr="007D367C">
        <w:rPr>
          <w:rFonts w:asciiTheme="minorHAnsi" w:eastAsia="Times New Roman" w:hAnsiTheme="minorHAnsi" w:cs="Arial"/>
          <w:i/>
          <w:color w:val="000000"/>
          <w:sz w:val="16"/>
          <w:szCs w:val="16"/>
        </w:rPr>
        <w:t>Action during a Capacity Deficiency</w:t>
      </w:r>
      <w:r w:rsidRPr="007D367C">
        <w:rPr>
          <w:rFonts w:asciiTheme="minorHAnsi" w:eastAsia="Times New Roman" w:hAnsiTheme="minorHAnsi" w:cs="Arial"/>
          <w:color w:val="000000"/>
          <w:sz w:val="16"/>
          <w:szCs w:val="16"/>
        </w:rPr>
        <w:t>; a 45 MW reduction of other interruptible OP 4 loads; and a 107 MW reduction of load as a result of price-response programs, which are outside of OP 4 actions.</w:t>
      </w:r>
      <w:r w:rsidRPr="007D367C">
        <w:rPr>
          <w:rFonts w:ascii="Times New Roman" w:eastAsia="Times New Roman" w:hAnsi="Times New Roman"/>
          <w:color w:val="000000"/>
          <w:sz w:val="16"/>
          <w:szCs w:val="16"/>
        </w:rPr>
        <w:t xml:space="preserve"> </w:t>
      </w:r>
      <w:r w:rsidRPr="007D367C">
        <w:rPr>
          <w:rFonts w:asciiTheme="minorHAnsi" w:eastAsia="Times New Roman" w:hAnsiTheme="minorHAnsi" w:cs="Arial"/>
          <w:color w:val="000000"/>
          <w:sz w:val="16"/>
          <w:szCs w:val="16"/>
        </w:rPr>
        <w:t xml:space="preserve">(OP 4 guidelines contain 11 actions in total that can be implemented individually or in groups, depending on the severity of the situation.) More information on OP 4 is </w:t>
      </w:r>
      <w:r w:rsidRPr="007D367C">
        <w:rPr>
          <w:rFonts w:asciiTheme="minorHAnsi" w:eastAsia="Times New Roman" w:hAnsiTheme="minorHAnsi" w:cs="Arial"/>
          <w:sz w:val="16"/>
          <w:szCs w:val="16"/>
        </w:rPr>
        <w:t>available at</w:t>
      </w:r>
      <w:r w:rsidRPr="007D367C">
        <w:rPr>
          <w:rFonts w:asciiTheme="minorHAnsi" w:eastAsia="Times New Roman" w:hAnsiTheme="minorHAnsi" w:cs="Arial"/>
          <w:color w:val="62777F" w:themeColor="text1"/>
          <w:sz w:val="16"/>
          <w:szCs w:val="16"/>
        </w:rPr>
        <w:t xml:space="preserve"> </w:t>
      </w:r>
      <w:hyperlink r:id="rId28" w:history="1">
        <w:r w:rsidRPr="007D367C">
          <w:rPr>
            <w:rFonts w:asciiTheme="minorHAnsi" w:eastAsia="Times New Roman" w:hAnsiTheme="minorHAnsi"/>
            <w:sz w:val="16"/>
            <w:szCs w:val="16"/>
          </w:rPr>
          <w:t>http://www.iso-ne.com/static-assets/documents/rules_proceds/operating/isone/op4/op4_rto_final.pdf</w:t>
        </w:r>
      </w:hyperlink>
      <w:r w:rsidRPr="007D367C">
        <w:rPr>
          <w:rFonts w:asciiTheme="minorHAnsi" w:eastAsia="Times New Roman" w:hAnsiTheme="minorHAnsi" w:cs="Arial"/>
          <w:sz w:val="16"/>
          <w:szCs w:val="16"/>
        </w:rPr>
        <w:t>.</w:t>
      </w:r>
      <w:bookmarkStart w:id="154" w:name="_Ref234811928"/>
      <w:bookmarkStart w:id="155" w:name="_Toc239157047"/>
      <w:bookmarkStart w:id="156" w:name="_Toc271632206"/>
      <w:bookmarkStart w:id="157" w:name="_Toc303086357"/>
      <w:bookmarkStart w:id="158" w:name="_Toc396807604"/>
    </w:p>
    <w:p w14:paraId="33EBE5E4" w14:textId="77777777" w:rsidR="007D367C" w:rsidRPr="007D367C" w:rsidRDefault="007D367C" w:rsidP="007D367C">
      <w:pPr>
        <w:rPr>
          <w:rFonts w:ascii="Times New Roman" w:hAnsi="Times New Roman"/>
          <w:color w:val="000000"/>
          <w:sz w:val="24"/>
          <w:szCs w:val="24"/>
        </w:rPr>
      </w:pPr>
      <w:r w:rsidRPr="00CF2B8B">
        <w:t>RSP19 includes both a NERC and an NPCC term to describe the electric power system</w:t>
      </w:r>
      <w:r w:rsidRPr="00FC7F00">
        <w:t>. The</w:t>
      </w:r>
      <w:r w:rsidRPr="007D367C">
        <w:t xml:space="preserve"> NERC term, </w:t>
      </w:r>
      <w:r w:rsidRPr="007D367C">
        <w:rPr>
          <w:i/>
        </w:rPr>
        <w:t>bulk electric system</w:t>
      </w:r>
      <w:r w:rsidRPr="007D367C">
        <w:t xml:space="preserve"> (BES), includes transmission elements operated at 100 kilovolts (kV) or higher and real power and reactive power resources connected at 100 kV or higher.</w:t>
      </w:r>
      <w:r w:rsidRPr="007D367C">
        <w:rPr>
          <w:vertAlign w:val="superscript"/>
        </w:rPr>
        <w:footnoteReference w:id="64"/>
      </w:r>
      <w:r w:rsidRPr="007D367C">
        <w:t xml:space="preserve"> </w:t>
      </w:r>
      <w:r w:rsidR="005E7710">
        <w:t>The</w:t>
      </w:r>
      <w:r w:rsidR="005E7710" w:rsidRPr="007D367C">
        <w:t xml:space="preserve"> </w:t>
      </w:r>
      <w:r w:rsidRPr="007D367C">
        <w:t xml:space="preserve">BES does not include </w:t>
      </w:r>
      <w:r w:rsidRPr="007D367C">
        <w:lastRenderedPageBreak/>
        <w:t xml:space="preserve">facilities used in the local distribution of electric energy. The NPCC term, </w:t>
      </w:r>
      <w:r w:rsidRPr="007D367C">
        <w:rPr>
          <w:i/>
        </w:rPr>
        <w:t>bulk power system</w:t>
      </w:r>
      <w:r w:rsidRPr="007D367C">
        <w:t xml:space="preserve">, refers to the interconnected electrical system within northeastern North America comprising system elements on which faults or disturbances can have a significant adverse impact outside of the local area. RSP19 describes how the ISO meets NERC and NPCC requirements to ensure compliance with planning and operating standards and criteria. </w:t>
      </w:r>
    </w:p>
    <w:p w14:paraId="7BDF1F56" w14:textId="77777777" w:rsidR="007D367C" w:rsidRPr="007D367C" w:rsidRDefault="007D367C" w:rsidP="00BF3CF1">
      <w:pPr>
        <w:pStyle w:val="Heading2"/>
      </w:pPr>
      <w:bookmarkStart w:id="159" w:name="_Ref418941286"/>
      <w:bookmarkStart w:id="160" w:name="_Toc484973058"/>
      <w:bookmarkStart w:id="161" w:name="_Toc490323012"/>
      <w:bookmarkStart w:id="162" w:name="_Toc12795154"/>
      <w:r w:rsidRPr="007D367C">
        <w:t>Overview of the New England Wholesale Electricity Market Structure</w:t>
      </w:r>
      <w:bookmarkEnd w:id="154"/>
      <w:bookmarkEnd w:id="155"/>
      <w:bookmarkEnd w:id="156"/>
      <w:bookmarkEnd w:id="157"/>
      <w:bookmarkEnd w:id="158"/>
      <w:bookmarkEnd w:id="159"/>
      <w:bookmarkEnd w:id="160"/>
      <w:bookmarkEnd w:id="161"/>
      <w:bookmarkEnd w:id="162"/>
      <w:r w:rsidRPr="007D367C">
        <w:t xml:space="preserve"> </w:t>
      </w:r>
    </w:p>
    <w:p w14:paraId="39C21955" w14:textId="6FE3E6BB" w:rsidR="007D367C" w:rsidRPr="00513653" w:rsidRDefault="007D367C" w:rsidP="007D367C">
      <w:r w:rsidRPr="007D367C">
        <w:t>New England’s wholesale electricity</w:t>
      </w:r>
      <w:r w:rsidR="00BB5E24">
        <w:t xml:space="preserve"> </w:t>
      </w:r>
      <w:r w:rsidRPr="007D367C">
        <w:t xml:space="preserve">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755D38">
        <w:t xml:space="preserve">opportunity to hedge against the costs associated with transmission congestion. As shown in </w:t>
      </w:r>
      <w:r w:rsidRPr="00755D38">
        <w:fldChar w:fldCharType="begin"/>
      </w:r>
      <w:r w:rsidRPr="00755D38">
        <w:instrText xml:space="preserve"> REF _Ref493253004 \h  \* MERGEFORMAT </w:instrText>
      </w:r>
      <w:r w:rsidRPr="00755D38">
        <w:fldChar w:fldCharType="separate"/>
      </w:r>
      <w:r w:rsidR="005D0B73" w:rsidRPr="005D0B73">
        <w:t xml:space="preserve">Figure </w:t>
      </w:r>
      <w:r w:rsidR="005D0B73" w:rsidRPr="005D0B73">
        <w:rPr>
          <w:noProof/>
        </w:rPr>
        <w:t>2</w:t>
      </w:r>
      <w:r w:rsidR="005D0B73" w:rsidRPr="005D0B73">
        <w:rPr>
          <w:noProof/>
        </w:rPr>
        <w:noBreakHyphen/>
        <w:t>2</w:t>
      </w:r>
      <w:r w:rsidRPr="00755D38">
        <w:fldChar w:fldCharType="end"/>
      </w:r>
      <w:r w:rsidRPr="00755D38">
        <w:t>, in 201</w:t>
      </w:r>
      <w:r w:rsidR="00755D38" w:rsidRPr="00755D38">
        <w:t>8</w:t>
      </w:r>
      <w:r w:rsidRPr="00755D38">
        <w:t xml:space="preserve">, more than 500 market participants completed transactions in New England’s wholesale </w:t>
      </w:r>
      <w:r w:rsidRPr="007650A3">
        <w:t>electricity markets totaling $9</w:t>
      </w:r>
      <w:r w:rsidR="00755D38" w:rsidRPr="007650A3">
        <w:t>.</w:t>
      </w:r>
      <w:r w:rsidR="007650A3" w:rsidRPr="00BF3CF1">
        <w:t>8</w:t>
      </w:r>
      <w:r w:rsidRPr="007650A3">
        <w:t xml:space="preserve"> billion. The wholesale electricity markets and market products in New</w:t>
      </w:r>
      <w:r w:rsidRPr="007D367C">
        <w:t xml:space="preserve"> </w:t>
      </w:r>
      <w:r w:rsidRPr="00513653">
        <w:t>England are as follows:</w:t>
      </w:r>
      <w:r w:rsidRPr="00513653">
        <w:rPr>
          <w:color w:val="211D1E"/>
          <w:vertAlign w:val="superscript"/>
        </w:rPr>
        <w:footnoteReference w:id="65"/>
      </w:r>
    </w:p>
    <w:p w14:paraId="6652ABB7" w14:textId="77777777" w:rsidR="007D367C" w:rsidRPr="00513653" w:rsidRDefault="007D367C" w:rsidP="00955D2D">
      <w:pPr>
        <w:numPr>
          <w:ilvl w:val="0"/>
          <w:numId w:val="36"/>
        </w:numPr>
        <w:spacing w:after="120"/>
      </w:pPr>
      <w:r w:rsidRPr="00513653">
        <w:rPr>
          <w:b/>
          <w:bCs/>
        </w:rPr>
        <w:t>Day-Ahead Energy Market</w:t>
      </w:r>
      <w:r w:rsidRPr="00513653">
        <w:t>—allows market participants to secure prices for electric energy the day before the operating day and hedge against price fluctuations that can occur in real time.</w:t>
      </w:r>
    </w:p>
    <w:p w14:paraId="0C928385" w14:textId="77777777" w:rsidR="007D367C" w:rsidRPr="00513653" w:rsidRDefault="007D367C" w:rsidP="00955D2D">
      <w:pPr>
        <w:numPr>
          <w:ilvl w:val="0"/>
          <w:numId w:val="36"/>
        </w:numPr>
        <w:spacing w:after="120"/>
      </w:pPr>
      <w:r w:rsidRPr="00513653">
        <w:rPr>
          <w:b/>
          <w:bCs/>
        </w:rPr>
        <w:t>Real-Time Energy Market</w:t>
      </w:r>
      <w:r w:rsidRPr="00513653">
        <w:t>—coordinates the dispatch of generation and demand resources, to meet the instantaneous demand for electricity.</w:t>
      </w:r>
    </w:p>
    <w:p w14:paraId="6BCC3857" w14:textId="6F8D04BD" w:rsidR="007D367C" w:rsidRPr="00513653" w:rsidRDefault="007D367C" w:rsidP="00955D2D">
      <w:pPr>
        <w:numPr>
          <w:ilvl w:val="0"/>
          <w:numId w:val="36"/>
        </w:numPr>
        <w:spacing w:after="120"/>
      </w:pPr>
      <w:r w:rsidRPr="00513653">
        <w:rPr>
          <w:b/>
          <w:bCs/>
        </w:rPr>
        <w:t>Forward Capacity Market</w:t>
      </w:r>
      <w:r w:rsidRPr="00513653">
        <w:t>—</w:t>
      </w:r>
      <w:r w:rsidR="00272C9C" w:rsidRPr="00513653">
        <w:t xml:space="preserve">through </w:t>
      </w:r>
      <w:r w:rsidR="00513653">
        <w:t xml:space="preserve">a primary and substitution auction (SA) during each </w:t>
      </w:r>
      <w:r w:rsidR="00272C9C" w:rsidRPr="00513653">
        <w:t>Forward Capacity Auction (FCA</w:t>
      </w:r>
      <w:r w:rsidR="002F537C">
        <w:t>) (</w:t>
      </w:r>
      <w:r w:rsidR="002F537C" w:rsidRPr="00037350">
        <w:t xml:space="preserve">see Section </w:t>
      </w:r>
      <w:r w:rsidR="002F537C" w:rsidRPr="00037350">
        <w:fldChar w:fldCharType="begin"/>
      </w:r>
      <w:r w:rsidR="002F537C" w:rsidRPr="00037350">
        <w:instrText xml:space="preserve"> REF _Ref12539683 \r \h </w:instrText>
      </w:r>
      <w:r w:rsidR="002F537C">
        <w:instrText xml:space="preserve"> \* MERGEFORMAT </w:instrText>
      </w:r>
      <w:r w:rsidR="002F537C" w:rsidRPr="00037350">
        <w:fldChar w:fldCharType="separate"/>
      </w:r>
      <w:r w:rsidR="005D0B73">
        <w:t>4.1.3</w:t>
      </w:r>
      <w:r w:rsidR="002F537C" w:rsidRPr="00037350">
        <w:fldChar w:fldCharType="end"/>
      </w:r>
      <w:r w:rsidR="00272C9C" w:rsidRPr="00513653">
        <w:t>)</w:t>
      </w:r>
      <w:r w:rsidR="00F62465" w:rsidRPr="002F537C">
        <w:t>,</w:t>
      </w:r>
      <w:r w:rsidR="00272C9C" w:rsidRPr="00513653">
        <w:t xml:space="preserve"> </w:t>
      </w:r>
      <w:r w:rsidRPr="00513653">
        <w:t xml:space="preserve">ensures the sufficiency of </w:t>
      </w:r>
      <w:r w:rsidRPr="00475845">
        <w:t>installed capacity, which includes demand resources, to meet the future demand for electr</w:t>
      </w:r>
      <w:r w:rsidRPr="00513653">
        <w:t>icity by sending appropriate price signals to attract new investment, maintain existing i</w:t>
      </w:r>
      <w:r w:rsidRPr="002F537C">
        <w:t>nvestment, and encourage capacity to perform both where and when needed, including during shortage events.</w:t>
      </w:r>
      <w:r w:rsidRPr="00513653">
        <w:rPr>
          <w:vertAlign w:val="superscript"/>
        </w:rPr>
        <w:footnoteReference w:id="66"/>
      </w:r>
      <w:r w:rsidR="00A930EB" w:rsidRPr="00513653">
        <w:t xml:space="preserve"> </w:t>
      </w:r>
    </w:p>
    <w:p w14:paraId="149A5632" w14:textId="77777777" w:rsidR="007D367C" w:rsidRPr="007D367C" w:rsidRDefault="007D367C" w:rsidP="00955D2D">
      <w:pPr>
        <w:numPr>
          <w:ilvl w:val="0"/>
          <w:numId w:val="36"/>
        </w:numPr>
        <w:spacing w:after="120"/>
        <w:rPr>
          <w:color w:val="211D1E"/>
        </w:rPr>
      </w:pPr>
      <w:r w:rsidRPr="007D367C">
        <w:rPr>
          <w:b/>
          <w:bCs/>
          <w:color w:val="211D1E"/>
        </w:rPr>
        <w:t>Financial Transmission Rights (FTRs)</w:t>
      </w:r>
      <w:r w:rsidRPr="007D367C">
        <w:rPr>
          <w:color w:val="211D1E"/>
        </w:rPr>
        <w:t xml:space="preserve">—allows participants </w:t>
      </w:r>
      <w:r w:rsidRPr="007D367C">
        <w:t>to hedge against the economic impacts associated with transmission congestion and provides a financial instrument to arbitrage differences between expected and actual day-ahead congestion.</w:t>
      </w:r>
    </w:p>
    <w:p w14:paraId="7FE987EA" w14:textId="77777777" w:rsidR="007D367C" w:rsidRPr="007D367C" w:rsidRDefault="007D367C" w:rsidP="00955D2D">
      <w:pPr>
        <w:numPr>
          <w:ilvl w:val="0"/>
          <w:numId w:val="36"/>
        </w:numPr>
        <w:spacing w:after="120"/>
        <w:rPr>
          <w:b/>
        </w:rPr>
      </w:pPr>
      <w:r w:rsidRPr="007D367C">
        <w:rPr>
          <w:b/>
        </w:rPr>
        <w:t>Ancillary services</w:t>
      </w:r>
    </w:p>
    <w:p w14:paraId="3D100E59" w14:textId="77777777" w:rsidR="007D367C" w:rsidRPr="007D367C" w:rsidRDefault="007D367C" w:rsidP="00955D2D">
      <w:pPr>
        <w:numPr>
          <w:ilvl w:val="0"/>
          <w:numId w:val="32"/>
        </w:numPr>
        <w:spacing w:after="120"/>
        <w:ind w:left="1440"/>
        <w:rPr>
          <w:color w:val="000000"/>
        </w:rPr>
      </w:pPr>
      <w:r w:rsidRPr="007D367C">
        <w:rPr>
          <w:b/>
          <w:bCs/>
          <w:color w:val="000000"/>
        </w:rPr>
        <w:t>Regulation Market</w:t>
      </w:r>
      <w:r w:rsidRPr="007D367C">
        <w:rPr>
          <w:color w:val="000000"/>
        </w:rPr>
        <w:t>—compensates resources that the ISO instructs to increase or decrease output moment by moment to balance the variations in demand and system frequency to meet industry standards.</w:t>
      </w:r>
      <w:r w:rsidRPr="007D367C">
        <w:rPr>
          <w:color w:val="211D1E"/>
          <w:vertAlign w:val="superscript"/>
        </w:rPr>
        <w:footnoteReference w:id="67"/>
      </w:r>
    </w:p>
    <w:p w14:paraId="2C034D5E" w14:textId="77777777" w:rsidR="007D367C" w:rsidRPr="007D367C" w:rsidRDefault="007D367C" w:rsidP="00955D2D">
      <w:pPr>
        <w:numPr>
          <w:ilvl w:val="0"/>
          <w:numId w:val="32"/>
        </w:numPr>
        <w:spacing w:after="120"/>
        <w:ind w:left="1440"/>
        <w:rPr>
          <w:color w:val="211D1E"/>
        </w:rPr>
      </w:pPr>
      <w:r w:rsidRPr="007D367C">
        <w:rPr>
          <w:b/>
          <w:bCs/>
          <w:color w:val="211D1E"/>
        </w:rPr>
        <w:t>Forward Reserve Market</w:t>
      </w:r>
      <w:r w:rsidRPr="007D367C">
        <w:rPr>
          <w:color w:val="211D1E"/>
        </w:rPr>
        <w:t>—</w:t>
      </w:r>
      <w:r w:rsidRPr="007D367C">
        <w:rPr>
          <w:color w:val="000000"/>
        </w:rPr>
        <w:t xml:space="preserve">compensates generators for the availability of their operational capacity not generating electric energy but able to be converted into electric </w:t>
      </w:r>
      <w:r w:rsidRPr="007D367C">
        <w:rPr>
          <w:color w:val="000000"/>
        </w:rPr>
        <w:lastRenderedPageBreak/>
        <w:t>energy within 10 or 30 minutes when needed to respond to system contingencies, such as unexpected outages.</w:t>
      </w:r>
      <w:r w:rsidRPr="007D367C">
        <w:rPr>
          <w:color w:val="000000"/>
          <w:vertAlign w:val="superscript"/>
        </w:rPr>
        <w:footnoteReference w:id="68"/>
      </w:r>
    </w:p>
    <w:p w14:paraId="15BBCB3E" w14:textId="77777777" w:rsidR="007D367C" w:rsidRPr="007D367C" w:rsidRDefault="007D367C" w:rsidP="00955D2D">
      <w:pPr>
        <w:numPr>
          <w:ilvl w:val="0"/>
          <w:numId w:val="32"/>
        </w:numPr>
        <w:spacing w:after="120"/>
        <w:ind w:left="1440"/>
        <w:rPr>
          <w:color w:val="000000"/>
        </w:rPr>
      </w:pPr>
      <w:r w:rsidRPr="007D367C">
        <w:rPr>
          <w:b/>
          <w:bCs/>
          <w:color w:val="000000"/>
        </w:rPr>
        <w:t>Real-time reserve pricing</w:t>
      </w:r>
      <w:r w:rsidRPr="007D367C">
        <w:rPr>
          <w:color w:val="000000"/>
        </w:rPr>
        <w:t>—compensates participants with on-line and fast-start generators for the increased values of their electric energy when the system or portions of the system are short of reserves.</w:t>
      </w:r>
      <w:r w:rsidRPr="007D367C">
        <w:rPr>
          <w:color w:val="000000"/>
          <w:vertAlign w:val="superscript"/>
        </w:rPr>
        <w:footnoteReference w:id="69"/>
      </w:r>
      <w:r w:rsidRPr="007D367C">
        <w:rPr>
          <w:color w:val="000000"/>
        </w:rPr>
        <w:t xml:space="preserve"> It also provides efficient price signals to generators when redispatch is needed to provide additional reserves to meet requirements.</w:t>
      </w:r>
    </w:p>
    <w:p w14:paraId="6070D6EC" w14:textId="77777777" w:rsidR="007D367C" w:rsidRPr="007D367C" w:rsidRDefault="007D367C" w:rsidP="00955D2D">
      <w:pPr>
        <w:numPr>
          <w:ilvl w:val="0"/>
          <w:numId w:val="32"/>
        </w:numPr>
        <w:ind w:left="1440"/>
        <w:rPr>
          <w:color w:val="000000"/>
        </w:rPr>
      </w:pPr>
      <w:r w:rsidRPr="007D367C">
        <w:rPr>
          <w:b/>
          <w:bCs/>
          <w:color w:val="000000"/>
        </w:rPr>
        <w:t>Voltage support</w:t>
      </w:r>
      <w:r w:rsidRPr="007D367C">
        <w:rPr>
          <w:color w:val="000000"/>
        </w:rPr>
        <w:t>—compensates resources for maintaining voltage-control capability, which allows system operators to maintain transmission voltages within acceptable limits.</w:t>
      </w:r>
    </w:p>
    <w:p w14:paraId="63F20DEC" w14:textId="77777777" w:rsidR="007D367C" w:rsidRPr="007D367C" w:rsidRDefault="007D367C" w:rsidP="007D367C">
      <w:r w:rsidRPr="007D367C">
        <w:t>One key feature of the region’s wholesale electricity markets is locational marginal pricing for electric energy, which r</w:t>
      </w:r>
      <w:r w:rsidRPr="007D367C">
        <w:rPr>
          <w:bCs/>
        </w:rPr>
        <w:t>eflects</w:t>
      </w:r>
      <w:r w:rsidRPr="007D367C">
        <w:t xml:space="preserve"> the variations in supply, demand, and transmission system limitations effectively at every location where electric energy enters or exits the wholesale power network. In New England, wholesale electricity prices are set at more than 1,100 pricing points (i.e., </w:t>
      </w:r>
      <w:r w:rsidRPr="007D367C">
        <w:rPr>
          <w:i/>
          <w:iCs/>
        </w:rPr>
        <w:t>pnodes</w:t>
      </w:r>
      <w:r w:rsidRPr="007D367C">
        <w:t xml:space="preserve">) on the power grid. If the system were entirely unconstrained and had no losses, all </w:t>
      </w:r>
      <w:r w:rsidRPr="007D367C">
        <w:rPr>
          <w:i/>
        </w:rPr>
        <w:t>locational marginal prices</w:t>
      </w:r>
      <w:r w:rsidRPr="007D367C">
        <w:t xml:space="preserve"> (LMPs) would be the same, reflecting only the cost of serving the next megawatt increment of load by the generator with the lowest-cost electric energy available, which would be able to flow to any point on the transmission system. LMPs would differ among the pnodes if each location’s marginal cost of congestion and marginal cost of line losses differed.</w:t>
      </w:r>
    </w:p>
    <w:p w14:paraId="580D100B" w14:textId="77777777" w:rsidR="007D367C" w:rsidRPr="007D367C" w:rsidRDefault="007D367C" w:rsidP="007D367C">
      <w:r w:rsidRPr="007D367C">
        <w:t>Transmission system constraints, which limit the flow of the least-cost generation and create the need to dispatch costlier generation, give rise to the congestion component of an LMP. Line losses are caused by physical resistance and subsequent heat loss in the transmission system as electricity travels through transformers, reactors, and other types of equipment, resulting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must be dispatched. The ISO operates the system to minimize total system costs, while recognizing physical limitations of the system.</w:t>
      </w:r>
    </w:p>
    <w:p w14:paraId="082D52C3" w14:textId="77777777" w:rsidR="007D367C" w:rsidRPr="007D367C" w:rsidRDefault="007D367C" w:rsidP="007D367C">
      <w:r w:rsidRPr="007D367C">
        <w:t>The ISO annually assesses the wholesale electricity markets to better understand problems to be addressed and to determine whether the market design or other measures warrant any changes. The ISO uses this information and the results of RSP studies to develop market design changes through an open stakeholder process.</w:t>
      </w:r>
      <w:r w:rsidRPr="007D367C">
        <w:rPr>
          <w:vertAlign w:val="superscript"/>
        </w:rPr>
        <w:footnoteReference w:id="70"/>
      </w:r>
      <w:r w:rsidRPr="007D367C">
        <w:t xml:space="preserve"> </w:t>
      </w:r>
    </w:p>
    <w:p w14:paraId="4DCCB15F" w14:textId="77777777" w:rsidR="007D367C" w:rsidRPr="007D367C" w:rsidRDefault="007D367C" w:rsidP="00BF3CF1">
      <w:pPr>
        <w:pStyle w:val="Heading2"/>
      </w:pPr>
      <w:bookmarkStart w:id="163" w:name="_Ref356659320"/>
      <w:bookmarkStart w:id="164" w:name="_Toc396807605"/>
      <w:bookmarkStart w:id="165" w:name="_Toc484973059"/>
      <w:bookmarkStart w:id="166" w:name="_Toc490323013"/>
      <w:bookmarkStart w:id="167" w:name="_Toc12795155"/>
      <w:r w:rsidRPr="007D367C">
        <w:lastRenderedPageBreak/>
        <w:t>Overview of System Subdivisions Used for Analyzing and Planning the System</w:t>
      </w:r>
      <w:bookmarkEnd w:id="163"/>
      <w:bookmarkEnd w:id="164"/>
      <w:bookmarkEnd w:id="165"/>
      <w:bookmarkEnd w:id="166"/>
      <w:bookmarkEnd w:id="167"/>
    </w:p>
    <w:p w14:paraId="40BD5BA2" w14:textId="77777777" w:rsidR="007D367C" w:rsidRPr="007D367C" w:rsidRDefault="007D367C" w:rsidP="007D367C">
      <w:r w:rsidRPr="007D367C">
        <w:t>To assist in modeling, analyzing, and planning electricity resources in New England, the region and the system have been subdivided in various wa</w:t>
      </w:r>
      <w:r w:rsidRPr="00CF7569">
        <w:t xml:space="preserve">ys, </w:t>
      </w:r>
      <w:r w:rsidRPr="00C80F73">
        <w:t>including subareas, load zones, reserve zones, demand-resource dispatch zones, and capacity zones.</w:t>
      </w:r>
      <w:r w:rsidRPr="00CF7569">
        <w:t xml:space="preserve"> The</w:t>
      </w:r>
      <w:r w:rsidRPr="007D367C">
        <w:t>se categories are included in the discussions throughout the RSP and are summarized below.</w:t>
      </w:r>
      <w:r w:rsidRPr="007D367C">
        <w:rPr>
          <w:vertAlign w:val="superscript"/>
        </w:rPr>
        <w:footnoteReference w:id="71"/>
      </w:r>
    </w:p>
    <w:p w14:paraId="3B7132B0" w14:textId="77777777" w:rsidR="007D367C" w:rsidRPr="007D367C" w:rsidRDefault="007D367C" w:rsidP="007D367C">
      <w:r w:rsidRPr="007D367C">
        <w:t xml:space="preserve">The ISO has established 13 </w:t>
      </w:r>
      <w:r w:rsidRPr="007D367C">
        <w:rPr>
          <w:i/>
        </w:rPr>
        <w:t>subareas</w:t>
      </w:r>
      <w:r w:rsidRPr="007D367C">
        <w:t xml:space="preserve"> of the region’s electric power system. These subareas form a simplified model of load areas connected by the major transmission interfaces across the system. The simplified model illustrates possible physical limitations to the reliable and economic flow of power that can evolve over time as the system changes.</w:t>
      </w:r>
    </w:p>
    <w:p w14:paraId="00B265CE" w14:textId="4E549D03" w:rsidR="007D367C" w:rsidRPr="007D367C" w:rsidRDefault="007D367C" w:rsidP="007D367C">
      <w:r w:rsidRPr="007D367C">
        <w:fldChar w:fldCharType="begin"/>
      </w:r>
      <w:r w:rsidRPr="007D367C">
        <w:instrText xml:space="preserve"> REF _Ref485982000 \h  \* MERGEFORMAT </w:instrText>
      </w:r>
      <w:r w:rsidRPr="007D367C">
        <w:fldChar w:fldCharType="separate"/>
      </w:r>
      <w:r w:rsidR="005D0B73" w:rsidRPr="005D0B73">
        <w:t>Figure 2</w:t>
      </w:r>
      <w:r w:rsidR="005D0B73" w:rsidRPr="005D0B73">
        <w:noBreakHyphen/>
        <w:t>3</w:t>
      </w:r>
      <w:r w:rsidRPr="007D367C">
        <w:fldChar w:fldCharType="end"/>
      </w:r>
      <w:r w:rsidRPr="007D367C">
        <w:t xml:space="preserve"> shows the ISO subareas and three external balancing authority areas. While transmission planning studies and the real-time operation of the system use more detailed models, the subarea representation shown in </w:t>
      </w:r>
      <w:r w:rsidRPr="007D367C">
        <w:fldChar w:fldCharType="begin"/>
      </w:r>
      <w:r w:rsidRPr="007D367C">
        <w:instrText xml:space="preserve"> REF _Ref485982000 \h  \* MERGEFORMAT </w:instrText>
      </w:r>
      <w:r w:rsidRPr="007D367C">
        <w:fldChar w:fldCharType="separate"/>
      </w:r>
      <w:r w:rsidR="005D0B73" w:rsidRPr="005D0B73">
        <w:t>Figure 2</w:t>
      </w:r>
      <w:r w:rsidR="005D0B73" w:rsidRPr="005D0B73">
        <w:noBreakHyphen/>
        <w:t>3</w:t>
      </w:r>
      <w:r w:rsidRPr="007D367C">
        <w:fldChar w:fldCharType="end"/>
      </w:r>
      <w:r w:rsidRPr="007D367C">
        <w:t xml:space="preserve"> is suitable for some RSP19 studies of resource adequacy, operating-reserve requirements, production cost, and environmental emissions.</w:t>
      </w:r>
    </w:p>
    <w:tbl>
      <w:tblPr>
        <w:tblStyle w:val="20122tableformat"/>
        <w:tblW w:w="9076" w:type="dxa"/>
        <w:tblLayout w:type="fixed"/>
        <w:tblCellMar>
          <w:top w:w="14" w:type="dxa"/>
          <w:bottom w:w="14" w:type="dxa"/>
        </w:tblCellMar>
        <w:tblLook w:val="0000" w:firstRow="0" w:lastRow="0" w:firstColumn="0" w:lastColumn="0" w:noHBand="0" w:noVBand="0"/>
      </w:tblPr>
      <w:tblGrid>
        <w:gridCol w:w="4974"/>
        <w:gridCol w:w="1305"/>
        <w:gridCol w:w="2797"/>
      </w:tblGrid>
      <w:tr w:rsidR="007D367C" w:rsidRPr="007D367C" w14:paraId="312B5857" w14:textId="77777777" w:rsidTr="00EB271B">
        <w:trPr>
          <w:cnfStyle w:val="000000100000" w:firstRow="0" w:lastRow="0" w:firstColumn="0" w:lastColumn="0" w:oddVBand="0" w:evenVBand="0" w:oddHBand="1" w:evenHBand="0" w:firstRowFirstColumn="0" w:firstRowLastColumn="0" w:lastRowFirstColumn="0" w:lastRowLastColumn="0"/>
          <w:trHeight w:val="438"/>
        </w:trPr>
        <w:tc>
          <w:tcPr>
            <w:tcW w:w="4974" w:type="dxa"/>
            <w:vMerge w:val="restart"/>
          </w:tcPr>
          <w:p w14:paraId="56F83779" w14:textId="77777777" w:rsidR="007D367C" w:rsidRPr="007D367C" w:rsidRDefault="007D367C" w:rsidP="007D367C">
            <w:pPr>
              <w:keepNext/>
              <w:keepLines/>
              <w:spacing w:before="40" w:after="20" w:line="260" w:lineRule="atLeast"/>
              <w:jc w:val="center"/>
              <w:rPr>
                <w:rFonts w:asciiTheme="minorHAnsi" w:eastAsia="Arial Unicode MS" w:hAnsiTheme="minorHAnsi"/>
                <w:b/>
                <w:bCs/>
                <w:sz w:val="16"/>
                <w:szCs w:val="16"/>
              </w:rPr>
            </w:pPr>
            <w:r w:rsidRPr="007D367C">
              <w:rPr>
                <w:rFonts w:asciiTheme="minorHAnsi" w:eastAsia="Arial Unicode MS" w:hAnsiTheme="minorHAnsi"/>
                <w:b/>
                <w:bCs/>
                <w:noProof/>
                <w:sz w:val="16"/>
                <w:szCs w:val="16"/>
              </w:rPr>
              <w:lastRenderedPageBreak/>
              <w:drawing>
                <wp:inline distT="0" distB="0" distL="0" distR="0" wp14:anchorId="42B2B21A" wp14:editId="5C6775A5">
                  <wp:extent cx="3077171" cy="427228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tretch>
                            <a:fillRect/>
                          </a:stretch>
                        </pic:blipFill>
                        <pic:spPr bwMode="auto">
                          <a:xfrm>
                            <a:off x="0" y="0"/>
                            <a:ext cx="3082390" cy="4279526"/>
                          </a:xfrm>
                          <a:prstGeom prst="rect">
                            <a:avLst/>
                          </a:prstGeom>
                          <a:noFill/>
                          <a:ln w="9525">
                            <a:noFill/>
                            <a:miter lim="800000"/>
                            <a:headEnd/>
                            <a:tailEnd/>
                          </a:ln>
                        </pic:spPr>
                      </pic:pic>
                    </a:graphicData>
                  </a:graphic>
                </wp:inline>
              </w:drawing>
            </w:r>
          </w:p>
        </w:tc>
        <w:tc>
          <w:tcPr>
            <w:tcW w:w="1305" w:type="dxa"/>
            <w:shd w:val="clear" w:color="auto" w:fill="91C7E9" w:themeFill="text2" w:themeFillTint="66"/>
            <w:noWrap/>
          </w:tcPr>
          <w:p w14:paraId="0B74FA2C" w14:textId="77777777"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Subarea Designation</w:t>
            </w:r>
          </w:p>
        </w:tc>
        <w:tc>
          <w:tcPr>
            <w:tcW w:w="2797" w:type="dxa"/>
            <w:shd w:val="clear" w:color="auto" w:fill="91C7E9" w:themeFill="text2" w:themeFillTint="66"/>
          </w:tcPr>
          <w:p w14:paraId="21AE276E" w14:textId="77777777" w:rsidR="007D367C" w:rsidRPr="007D367C" w:rsidRDefault="007D367C" w:rsidP="007D367C">
            <w:pPr>
              <w:keepNext/>
              <w:keepLines/>
              <w:spacing w:after="0" w:line="260" w:lineRule="atLeast"/>
              <w:jc w:val="center"/>
              <w:rPr>
                <w:rFonts w:asciiTheme="minorHAnsi" w:eastAsia="Arial Unicode MS" w:hAnsiTheme="minorHAnsi"/>
                <w:b/>
                <w:bCs/>
                <w:color w:val="FFFFFF" w:themeColor="background1"/>
                <w:sz w:val="20"/>
                <w:szCs w:val="18"/>
              </w:rPr>
            </w:pPr>
            <w:r w:rsidRPr="007D367C">
              <w:rPr>
                <w:rFonts w:asciiTheme="minorHAnsi" w:eastAsia="Arial Unicode MS" w:hAnsiTheme="minorHAnsi"/>
                <w:b/>
                <w:bCs/>
                <w:color w:val="FFFFFF" w:themeColor="background1"/>
                <w:sz w:val="20"/>
                <w:szCs w:val="18"/>
              </w:rPr>
              <w:t>Region or State</w:t>
            </w:r>
          </w:p>
        </w:tc>
      </w:tr>
      <w:tr w:rsidR="007D367C" w:rsidRPr="007D367C" w14:paraId="0284A5CF" w14:textId="77777777" w:rsidTr="00EB271B">
        <w:trPr>
          <w:cnfStyle w:val="000000010000" w:firstRow="0" w:lastRow="0" w:firstColumn="0" w:lastColumn="0" w:oddVBand="0" w:evenVBand="0" w:oddHBand="0" w:evenHBand="1" w:firstRowFirstColumn="0" w:firstRowLastColumn="0" w:lastRowFirstColumn="0" w:lastRowLastColumn="0"/>
          <w:trHeight w:val="272"/>
        </w:trPr>
        <w:tc>
          <w:tcPr>
            <w:tcW w:w="4974" w:type="dxa"/>
            <w:vMerge/>
          </w:tcPr>
          <w:p w14:paraId="66E8CFFA"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0C7FA9E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BHE</w:t>
            </w:r>
          </w:p>
        </w:tc>
        <w:tc>
          <w:tcPr>
            <w:tcW w:w="2797" w:type="dxa"/>
            <w:shd w:val="clear" w:color="auto" w:fill="FFFFFF" w:themeFill="background1"/>
          </w:tcPr>
          <w:p w14:paraId="18A4BA1D"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Northeastern Maine</w:t>
            </w:r>
          </w:p>
        </w:tc>
      </w:tr>
      <w:tr w:rsidR="007D367C" w:rsidRPr="007D367C" w14:paraId="48D67AE5" w14:textId="77777777" w:rsidTr="00EB271B">
        <w:trPr>
          <w:cnfStyle w:val="000000100000" w:firstRow="0" w:lastRow="0" w:firstColumn="0" w:lastColumn="0" w:oddVBand="0" w:evenVBand="0" w:oddHBand="1" w:evenHBand="0" w:firstRowFirstColumn="0" w:firstRowLastColumn="0" w:lastRowFirstColumn="0" w:lastRowLastColumn="0"/>
          <w:trHeight w:val="170"/>
        </w:trPr>
        <w:tc>
          <w:tcPr>
            <w:tcW w:w="4974" w:type="dxa"/>
            <w:vMerge/>
          </w:tcPr>
          <w:p w14:paraId="35D99D50"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2" w:space="0" w:color="62777F" w:themeColor="text1"/>
            </w:tcBorders>
            <w:shd w:val="clear" w:color="auto" w:fill="C8E3F4" w:themeFill="text2" w:themeFillTint="33"/>
            <w:noWrap/>
          </w:tcPr>
          <w:p w14:paraId="7874D8DC"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ME</w:t>
            </w:r>
          </w:p>
        </w:tc>
        <w:tc>
          <w:tcPr>
            <w:tcW w:w="2797" w:type="dxa"/>
            <w:tcBorders>
              <w:bottom w:val="single" w:sz="2" w:space="0" w:color="62777F" w:themeColor="text1"/>
            </w:tcBorders>
            <w:shd w:val="clear" w:color="auto" w:fill="C8E3F4" w:themeFill="text2" w:themeFillTint="33"/>
          </w:tcPr>
          <w:p w14:paraId="35B055C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and central Maine/</w:t>
            </w:r>
            <w:r w:rsidRPr="005C6CAB">
              <w:rPr>
                <w:rFonts w:asciiTheme="minorHAnsi" w:eastAsia="Times New Roman" w:hAnsiTheme="minorHAnsi"/>
                <w:szCs w:val="18"/>
              </w:rPr>
              <w:br/>
              <w:t>Saco Valley, New Hampshire</w:t>
            </w:r>
          </w:p>
        </w:tc>
      </w:tr>
      <w:tr w:rsidR="007D367C" w:rsidRPr="007D367C" w14:paraId="73D01AEE" w14:textId="77777777" w:rsidTr="00EB271B">
        <w:trPr>
          <w:cnfStyle w:val="000000010000" w:firstRow="0" w:lastRow="0" w:firstColumn="0" w:lastColumn="0" w:oddVBand="0" w:evenVBand="0" w:oddHBand="0" w:evenHBand="1" w:firstRowFirstColumn="0" w:firstRowLastColumn="0" w:lastRowFirstColumn="0" w:lastRowLastColumn="0"/>
          <w:trHeight w:val="371"/>
        </w:trPr>
        <w:tc>
          <w:tcPr>
            <w:tcW w:w="4974" w:type="dxa"/>
            <w:vMerge/>
          </w:tcPr>
          <w:p w14:paraId="67357C5B"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bottom w:val="single" w:sz="4" w:space="0" w:color="auto"/>
            </w:tcBorders>
            <w:shd w:val="clear" w:color="auto" w:fill="FFFFFF" w:themeFill="background1"/>
            <w:noWrap/>
          </w:tcPr>
          <w:p w14:paraId="09F08EBF"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SME</w:t>
            </w:r>
          </w:p>
        </w:tc>
        <w:tc>
          <w:tcPr>
            <w:tcW w:w="2797" w:type="dxa"/>
            <w:tcBorders>
              <w:bottom w:val="single" w:sz="4" w:space="0" w:color="auto"/>
            </w:tcBorders>
            <w:shd w:val="clear" w:color="auto" w:fill="FFFFFF" w:themeFill="background1"/>
          </w:tcPr>
          <w:p w14:paraId="6CA0E723"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Maine</w:t>
            </w:r>
          </w:p>
        </w:tc>
      </w:tr>
      <w:tr w:rsidR="007D367C" w:rsidRPr="007D367C" w14:paraId="6CEE8CD8" w14:textId="77777777"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14:paraId="11A607FC"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tcBorders>
              <w:top w:val="single" w:sz="4" w:space="0" w:color="auto"/>
            </w:tcBorders>
            <w:shd w:val="clear" w:color="auto" w:fill="C8E3F4" w:themeFill="text2" w:themeFillTint="33"/>
            <w:noWrap/>
          </w:tcPr>
          <w:p w14:paraId="298D1B33"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NH</w:t>
            </w:r>
          </w:p>
        </w:tc>
        <w:tc>
          <w:tcPr>
            <w:tcW w:w="2797" w:type="dxa"/>
            <w:tcBorders>
              <w:top w:val="single" w:sz="4" w:space="0" w:color="auto"/>
            </w:tcBorders>
            <w:shd w:val="clear" w:color="auto" w:fill="C8E3F4" w:themeFill="text2" w:themeFillTint="33"/>
          </w:tcPr>
          <w:p w14:paraId="25594666"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Northern, eastern, and central </w:t>
            </w:r>
            <w:r w:rsidRPr="005C6CAB">
              <w:rPr>
                <w:rFonts w:asciiTheme="minorHAnsi" w:eastAsia="Times New Roman" w:hAnsiTheme="minorHAnsi"/>
                <w:szCs w:val="18"/>
              </w:rPr>
              <w:br/>
              <w:t>New Hampshire/eastern Vermont and southwestern Maine</w:t>
            </w:r>
          </w:p>
        </w:tc>
      </w:tr>
      <w:tr w:rsidR="007D367C" w:rsidRPr="007D367C" w14:paraId="2C974EBB" w14:textId="77777777" w:rsidTr="00EB271B">
        <w:trPr>
          <w:cnfStyle w:val="000000010000" w:firstRow="0" w:lastRow="0" w:firstColumn="0" w:lastColumn="0" w:oddVBand="0" w:evenVBand="0" w:oddHBand="0" w:evenHBand="1" w:firstRowFirstColumn="0" w:firstRowLastColumn="0" w:lastRowFirstColumn="0" w:lastRowLastColumn="0"/>
          <w:trHeight w:val="461"/>
        </w:trPr>
        <w:tc>
          <w:tcPr>
            <w:tcW w:w="4974" w:type="dxa"/>
            <w:vMerge/>
          </w:tcPr>
          <w:p w14:paraId="169E39DA"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4F1E0B94"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VT</w:t>
            </w:r>
          </w:p>
        </w:tc>
        <w:tc>
          <w:tcPr>
            <w:tcW w:w="2797" w:type="dxa"/>
            <w:shd w:val="clear" w:color="auto" w:fill="FFFFFF" w:themeFill="background1"/>
          </w:tcPr>
          <w:p w14:paraId="4EAF0D1F"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Vermont/southwestern</w:t>
            </w:r>
            <w:r w:rsidRPr="005C6CAB">
              <w:rPr>
                <w:rFonts w:asciiTheme="minorHAnsi" w:eastAsia="Times New Roman" w:hAnsiTheme="minorHAnsi"/>
                <w:szCs w:val="18"/>
              </w:rPr>
              <w:br/>
              <w:t>New Hampshire</w:t>
            </w:r>
          </w:p>
        </w:tc>
      </w:tr>
      <w:tr w:rsidR="007D367C" w:rsidRPr="007D367C" w14:paraId="3159A383" w14:textId="77777777" w:rsidTr="00EB271B">
        <w:trPr>
          <w:cnfStyle w:val="000000100000" w:firstRow="0" w:lastRow="0" w:firstColumn="0" w:lastColumn="0" w:oddVBand="0" w:evenVBand="0" w:oddHBand="1" w:evenHBand="0" w:firstRowFirstColumn="0" w:firstRowLastColumn="0" w:lastRowFirstColumn="0" w:lastRowLastColumn="0"/>
          <w:trHeight w:val="488"/>
        </w:trPr>
        <w:tc>
          <w:tcPr>
            <w:tcW w:w="4974" w:type="dxa"/>
            <w:vMerge/>
          </w:tcPr>
          <w:p w14:paraId="43B42810"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14:paraId="7171B644"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caps/>
                <w:szCs w:val="18"/>
              </w:rPr>
              <w:t>Boston</w:t>
            </w:r>
            <w:r w:rsidRPr="005C6CAB">
              <w:rPr>
                <w:rFonts w:asciiTheme="minorHAnsi" w:eastAsia="Times New Roman" w:hAnsiTheme="minorHAnsi"/>
                <w:caps/>
                <w:szCs w:val="18"/>
              </w:rPr>
              <w:br/>
            </w:r>
            <w:r w:rsidRPr="005C6CAB">
              <w:rPr>
                <w:rFonts w:asciiTheme="minorHAnsi" w:eastAsia="Times New Roman" w:hAnsiTheme="minorHAnsi"/>
                <w:szCs w:val="18"/>
              </w:rPr>
              <w:t>(all capitalized)</w:t>
            </w:r>
          </w:p>
        </w:tc>
        <w:tc>
          <w:tcPr>
            <w:tcW w:w="2797" w:type="dxa"/>
            <w:shd w:val="clear" w:color="auto" w:fill="C8E3F4" w:themeFill="text2" w:themeFillTint="33"/>
          </w:tcPr>
          <w:p w14:paraId="326A4158"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Greater Boston, including the North Shore</w:t>
            </w:r>
          </w:p>
        </w:tc>
      </w:tr>
      <w:tr w:rsidR="007D367C" w:rsidRPr="007D367C" w14:paraId="025DC276" w14:textId="77777777"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14:paraId="56E2AA8F"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50B62536"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CMA/NEMA</w:t>
            </w:r>
          </w:p>
        </w:tc>
        <w:tc>
          <w:tcPr>
            <w:tcW w:w="2797" w:type="dxa"/>
            <w:shd w:val="clear" w:color="auto" w:fill="FFFFFF" w:themeFill="background1"/>
          </w:tcPr>
          <w:p w14:paraId="76BE6CB8"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 xml:space="preserve">Central Massachusetts/ </w:t>
            </w:r>
            <w:r w:rsidRPr="005C6CAB">
              <w:rPr>
                <w:rFonts w:asciiTheme="minorHAnsi" w:eastAsia="Times New Roman" w:hAnsiTheme="minorHAnsi"/>
                <w:szCs w:val="18"/>
              </w:rPr>
              <w:br/>
              <w:t>northeastern Massachusetts</w:t>
            </w:r>
          </w:p>
        </w:tc>
      </w:tr>
      <w:tr w:rsidR="007D367C" w:rsidRPr="007D367C" w14:paraId="01E99E02" w14:textId="77777777" w:rsidTr="00EB271B">
        <w:trPr>
          <w:cnfStyle w:val="000000100000" w:firstRow="0" w:lastRow="0" w:firstColumn="0" w:lastColumn="0" w:oddVBand="0" w:evenVBand="0" w:oddHBand="1" w:evenHBand="0" w:firstRowFirstColumn="0" w:firstRowLastColumn="0" w:lastRowFirstColumn="0" w:lastRowLastColumn="0"/>
          <w:trHeight w:val="263"/>
        </w:trPr>
        <w:tc>
          <w:tcPr>
            <w:tcW w:w="4974" w:type="dxa"/>
            <w:vMerge/>
          </w:tcPr>
          <w:p w14:paraId="61F9E6D5"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14:paraId="4B195B89"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WMA</w:t>
            </w:r>
          </w:p>
        </w:tc>
        <w:tc>
          <w:tcPr>
            <w:tcW w:w="2797" w:type="dxa"/>
            <w:shd w:val="clear" w:color="auto" w:fill="C8E3F4" w:themeFill="text2" w:themeFillTint="33"/>
          </w:tcPr>
          <w:p w14:paraId="26D985AA"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Western Massachusetts</w:t>
            </w:r>
          </w:p>
        </w:tc>
      </w:tr>
      <w:tr w:rsidR="007D367C" w:rsidRPr="007D367C" w14:paraId="2515AE6F" w14:textId="77777777" w:rsidTr="00EB271B">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14:paraId="7A5F5EA2"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37BE57A1"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SEMA</w:t>
            </w:r>
          </w:p>
        </w:tc>
        <w:tc>
          <w:tcPr>
            <w:tcW w:w="2797" w:type="dxa"/>
            <w:shd w:val="clear" w:color="auto" w:fill="FFFFFF" w:themeFill="background1"/>
          </w:tcPr>
          <w:p w14:paraId="1C347FC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Southeastern Massachusetts/</w:t>
            </w:r>
            <w:r w:rsidRPr="005C6CAB">
              <w:rPr>
                <w:rFonts w:asciiTheme="minorHAnsi" w:eastAsia="Times New Roman" w:hAnsiTheme="minorHAnsi"/>
                <w:szCs w:val="18"/>
              </w:rPr>
              <w:br/>
              <w:t>Newport, Rhode Island</w:t>
            </w:r>
          </w:p>
        </w:tc>
      </w:tr>
      <w:tr w:rsidR="007D367C" w:rsidRPr="007D367C" w14:paraId="77C09EB6" w14:textId="77777777" w:rsidTr="00EB271B">
        <w:trPr>
          <w:cnfStyle w:val="000000100000" w:firstRow="0" w:lastRow="0" w:firstColumn="0" w:lastColumn="0" w:oddVBand="0" w:evenVBand="0" w:oddHBand="1" w:evenHBand="0" w:firstRowFirstColumn="0" w:firstRowLastColumn="0" w:lastRowFirstColumn="0" w:lastRowLastColumn="0"/>
          <w:trHeight w:val="421"/>
        </w:trPr>
        <w:tc>
          <w:tcPr>
            <w:tcW w:w="4974" w:type="dxa"/>
            <w:vMerge/>
          </w:tcPr>
          <w:p w14:paraId="4BD1AF51"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14:paraId="463F8BD8"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RI</w:t>
            </w:r>
          </w:p>
        </w:tc>
        <w:tc>
          <w:tcPr>
            <w:tcW w:w="2797" w:type="dxa"/>
            <w:shd w:val="clear" w:color="auto" w:fill="C8E3F4" w:themeFill="text2" w:themeFillTint="33"/>
          </w:tcPr>
          <w:p w14:paraId="0EE4BA02"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Rhode Island/bordering Massachusetts</w:t>
            </w:r>
          </w:p>
        </w:tc>
      </w:tr>
      <w:tr w:rsidR="007D367C" w:rsidRPr="007D367C" w14:paraId="61117FAA" w14:textId="77777777" w:rsidTr="00EB271B">
        <w:trPr>
          <w:cnfStyle w:val="000000010000" w:firstRow="0" w:lastRow="0" w:firstColumn="0" w:lastColumn="0" w:oddVBand="0" w:evenVBand="0" w:oddHBand="0" w:evenHBand="1" w:firstRowFirstColumn="0" w:firstRowLastColumn="0" w:lastRowFirstColumn="0" w:lastRowLastColumn="0"/>
          <w:trHeight w:val="317"/>
        </w:trPr>
        <w:tc>
          <w:tcPr>
            <w:tcW w:w="4974" w:type="dxa"/>
            <w:vMerge/>
          </w:tcPr>
          <w:p w14:paraId="3395B0F7"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10B2CF85"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CT</w:t>
            </w:r>
          </w:p>
        </w:tc>
        <w:tc>
          <w:tcPr>
            <w:tcW w:w="2797" w:type="dxa"/>
            <w:shd w:val="clear" w:color="auto" w:fill="FFFFFF" w:themeFill="background1"/>
          </w:tcPr>
          <w:p w14:paraId="36CFE859"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Northern and eastern Connecticut</w:t>
            </w:r>
          </w:p>
        </w:tc>
      </w:tr>
      <w:tr w:rsidR="007D367C" w:rsidRPr="007D367C" w14:paraId="39481F64" w14:textId="77777777" w:rsidTr="00EB271B">
        <w:trPr>
          <w:cnfStyle w:val="000000100000" w:firstRow="0" w:lastRow="0" w:firstColumn="0" w:lastColumn="0" w:oddVBand="0" w:evenVBand="0" w:oddHBand="1" w:evenHBand="0" w:firstRowFirstColumn="0" w:firstRowLastColumn="0" w:lastRowFirstColumn="0" w:lastRowLastColumn="0"/>
          <w:trHeight w:val="299"/>
        </w:trPr>
        <w:tc>
          <w:tcPr>
            <w:tcW w:w="4974" w:type="dxa"/>
            <w:vMerge/>
          </w:tcPr>
          <w:p w14:paraId="775B74B8"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14:paraId="0A99C07E"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SWCT</w:t>
            </w:r>
          </w:p>
        </w:tc>
        <w:tc>
          <w:tcPr>
            <w:tcW w:w="2797" w:type="dxa"/>
            <w:shd w:val="clear" w:color="auto" w:fill="C8E3F4" w:themeFill="text2" w:themeFillTint="33"/>
          </w:tcPr>
          <w:p w14:paraId="477A48D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Southwestern Connecticut</w:t>
            </w:r>
          </w:p>
        </w:tc>
      </w:tr>
      <w:tr w:rsidR="007D367C" w:rsidRPr="007D367C" w14:paraId="1F687EDD" w14:textId="77777777" w:rsidTr="00EB271B">
        <w:trPr>
          <w:cnfStyle w:val="000000010000" w:firstRow="0" w:lastRow="0" w:firstColumn="0" w:lastColumn="0" w:oddVBand="0" w:evenVBand="0" w:oddHBand="0" w:evenHBand="1" w:firstRowFirstColumn="0" w:firstRowLastColumn="0" w:lastRowFirstColumn="0" w:lastRowLastColumn="0"/>
          <w:trHeight w:val="389"/>
        </w:trPr>
        <w:tc>
          <w:tcPr>
            <w:tcW w:w="4974" w:type="dxa"/>
            <w:vMerge/>
          </w:tcPr>
          <w:p w14:paraId="1EE91247"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FFFFFF" w:themeFill="background1"/>
            <w:noWrap/>
          </w:tcPr>
          <w:p w14:paraId="6E6EE43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t>
            </w:r>
          </w:p>
        </w:tc>
        <w:tc>
          <w:tcPr>
            <w:tcW w:w="2797" w:type="dxa"/>
            <w:shd w:val="clear" w:color="auto" w:fill="FFFFFF" w:themeFill="background1"/>
          </w:tcPr>
          <w:p w14:paraId="2F3500B2"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Norwalk/Stamford, Connecticut</w:t>
            </w:r>
          </w:p>
        </w:tc>
      </w:tr>
      <w:tr w:rsidR="007D367C" w:rsidRPr="007D367C" w14:paraId="57523560" w14:textId="77777777" w:rsidTr="00EB271B">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14:paraId="06D7A1BB" w14:textId="77777777" w:rsidR="007D367C" w:rsidRPr="007D367C" w:rsidRDefault="007D367C" w:rsidP="007D367C">
            <w:pPr>
              <w:keepNext/>
              <w:keepLines/>
              <w:spacing w:before="40" w:after="20" w:line="260" w:lineRule="atLeast"/>
              <w:rPr>
                <w:rFonts w:asciiTheme="minorHAnsi" w:eastAsia="Times New Roman" w:hAnsiTheme="minorHAnsi"/>
                <w:sz w:val="16"/>
                <w:szCs w:val="24"/>
              </w:rPr>
            </w:pPr>
          </w:p>
        </w:tc>
        <w:tc>
          <w:tcPr>
            <w:tcW w:w="1305" w:type="dxa"/>
            <w:shd w:val="clear" w:color="auto" w:fill="C8E3F4" w:themeFill="text2" w:themeFillTint="33"/>
            <w:noWrap/>
          </w:tcPr>
          <w:p w14:paraId="1964345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NB, HQ,</w:t>
            </w:r>
            <w:r w:rsidRPr="005C6CAB">
              <w:rPr>
                <w:rFonts w:asciiTheme="minorHAnsi" w:eastAsia="Times New Roman" w:hAnsiTheme="minorHAnsi"/>
                <w:szCs w:val="18"/>
              </w:rPr>
              <w:br/>
              <w:t>and NY</w:t>
            </w:r>
          </w:p>
        </w:tc>
        <w:tc>
          <w:tcPr>
            <w:tcW w:w="2797" w:type="dxa"/>
            <w:shd w:val="clear" w:color="auto" w:fill="C8E3F4" w:themeFill="text2" w:themeFillTint="33"/>
          </w:tcPr>
          <w:p w14:paraId="3437AF70" w14:textId="77777777" w:rsidR="007D367C" w:rsidRPr="005C6CAB" w:rsidRDefault="007D367C" w:rsidP="007D367C">
            <w:pPr>
              <w:keepNext/>
              <w:keepLines/>
              <w:spacing w:after="0" w:line="260" w:lineRule="atLeast"/>
              <w:rPr>
                <w:rFonts w:asciiTheme="minorHAnsi" w:eastAsia="Times New Roman" w:hAnsiTheme="minorHAnsi"/>
                <w:szCs w:val="18"/>
              </w:rPr>
            </w:pPr>
            <w:r w:rsidRPr="005C6CAB">
              <w:rPr>
                <w:rFonts w:asciiTheme="minorHAnsi" w:eastAsia="Times New Roman" w:hAnsiTheme="minorHAnsi"/>
                <w:szCs w:val="18"/>
              </w:rPr>
              <w:t>New Brunswick (Maritimes), Hydro</w:t>
            </w:r>
            <w:r w:rsidRPr="005C6CAB">
              <w:rPr>
                <w:rFonts w:asciiTheme="minorHAnsi" w:eastAsia="Times New Roman" w:hAnsiTheme="minorHAnsi" w:cs="Arial"/>
                <w:szCs w:val="18"/>
              </w:rPr>
              <w:t>­</w:t>
            </w:r>
            <w:r w:rsidRPr="005C6CAB">
              <w:rPr>
                <w:rFonts w:asciiTheme="minorHAnsi" w:eastAsia="Times New Roman" w:hAnsiTheme="minorHAnsi"/>
                <w:szCs w:val="18"/>
              </w:rPr>
              <w:t>Québec, and New York external balancing authority areas</w:t>
            </w:r>
          </w:p>
        </w:tc>
      </w:tr>
    </w:tbl>
    <w:p w14:paraId="07D68DFA" w14:textId="4609DAC8" w:rsidR="007D367C" w:rsidRPr="007D367C" w:rsidRDefault="007D367C" w:rsidP="007D367C">
      <w:pPr>
        <w:keepNext/>
        <w:keepLines/>
        <w:spacing w:before="120" w:after="80"/>
        <w:rPr>
          <w:rFonts w:ascii="Calibri" w:hAnsi="Calibri"/>
          <w:b/>
        </w:rPr>
      </w:pPr>
      <w:bookmarkStart w:id="168" w:name="_Ref485982000"/>
      <w:bookmarkStart w:id="169" w:name="_Toc486233197"/>
      <w:bookmarkStart w:id="170" w:name="_Toc17709739"/>
      <w:r w:rsidRPr="007D367C">
        <w:rPr>
          <w:rFonts w:ascii="Calibri" w:hAnsi="Calibri"/>
          <w:b/>
        </w:rPr>
        <w:t>Figure </w:t>
      </w:r>
      <w:r w:rsidR="008E7223">
        <w:rPr>
          <w:rFonts w:ascii="Calibri" w:hAnsi="Calibri"/>
          <w:b/>
        </w:rPr>
        <w:fldChar w:fldCharType="begin"/>
      </w:r>
      <w:r w:rsidR="008E7223">
        <w:rPr>
          <w:rFonts w:ascii="Calibri" w:hAnsi="Calibri"/>
          <w:b/>
        </w:rPr>
        <w:instrText xml:space="preserve"> STYLEREF 1 \s </w:instrText>
      </w:r>
      <w:r w:rsidR="008E7223">
        <w:rPr>
          <w:rFonts w:ascii="Calibri" w:hAnsi="Calibri"/>
          <w:b/>
        </w:rPr>
        <w:fldChar w:fldCharType="separate"/>
      </w:r>
      <w:r w:rsidR="008E7223">
        <w:rPr>
          <w:rFonts w:ascii="Calibri" w:hAnsi="Calibri"/>
          <w:b/>
          <w:noProof/>
        </w:rPr>
        <w:t>2</w:t>
      </w:r>
      <w:r w:rsidR="008E7223">
        <w:rPr>
          <w:rFonts w:ascii="Calibri" w:hAnsi="Calibri"/>
          <w:b/>
        </w:rPr>
        <w:fldChar w:fldCharType="end"/>
      </w:r>
      <w:r w:rsidR="008E7223">
        <w:rPr>
          <w:rFonts w:ascii="Calibri" w:hAnsi="Calibri"/>
          <w:b/>
        </w:rPr>
        <w:noBreakHyphen/>
      </w:r>
      <w:r w:rsidR="008E7223">
        <w:rPr>
          <w:rFonts w:ascii="Calibri" w:hAnsi="Calibri"/>
          <w:b/>
        </w:rPr>
        <w:fldChar w:fldCharType="begin"/>
      </w:r>
      <w:r w:rsidR="008E7223">
        <w:rPr>
          <w:rFonts w:ascii="Calibri" w:hAnsi="Calibri"/>
          <w:b/>
        </w:rPr>
        <w:instrText xml:space="preserve"> SEQ Figure \* ARABIC \s 1 </w:instrText>
      </w:r>
      <w:r w:rsidR="008E7223">
        <w:rPr>
          <w:rFonts w:ascii="Calibri" w:hAnsi="Calibri"/>
          <w:b/>
        </w:rPr>
        <w:fldChar w:fldCharType="separate"/>
      </w:r>
      <w:r w:rsidR="008E7223">
        <w:rPr>
          <w:rFonts w:ascii="Calibri" w:hAnsi="Calibri"/>
          <w:b/>
          <w:noProof/>
        </w:rPr>
        <w:t>3</w:t>
      </w:r>
      <w:r w:rsidR="008E7223">
        <w:rPr>
          <w:rFonts w:ascii="Calibri" w:hAnsi="Calibri"/>
          <w:b/>
        </w:rPr>
        <w:fldChar w:fldCharType="end"/>
      </w:r>
      <w:bookmarkEnd w:id="168"/>
      <w:r w:rsidRPr="007D367C">
        <w:rPr>
          <w:rFonts w:ascii="Calibri" w:hAnsi="Calibri"/>
          <w:b/>
        </w:rPr>
        <w:t>: RSP19 geographic scope of the New England electric power system.</w:t>
      </w:r>
      <w:bookmarkEnd w:id="169"/>
      <w:bookmarkEnd w:id="170"/>
    </w:p>
    <w:p w14:paraId="4D116B17" w14:textId="77777777" w:rsidR="007D367C" w:rsidRPr="007D367C" w:rsidRDefault="007D367C" w:rsidP="007D367C">
      <w:pPr>
        <w:keepNext/>
        <w:keepLines/>
        <w:spacing w:after="0" w:line="240" w:lineRule="auto"/>
        <w:rPr>
          <w:rFonts w:asciiTheme="minorHAnsi" w:hAnsiTheme="minorHAnsi"/>
          <w:sz w:val="16"/>
          <w:szCs w:val="16"/>
        </w:rPr>
      </w:pPr>
      <w:r w:rsidRPr="007D367C">
        <w:rPr>
          <w:rFonts w:asciiTheme="minorHAnsi" w:hAnsiTheme="minorHAnsi"/>
          <w:b/>
          <w:sz w:val="16"/>
          <w:szCs w:val="16"/>
        </w:rPr>
        <w:t>Notes:</w:t>
      </w:r>
      <w:r w:rsidRPr="007D367C">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provinces) plus the area served by the Northern Maine Independent System Administrator (USA).</w:t>
      </w:r>
    </w:p>
    <w:p w14:paraId="30461ED5" w14:textId="77777777" w:rsidR="007D367C" w:rsidRPr="007D367C" w:rsidRDefault="007D367C" w:rsidP="007D367C">
      <w:pPr>
        <w:spacing w:after="0" w:line="240" w:lineRule="auto"/>
      </w:pPr>
    </w:p>
    <w:p w14:paraId="0D19A42E" w14:textId="77777777" w:rsidR="007D367C" w:rsidRPr="00B31FEF" w:rsidRDefault="007D367C" w:rsidP="007D367C">
      <w:r w:rsidRPr="007D367C">
        <w:t xml:space="preserve">The system’s pricing points include individual generating units, load nodes, </w:t>
      </w:r>
      <w:r w:rsidRPr="007D367C">
        <w:rPr>
          <w:i/>
          <w:iCs/>
        </w:rPr>
        <w:t>load zones</w:t>
      </w:r>
      <w:r w:rsidRPr="007D367C">
        <w:t xml:space="preserve"> (i.e., aggregations of load pnodes within a specific area), and the Hub. The </w:t>
      </w:r>
      <w:r w:rsidRPr="007D367C">
        <w:rPr>
          <w:i/>
        </w:rPr>
        <w:t>Hub</w:t>
      </w:r>
      <w:r w:rsidRPr="007D367C">
        <w:t xml:space="preserve"> is a collection of 32 locations in central New England where little congestion is evident. It typically has a price intended to represent an uncongested </w:t>
      </w:r>
      <w:r w:rsidRPr="001659EB">
        <w:t>price for electric energy, which is used as a price index and point of exchange for bilateral transactions in the energy market. The Hub a</w:t>
      </w:r>
      <w:r w:rsidRPr="00B31FEF">
        <w:t>lso facilitates energy trading and enhances transparency and liquidity in the marketplace. In New England, generators are paid the LMP for electric energy at their respective nodes, and participants serving demand pay the price at their respective load zones.</w:t>
      </w:r>
      <w:r w:rsidRPr="00B31FEF">
        <w:rPr>
          <w:vertAlign w:val="superscript"/>
        </w:rPr>
        <w:footnoteReference w:id="72"/>
      </w:r>
      <w:r w:rsidRPr="00B31FEF">
        <w:t xml:space="preserve"> </w:t>
      </w:r>
    </w:p>
    <w:p w14:paraId="2BBC212C" w14:textId="5E19A240" w:rsidR="007D367C" w:rsidRDefault="007D367C" w:rsidP="007D367C">
      <w:r w:rsidRPr="001659EB">
        <w:t>New England is divided into eight electric energy load zones used for wholesale energy market settlement: Maine (ME), New Hampshire (NH), Vermont (VT), Rhode Island (RI), Connecticut (CT), Western/Central Massachusetts (WCMA), Northeast Massachusetts and Boston (NEMA), and Southeast Massachusetts (SEMA)</w:t>
      </w:r>
      <w:r w:rsidR="001659EB" w:rsidRPr="001659EB">
        <w:t xml:space="preserve"> (see </w:t>
      </w:r>
      <w:r w:rsidR="001659EB" w:rsidRPr="001659EB">
        <w:fldChar w:fldCharType="begin"/>
      </w:r>
      <w:r w:rsidR="001659EB" w:rsidRPr="001659EB">
        <w:instrText xml:space="preserve"> REF _Ref17709692 \h </w:instrText>
      </w:r>
      <w:r w:rsidR="001659EB">
        <w:instrText xml:space="preserve"> \* MERGEFORMAT </w:instrText>
      </w:r>
      <w:r w:rsidR="001659EB" w:rsidRPr="001659EB">
        <w:fldChar w:fldCharType="separate"/>
      </w:r>
      <w:r w:rsidR="005D0B73">
        <w:t xml:space="preserve">Figure </w:t>
      </w:r>
      <w:r w:rsidR="005D0B73">
        <w:rPr>
          <w:noProof/>
        </w:rPr>
        <w:t>2</w:t>
      </w:r>
      <w:r w:rsidR="005D0B73">
        <w:rPr>
          <w:noProof/>
        </w:rPr>
        <w:noBreakHyphen/>
        <w:t>4</w:t>
      </w:r>
      <w:r w:rsidR="001659EB" w:rsidRPr="001659EB">
        <w:fldChar w:fldCharType="end"/>
      </w:r>
      <w:r w:rsidR="001659EB" w:rsidRPr="001659EB">
        <w:t>)</w:t>
      </w:r>
      <w:r w:rsidRPr="001659EB">
        <w:t>.</w:t>
      </w:r>
      <w:r w:rsidRPr="007D367C">
        <w:t xml:space="preserve"> </w:t>
      </w:r>
      <w:r w:rsidRPr="007D367C">
        <w:rPr>
          <w:i/>
        </w:rPr>
        <w:t>Import-constrained</w:t>
      </w:r>
      <w:r w:rsidRPr="007D367C">
        <w:t xml:space="preserve"> load zones are areas within New England </w:t>
      </w:r>
      <w:r w:rsidRPr="007D367C">
        <w:lastRenderedPageBreak/>
        <w:t xml:space="preserve">that do not have enough local resources and transmission-import capability to serve local demand reliably or economically. </w:t>
      </w:r>
      <w:r w:rsidRPr="007D367C">
        <w:rPr>
          <w:i/>
        </w:rPr>
        <w:t>Export-constrained</w:t>
      </w:r>
      <w:r w:rsidRPr="007D367C">
        <w:t xml:space="preserve"> load zones are areas within New England where the available resources, after serving local load, exceed the areas’ transmission capability to export the excess electric energy. </w:t>
      </w:r>
      <w:r w:rsidRPr="007D367C">
        <w:rPr>
          <w:i/>
        </w:rPr>
        <w:t>Reliability regions</w:t>
      </w:r>
      <w:r w:rsidRPr="007D367C">
        <w:t>, which reflect the operating characteristics of, and the major constraints on, the New England transmission system, can have the same boundaries as load zones.</w:t>
      </w:r>
      <w:r w:rsidRPr="007D367C">
        <w:rPr>
          <w:vertAlign w:val="superscript"/>
        </w:rPr>
        <w:footnoteReference w:id="73"/>
      </w:r>
      <w:r w:rsidRPr="007D367C">
        <w:t xml:space="preserve"> </w:t>
      </w:r>
    </w:p>
    <w:p w14:paraId="01618EF0" w14:textId="6CB28418" w:rsidR="0058317E" w:rsidRDefault="0058317E" w:rsidP="0058317E">
      <w:pPr>
        <w:spacing w:after="0" w:line="240" w:lineRule="auto"/>
        <w:jc w:val="center"/>
      </w:pPr>
      <w:r w:rsidRPr="0058317E">
        <w:rPr>
          <w:noProof/>
        </w:rPr>
        <w:drawing>
          <wp:inline distT="0" distB="0" distL="0" distR="0" wp14:anchorId="3777F423" wp14:editId="699CDA8A">
            <wp:extent cx="3662680" cy="4056892"/>
            <wp:effectExtent l="19050" t="19050" r="13970"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258" r="-3381" b="-1007"/>
                    <a:stretch/>
                  </pic:blipFill>
                  <pic:spPr bwMode="auto">
                    <a:xfrm>
                      <a:off x="0" y="0"/>
                      <a:ext cx="3664663" cy="4059088"/>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2D4B91" w14:textId="45B6032F" w:rsidR="0058317E" w:rsidRDefault="0058317E" w:rsidP="0058317E">
      <w:pPr>
        <w:pStyle w:val="Caption"/>
        <w:spacing w:before="120" w:after="240"/>
        <w:ind w:left="1620"/>
        <w:jc w:val="left"/>
      </w:pPr>
      <w:bookmarkStart w:id="171" w:name="_Ref17709692"/>
      <w:bookmarkStart w:id="172" w:name="_Toc17709740"/>
      <w:r>
        <w:t xml:space="preserve">Figure </w:t>
      </w:r>
      <w:fldSimple w:instr=" STYLEREF 1 \s ">
        <w:r w:rsidR="008E7223">
          <w:rPr>
            <w:noProof/>
          </w:rPr>
          <w:t>2</w:t>
        </w:r>
      </w:fldSimple>
      <w:r w:rsidR="008E7223">
        <w:noBreakHyphen/>
      </w:r>
      <w:fldSimple w:instr=" SEQ Figure \* ARABIC \s 1 ">
        <w:r w:rsidR="008E7223">
          <w:rPr>
            <w:noProof/>
          </w:rPr>
          <w:t>4</w:t>
        </w:r>
      </w:fldSimple>
      <w:bookmarkEnd w:id="171"/>
      <w:r>
        <w:t>: Wholesale load zones in New England.</w:t>
      </w:r>
      <w:bookmarkEnd w:id="172"/>
    </w:p>
    <w:p w14:paraId="6B51721E" w14:textId="77777777" w:rsidR="007D367C" w:rsidRPr="007D367C" w:rsidRDefault="007D367C" w:rsidP="00BB5E24">
      <w:r w:rsidRPr="007D367C">
        <w:t xml:space="preserve">The region also currently has four </w:t>
      </w:r>
      <w:r w:rsidRPr="007D367C">
        <w:rPr>
          <w:i/>
        </w:rPr>
        <w:t>reserve zones</w:t>
      </w:r>
      <w:r w:rsidRPr="007D367C">
        <w:t>—Greater Connecticut; Greater Southwest Connecticut (SWCT); NEMA/Boston; and the rest of the system (Rest-of-System, ROS), which excludes the other, local reserve zones.</w:t>
      </w:r>
    </w:p>
    <w:p w14:paraId="2E93E0A3" w14:textId="39FEE3F5" w:rsidR="007D367C" w:rsidRPr="007D367C" w:rsidRDefault="007D367C" w:rsidP="007D367C">
      <w:r w:rsidRPr="007D367C">
        <w:t xml:space="preserve">Additionally, the region is divided into 19 </w:t>
      </w:r>
      <w:r w:rsidRPr="007D367C">
        <w:rPr>
          <w:i/>
        </w:rPr>
        <w:t>demand-resource dispatch zones</w:t>
      </w:r>
      <w:r w:rsidRPr="007D367C">
        <w:t xml:space="preserve">, which are groups of pricing nodes used to dispatch active demand resources. These zones allow for a more granular aggregation of active demand resources at times, locations, and quantities needed to address potential system problems. </w:t>
      </w:r>
      <w:r w:rsidRPr="007D367C">
        <w:fldChar w:fldCharType="begin"/>
      </w:r>
      <w:r w:rsidRPr="007D367C">
        <w:instrText xml:space="preserve"> REF _Ref234743321 \h  \* MERGEFORMAT </w:instrText>
      </w:r>
      <w:r w:rsidRPr="007D367C">
        <w:fldChar w:fldCharType="separate"/>
      </w:r>
      <w:r w:rsidR="005D0B73" w:rsidRPr="005D0B73">
        <w:t>Figure 2</w:t>
      </w:r>
      <w:r w:rsidR="005D0B73" w:rsidRPr="005D0B73">
        <w:noBreakHyphen/>
        <w:t>5</w:t>
      </w:r>
      <w:r w:rsidRPr="007D367C">
        <w:fldChar w:fldCharType="end"/>
      </w:r>
      <w:r w:rsidRPr="007D367C">
        <w:t xml:space="preserve"> shows the dispatch zones the ISO uses to dispatch active demand resources.</w:t>
      </w:r>
    </w:p>
    <w:p w14:paraId="7A1D8AE1" w14:textId="77777777" w:rsidR="007D367C" w:rsidRPr="007D367C" w:rsidRDefault="007D367C" w:rsidP="00C80F73">
      <w:pPr>
        <w:keepNext/>
        <w:keepLines/>
        <w:spacing w:after="0" w:line="240" w:lineRule="auto"/>
        <w:jc w:val="center"/>
      </w:pPr>
      <w:r w:rsidRPr="007D367C">
        <w:rPr>
          <w:noProof/>
        </w:rPr>
        <w:lastRenderedPageBreak/>
        <w:drawing>
          <wp:inline distT="0" distB="0" distL="0" distR="0" wp14:anchorId="081931DB" wp14:editId="56FC1953">
            <wp:extent cx="2995930" cy="4237633"/>
            <wp:effectExtent l="19050" t="19050" r="13970" b="10795"/>
            <wp:docPr id="3" name="Picture 1" descr="C:\Users\cwendel\AppData\Local\Temp\SNAGHTML1601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endel\AppData\Local\Temp\SNAGHTML160153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7748" cy="4282639"/>
                    </a:xfrm>
                    <a:prstGeom prst="rect">
                      <a:avLst/>
                    </a:prstGeom>
                    <a:noFill/>
                    <a:ln w="3175">
                      <a:solidFill>
                        <a:srgbClr val="000000"/>
                      </a:solidFill>
                    </a:ln>
                  </pic:spPr>
                </pic:pic>
              </a:graphicData>
            </a:graphic>
          </wp:inline>
        </w:drawing>
      </w:r>
    </w:p>
    <w:p w14:paraId="5A65C662" w14:textId="71AFC76F" w:rsidR="009B44F7" w:rsidRPr="007D367C" w:rsidRDefault="007D367C" w:rsidP="00561376">
      <w:pPr>
        <w:spacing w:before="120"/>
        <w:ind w:left="2160" w:right="2070"/>
        <w:rPr>
          <w:rFonts w:ascii="Calibri" w:hAnsi="Calibri"/>
          <w:b/>
        </w:rPr>
      </w:pPr>
      <w:bookmarkStart w:id="173" w:name="_Ref234743321"/>
      <w:bookmarkStart w:id="174" w:name="_Toc239157199"/>
      <w:bookmarkStart w:id="175" w:name="_Toc271552389"/>
      <w:bookmarkStart w:id="176" w:name="_Toc303086721"/>
      <w:bookmarkStart w:id="177" w:name="_Toc429063513"/>
      <w:bookmarkStart w:id="178" w:name="_Toc486233198"/>
      <w:bookmarkStart w:id="179" w:name="_Toc17709741"/>
      <w:r w:rsidRPr="007D367C">
        <w:rPr>
          <w:rFonts w:ascii="Calibri" w:hAnsi="Calibri"/>
          <w:b/>
        </w:rPr>
        <w:t xml:space="preserve">Figure </w:t>
      </w:r>
      <w:r w:rsidR="008E7223">
        <w:rPr>
          <w:rFonts w:ascii="Calibri" w:hAnsi="Calibri"/>
          <w:b/>
        </w:rPr>
        <w:fldChar w:fldCharType="begin"/>
      </w:r>
      <w:r w:rsidR="008E7223">
        <w:rPr>
          <w:rFonts w:ascii="Calibri" w:hAnsi="Calibri"/>
          <w:b/>
        </w:rPr>
        <w:instrText xml:space="preserve"> STYLEREF 1 \s </w:instrText>
      </w:r>
      <w:r w:rsidR="008E7223">
        <w:rPr>
          <w:rFonts w:ascii="Calibri" w:hAnsi="Calibri"/>
          <w:b/>
        </w:rPr>
        <w:fldChar w:fldCharType="separate"/>
      </w:r>
      <w:r w:rsidR="008E7223">
        <w:rPr>
          <w:rFonts w:ascii="Calibri" w:hAnsi="Calibri"/>
          <w:b/>
          <w:noProof/>
        </w:rPr>
        <w:t>2</w:t>
      </w:r>
      <w:r w:rsidR="008E7223">
        <w:rPr>
          <w:rFonts w:ascii="Calibri" w:hAnsi="Calibri"/>
          <w:b/>
        </w:rPr>
        <w:fldChar w:fldCharType="end"/>
      </w:r>
      <w:r w:rsidR="008E7223">
        <w:rPr>
          <w:rFonts w:ascii="Calibri" w:hAnsi="Calibri"/>
          <w:b/>
        </w:rPr>
        <w:noBreakHyphen/>
      </w:r>
      <w:r w:rsidR="008E7223">
        <w:rPr>
          <w:rFonts w:ascii="Calibri" w:hAnsi="Calibri"/>
          <w:b/>
        </w:rPr>
        <w:fldChar w:fldCharType="begin"/>
      </w:r>
      <w:r w:rsidR="008E7223">
        <w:rPr>
          <w:rFonts w:ascii="Calibri" w:hAnsi="Calibri"/>
          <w:b/>
        </w:rPr>
        <w:instrText xml:space="preserve"> SEQ Figure \* ARABIC \s 1 </w:instrText>
      </w:r>
      <w:r w:rsidR="008E7223">
        <w:rPr>
          <w:rFonts w:ascii="Calibri" w:hAnsi="Calibri"/>
          <w:b/>
        </w:rPr>
        <w:fldChar w:fldCharType="separate"/>
      </w:r>
      <w:r w:rsidR="008E7223">
        <w:rPr>
          <w:rFonts w:ascii="Calibri" w:hAnsi="Calibri"/>
          <w:b/>
          <w:noProof/>
        </w:rPr>
        <w:t>5</w:t>
      </w:r>
      <w:r w:rsidR="008E7223">
        <w:rPr>
          <w:rFonts w:ascii="Calibri" w:hAnsi="Calibri"/>
          <w:b/>
        </w:rPr>
        <w:fldChar w:fldCharType="end"/>
      </w:r>
      <w:bookmarkEnd w:id="173"/>
      <w:r w:rsidRPr="007D367C">
        <w:rPr>
          <w:rFonts w:ascii="Calibri" w:hAnsi="Calibri"/>
          <w:b/>
        </w:rPr>
        <w:t xml:space="preserve">: </w:t>
      </w:r>
      <w:r w:rsidR="00755D38">
        <w:rPr>
          <w:rFonts w:ascii="Calibri" w:hAnsi="Calibri"/>
          <w:b/>
        </w:rPr>
        <w:t>D</w:t>
      </w:r>
      <w:r w:rsidR="00272C9C">
        <w:rPr>
          <w:rFonts w:ascii="Calibri" w:hAnsi="Calibri"/>
          <w:b/>
        </w:rPr>
        <w:t>i</w:t>
      </w:r>
      <w:r w:rsidR="00755D38">
        <w:rPr>
          <w:rFonts w:ascii="Calibri" w:hAnsi="Calibri"/>
          <w:b/>
        </w:rPr>
        <w:t>spatch zones for a</w:t>
      </w:r>
      <w:r w:rsidRPr="007D367C">
        <w:rPr>
          <w:rFonts w:ascii="Calibri" w:hAnsi="Calibri"/>
          <w:b/>
        </w:rPr>
        <w:t>ctive</w:t>
      </w:r>
      <w:r w:rsidR="00755D38">
        <w:rPr>
          <w:rFonts w:ascii="Calibri" w:hAnsi="Calibri"/>
          <w:b/>
        </w:rPr>
        <w:t xml:space="preserve"> </w:t>
      </w:r>
      <w:r w:rsidRPr="007D367C">
        <w:rPr>
          <w:rFonts w:ascii="Calibri" w:hAnsi="Calibri"/>
          <w:b/>
        </w:rPr>
        <w:t>demand</w:t>
      </w:r>
      <w:r w:rsidR="00755D38">
        <w:rPr>
          <w:rFonts w:ascii="Calibri" w:hAnsi="Calibri"/>
          <w:b/>
        </w:rPr>
        <w:t xml:space="preserve"> capacity </w:t>
      </w:r>
      <w:r w:rsidRPr="007D367C">
        <w:rPr>
          <w:rFonts w:ascii="Calibri" w:hAnsi="Calibri"/>
          <w:b/>
        </w:rPr>
        <w:t>resources in the ISO New England system.</w:t>
      </w:r>
      <w:bookmarkEnd w:id="174"/>
      <w:bookmarkEnd w:id="175"/>
      <w:bookmarkEnd w:id="176"/>
      <w:bookmarkEnd w:id="177"/>
      <w:bookmarkEnd w:id="178"/>
      <w:bookmarkEnd w:id="179"/>
    </w:p>
    <w:p w14:paraId="0D788621" w14:textId="569D7D27" w:rsidR="007D367C" w:rsidRPr="0021743F" w:rsidRDefault="007D367C" w:rsidP="00BB5E24">
      <w:r w:rsidRPr="007D367C">
        <w:t xml:space="preserve">A </w:t>
      </w:r>
      <w:r w:rsidRPr="007D367C">
        <w:rPr>
          <w:i/>
        </w:rPr>
        <w:t>capacity zone</w:t>
      </w:r>
      <w:r w:rsidRPr="007D367C">
        <w:t xml:space="preserve"> is a specific geographic subregion of the New England Balancing Authority Area designated before each Forward Capacity Auction (FCA) that may represent load zones that are export constrained, import constrained, or contiguous—neither export nor import constrained. The FCAs and subsequent reconfiguration auctions use capacity zones because the amount of capacity purchased in each auction is based on these boundaries. The ISO establishes capacity zones annually and evaluates all </w:t>
      </w:r>
      <w:r w:rsidRPr="0021743F">
        <w:t xml:space="preserve">transmission interface limits that could be relevant to capacity zone modeling. For </w:t>
      </w:r>
      <w:r w:rsidR="00272C9C" w:rsidRPr="0021743F">
        <w:t>Forward Capacity Auctions 12 and 13 (</w:t>
      </w:r>
      <w:r w:rsidRPr="0021743F">
        <w:t xml:space="preserve">FCA 12 and </w:t>
      </w:r>
      <w:r w:rsidR="009B44F7" w:rsidRPr="0021743F">
        <w:t>FCA </w:t>
      </w:r>
      <w:r w:rsidRPr="0021743F">
        <w:t>13</w:t>
      </w:r>
      <w:r w:rsidR="00272C9C" w:rsidRPr="0021743F">
        <w:t>)</w:t>
      </w:r>
      <w:r w:rsidRPr="0021743F">
        <w:t>, three capacity zones were modeled</w:t>
      </w:r>
      <w:r w:rsidR="00272C9C" w:rsidRPr="0021743F">
        <w:t xml:space="preserve"> (see Section </w:t>
      </w:r>
      <w:r w:rsidR="00F62465" w:rsidRPr="00BF3CF1">
        <w:fldChar w:fldCharType="begin"/>
      </w:r>
      <w:r w:rsidR="00F62465" w:rsidRPr="0021743F">
        <w:instrText xml:space="preserve"> REF _Ref418883537 \r \h </w:instrText>
      </w:r>
      <w:r w:rsidR="00A02A52" w:rsidRPr="00B9065F">
        <w:instrText xml:space="preserve"> \* MERGEFORMAT </w:instrText>
      </w:r>
      <w:r w:rsidR="00F62465" w:rsidRPr="00BF3CF1">
        <w:fldChar w:fldCharType="separate"/>
      </w:r>
      <w:r w:rsidR="005D0B73" w:rsidRPr="0021743F">
        <w:t>4.2</w:t>
      </w:r>
      <w:r w:rsidR="00F62465" w:rsidRPr="00BF3CF1">
        <w:fldChar w:fldCharType="end"/>
      </w:r>
      <w:r w:rsidR="00272C9C" w:rsidRPr="0021743F">
        <w:t>)</w:t>
      </w:r>
      <w:r w:rsidRPr="0021743F">
        <w:t>:</w:t>
      </w:r>
    </w:p>
    <w:p w14:paraId="63BE625F" w14:textId="53611A87" w:rsidR="007D367C" w:rsidRPr="0021743F" w:rsidRDefault="007D367C" w:rsidP="00955D2D">
      <w:pPr>
        <w:numPr>
          <w:ilvl w:val="0"/>
          <w:numId w:val="46"/>
        </w:numPr>
        <w:spacing w:after="120"/>
        <w:rPr>
          <w:rFonts w:eastAsia="Times New Roman"/>
          <w:szCs w:val="24"/>
        </w:rPr>
      </w:pPr>
      <w:r w:rsidRPr="0021743F">
        <w:rPr>
          <w:rFonts w:eastAsia="Times New Roman"/>
          <w:szCs w:val="24"/>
        </w:rPr>
        <w:t xml:space="preserve">Southeastern New England (SENE) as an import-constrained zone, which includes the area within the Southeast New England interface, comprising the RSP “bubbles” (as shown in </w:t>
      </w:r>
      <w:r w:rsidRPr="00BF3CF1">
        <w:rPr>
          <w:rFonts w:eastAsia="Times New Roman"/>
          <w:szCs w:val="24"/>
        </w:rPr>
        <w:fldChar w:fldCharType="begin"/>
      </w:r>
      <w:r w:rsidRPr="0021743F">
        <w:rPr>
          <w:rFonts w:eastAsia="Times New Roman"/>
          <w:szCs w:val="24"/>
        </w:rPr>
        <w:instrText xml:space="preserve"> REF _Ref485982000 \h  \* MERGEFORMAT </w:instrText>
      </w:r>
      <w:r w:rsidRPr="00BF3CF1">
        <w:rPr>
          <w:rFonts w:eastAsia="Times New Roman"/>
          <w:szCs w:val="24"/>
        </w:rPr>
      </w:r>
      <w:r w:rsidRPr="00BF3CF1">
        <w:rPr>
          <w:rFonts w:eastAsia="Times New Roman"/>
          <w:szCs w:val="24"/>
        </w:rPr>
        <w:fldChar w:fldCharType="separate"/>
      </w:r>
      <w:r w:rsidR="005D0B73" w:rsidRPr="0021743F">
        <w:rPr>
          <w:rFonts w:eastAsia="Times New Roman"/>
          <w:szCs w:val="24"/>
        </w:rPr>
        <w:t>Figure 2</w:t>
      </w:r>
      <w:r w:rsidR="005D0B73" w:rsidRPr="0021743F">
        <w:rPr>
          <w:rFonts w:eastAsia="Times New Roman"/>
          <w:szCs w:val="24"/>
        </w:rPr>
        <w:noBreakHyphen/>
        <w:t>3</w:t>
      </w:r>
      <w:r w:rsidRPr="00BF3CF1">
        <w:rPr>
          <w:rFonts w:eastAsia="Times New Roman"/>
          <w:szCs w:val="24"/>
        </w:rPr>
        <w:fldChar w:fldCharType="end"/>
      </w:r>
      <w:r w:rsidRPr="0021743F">
        <w:rPr>
          <w:rFonts w:eastAsia="Times New Roman"/>
          <w:szCs w:val="24"/>
        </w:rPr>
        <w:t>) for SEMA, RI, and BOSTON</w:t>
      </w:r>
    </w:p>
    <w:p w14:paraId="19D0D42B" w14:textId="77777777" w:rsidR="007D367C" w:rsidRPr="0021743F" w:rsidRDefault="007D367C" w:rsidP="00955D2D">
      <w:pPr>
        <w:numPr>
          <w:ilvl w:val="0"/>
          <w:numId w:val="46"/>
        </w:numPr>
        <w:spacing w:after="120"/>
        <w:rPr>
          <w:rFonts w:eastAsia="Times New Roman"/>
          <w:szCs w:val="24"/>
        </w:rPr>
      </w:pPr>
      <w:r w:rsidRPr="0021743F">
        <w:rPr>
          <w:rFonts w:eastAsia="Times New Roman"/>
          <w:szCs w:val="24"/>
        </w:rPr>
        <w:t>Northern New England (NNE) as an export-constrained zone, which includes the area north of the North–South interface, comprising the RSP bubbles for BHE, ME, SME, NH, and VT</w:t>
      </w:r>
    </w:p>
    <w:p w14:paraId="7B68408C" w14:textId="77777777" w:rsidR="007D367C" w:rsidRPr="0021743F" w:rsidRDefault="007D367C" w:rsidP="00955D2D">
      <w:pPr>
        <w:numPr>
          <w:ilvl w:val="0"/>
          <w:numId w:val="46"/>
        </w:numPr>
        <w:rPr>
          <w:rFonts w:eastAsia="Times New Roman"/>
          <w:szCs w:val="24"/>
        </w:rPr>
      </w:pPr>
      <w:r w:rsidRPr="0021743F">
        <w:rPr>
          <w:rFonts w:eastAsia="Times New Roman"/>
          <w:szCs w:val="24"/>
        </w:rPr>
        <w:t xml:space="preserve">Rest-of-Pool (ROP) </w:t>
      </w:r>
    </w:p>
    <w:p w14:paraId="69812D46" w14:textId="61B3A1F1" w:rsidR="009B44F7" w:rsidRPr="0021743F" w:rsidRDefault="009B44F7" w:rsidP="009B44F7">
      <w:pPr>
        <w:rPr>
          <w:rFonts w:eastAsia="Times New Roman"/>
          <w:szCs w:val="24"/>
        </w:rPr>
      </w:pPr>
      <w:r w:rsidRPr="0021743F">
        <w:t xml:space="preserve">As shown in </w:t>
      </w:r>
      <w:r w:rsidRPr="00BF3CF1">
        <w:fldChar w:fldCharType="begin"/>
      </w:r>
      <w:r w:rsidRPr="0021743F">
        <w:instrText xml:space="preserve"> REF _Ref10810669 \h </w:instrText>
      </w:r>
      <w:r w:rsidR="00FC7F00" w:rsidRPr="0021743F">
        <w:instrText xml:space="preserve"> \* MERGEFORMAT </w:instrText>
      </w:r>
      <w:r w:rsidRPr="00BF3CF1">
        <w:fldChar w:fldCharType="separate"/>
      </w:r>
      <w:r w:rsidR="005D0B73" w:rsidRPr="0021743F">
        <w:t xml:space="preserve">Figure </w:t>
      </w:r>
      <w:r w:rsidR="005D0B73" w:rsidRPr="0021743F">
        <w:rPr>
          <w:noProof/>
        </w:rPr>
        <w:t>2</w:t>
      </w:r>
      <w:r w:rsidR="005D0B73" w:rsidRPr="0021743F">
        <w:rPr>
          <w:noProof/>
        </w:rPr>
        <w:noBreakHyphen/>
        <w:t>6</w:t>
      </w:r>
      <w:r w:rsidRPr="00BF3CF1">
        <w:fldChar w:fldCharType="end"/>
      </w:r>
      <w:r w:rsidRPr="0021743F">
        <w:t xml:space="preserve">, four capacity zones will be modeled for FCA 14: Southeastern New England, Northern New England with the Maine capacity zone nested inside the NNE zone, and Rest-of-Pool. The nested </w:t>
      </w:r>
      <w:r w:rsidRPr="0021743F">
        <w:rPr>
          <w:rFonts w:eastAsia="Times New Roman"/>
          <w:szCs w:val="24"/>
        </w:rPr>
        <w:t>Maine capacity zone includes the area north of the ME-NH interface, comprising the RSP bubbles for BHE, ME, and SME.</w:t>
      </w:r>
    </w:p>
    <w:p w14:paraId="1BB2BE5C" w14:textId="77777777" w:rsidR="009B44F7" w:rsidRPr="0021743F" w:rsidRDefault="009B44F7" w:rsidP="00A73361">
      <w:pPr>
        <w:spacing w:after="0" w:line="240" w:lineRule="auto"/>
        <w:jc w:val="center"/>
      </w:pPr>
      <w:r w:rsidRPr="0021743F">
        <w:rPr>
          <w:noProof/>
        </w:rPr>
        <w:lastRenderedPageBreak/>
        <w:drawing>
          <wp:inline distT="0" distB="0" distL="0" distR="0" wp14:anchorId="41CE037C" wp14:editId="1768722F">
            <wp:extent cx="2997200" cy="2036431"/>
            <wp:effectExtent l="19050" t="19050" r="1270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4751" cy="2041562"/>
                    </a:xfrm>
                    <a:prstGeom prst="rect">
                      <a:avLst/>
                    </a:prstGeom>
                    <a:ln w="3175">
                      <a:solidFill>
                        <a:srgbClr val="000000"/>
                      </a:solidFill>
                    </a:ln>
                  </pic:spPr>
                </pic:pic>
              </a:graphicData>
            </a:graphic>
          </wp:inline>
        </w:drawing>
      </w:r>
    </w:p>
    <w:p w14:paraId="333D806D" w14:textId="0971E5FC" w:rsidR="009B44F7" w:rsidRPr="0021743F" w:rsidRDefault="009B44F7" w:rsidP="00272C9C">
      <w:pPr>
        <w:pStyle w:val="Caption"/>
        <w:spacing w:before="120" w:after="240"/>
        <w:ind w:left="2160"/>
        <w:jc w:val="left"/>
      </w:pPr>
      <w:bookmarkStart w:id="180" w:name="_Ref10810669"/>
      <w:bookmarkStart w:id="181" w:name="_Toc17709742"/>
      <w:r w:rsidRPr="0021743F">
        <w:t xml:space="preserve">Figure </w:t>
      </w:r>
      <w:fldSimple w:instr=" STYLEREF 1 \s ">
        <w:r w:rsidR="008E7223">
          <w:rPr>
            <w:noProof/>
          </w:rPr>
          <w:t>2</w:t>
        </w:r>
      </w:fldSimple>
      <w:r w:rsidR="008E7223">
        <w:noBreakHyphen/>
      </w:r>
      <w:fldSimple w:instr=" SEQ Figure \* ARABIC \s 1 ">
        <w:r w:rsidR="008E7223">
          <w:rPr>
            <w:noProof/>
          </w:rPr>
          <w:t>6</w:t>
        </w:r>
      </w:fldSimple>
      <w:bookmarkEnd w:id="180"/>
      <w:r w:rsidRPr="0021743F">
        <w:t>: Capacity zones to be modeled for FCA 14.</w:t>
      </w:r>
      <w:bookmarkEnd w:id="181"/>
    </w:p>
    <w:p w14:paraId="5974A77E" w14:textId="77777777" w:rsidR="007D367C" w:rsidRPr="007D367C" w:rsidRDefault="007D367C" w:rsidP="007D367C">
      <w:r w:rsidRPr="0021743F">
        <w:t>Other capacity zones the ISO considers to represent import- and export-constrained areas or contiguous areas are as follows:</w:t>
      </w:r>
      <w:r w:rsidRPr="007D367C">
        <w:t xml:space="preserve"> </w:t>
      </w:r>
    </w:p>
    <w:p w14:paraId="6B4A7B11" w14:textId="77777777" w:rsidR="007D367C" w:rsidRPr="007D367C" w:rsidRDefault="007D367C" w:rsidP="00955D2D">
      <w:pPr>
        <w:numPr>
          <w:ilvl w:val="0"/>
          <w:numId w:val="47"/>
        </w:numPr>
        <w:spacing w:after="120"/>
        <w:rPr>
          <w:rFonts w:eastAsia="Times New Roman"/>
          <w:szCs w:val="24"/>
        </w:rPr>
      </w:pPr>
      <w:r w:rsidRPr="007D367C">
        <w:rPr>
          <w:rFonts w:eastAsia="Times New Roman"/>
          <w:szCs w:val="24"/>
        </w:rPr>
        <w:t>CT—the area within the Connecticut import interface, including the RSP bubbles for CT, SWCT, and NOR plus the Scitico substation served from western Massachusetts</w:t>
      </w:r>
    </w:p>
    <w:p w14:paraId="23602367" w14:textId="77777777" w:rsidR="007D367C" w:rsidRPr="007D367C" w:rsidRDefault="007D367C" w:rsidP="00955D2D">
      <w:pPr>
        <w:numPr>
          <w:ilvl w:val="0"/>
          <w:numId w:val="47"/>
        </w:numPr>
        <w:spacing w:after="120"/>
        <w:rPr>
          <w:rFonts w:eastAsia="Times New Roman"/>
          <w:szCs w:val="24"/>
        </w:rPr>
      </w:pPr>
      <w:r w:rsidRPr="007D367C">
        <w:rPr>
          <w:rFonts w:eastAsia="Times New Roman"/>
          <w:szCs w:val="24"/>
        </w:rPr>
        <w:t>NEMA/Boston—the area within the Boston import interface, comprising the RSP bubble for BOSTON</w:t>
      </w:r>
    </w:p>
    <w:p w14:paraId="3A3AF35F" w14:textId="77777777" w:rsidR="00687694" w:rsidRPr="002F0157" w:rsidRDefault="007D367C" w:rsidP="00955D2D">
      <w:pPr>
        <w:numPr>
          <w:ilvl w:val="0"/>
          <w:numId w:val="47"/>
        </w:numPr>
        <w:spacing w:after="120"/>
        <w:rPr>
          <w:rFonts w:eastAsia="Times New Roman"/>
          <w:szCs w:val="24"/>
        </w:rPr>
        <w:sectPr w:rsidR="00687694" w:rsidRPr="002F0157" w:rsidSect="00561376">
          <w:pgSz w:w="12240" w:h="15840"/>
          <w:pgMar w:top="1440" w:right="1440" w:bottom="1440" w:left="1800" w:header="720" w:footer="720" w:gutter="0"/>
          <w:cols w:space="720"/>
          <w:docGrid w:linePitch="360"/>
        </w:sectPr>
      </w:pPr>
      <w:r w:rsidRPr="002F0157">
        <w:rPr>
          <w:rFonts w:eastAsia="Times New Roman"/>
          <w:szCs w:val="24"/>
        </w:rPr>
        <w:t>SEMA/RI—the area within the SEMA/RI import interface, comprising the RSP bubbles for SEMA and RI</w:t>
      </w:r>
    </w:p>
    <w:p w14:paraId="02974BE6" w14:textId="77777777" w:rsidR="001B1F4D" w:rsidRPr="001B1F4D" w:rsidRDefault="001B1F4D" w:rsidP="00C80F73">
      <w:pPr>
        <w:pStyle w:val="Heading1"/>
      </w:pPr>
      <w:bookmarkStart w:id="182" w:name="_Toc291754867"/>
      <w:bookmarkStart w:id="183" w:name="_Ref297977027"/>
      <w:bookmarkStart w:id="184" w:name="_Toc303086359"/>
      <w:bookmarkStart w:id="185" w:name="_Toc334601013"/>
      <w:bookmarkStart w:id="186" w:name="_Toc365440982"/>
      <w:bookmarkStart w:id="187" w:name="_Ref387510633"/>
      <w:bookmarkStart w:id="188" w:name="_Toc396807606"/>
      <w:r w:rsidRPr="001B1F4D">
        <w:lastRenderedPageBreak/>
        <w:br/>
      </w:r>
      <w:bookmarkStart w:id="189" w:name="_Ref418357222"/>
      <w:bookmarkStart w:id="190" w:name="_Ref418357246"/>
      <w:bookmarkStart w:id="191" w:name="_Ref418518333"/>
      <w:bookmarkStart w:id="192" w:name="_Toc484957889"/>
      <w:bookmarkStart w:id="193" w:name="_Toc490323014"/>
      <w:bookmarkStart w:id="194" w:name="_Toc12795156"/>
      <w:r w:rsidRPr="001B1F4D">
        <w:t>Forecasts of New England’s Peak Demand, Annual Use of Electric Energy, Energy Efficiency</w:t>
      </w:r>
      <w:bookmarkEnd w:id="182"/>
      <w:bookmarkEnd w:id="183"/>
      <w:bookmarkEnd w:id="184"/>
      <w:bookmarkEnd w:id="185"/>
      <w:bookmarkEnd w:id="186"/>
      <w:r w:rsidRPr="001B1F4D">
        <w:t>, and Distributed Generation</w:t>
      </w:r>
      <w:bookmarkEnd w:id="187"/>
      <w:bookmarkEnd w:id="188"/>
      <w:bookmarkEnd w:id="189"/>
      <w:bookmarkEnd w:id="190"/>
      <w:bookmarkEnd w:id="191"/>
      <w:bookmarkEnd w:id="192"/>
      <w:bookmarkEnd w:id="193"/>
      <w:bookmarkEnd w:id="194"/>
      <w:r w:rsidRPr="001B1F4D">
        <w:t xml:space="preserve"> </w:t>
      </w:r>
    </w:p>
    <w:p w14:paraId="01475581" w14:textId="40D35573" w:rsidR="001B1F4D" w:rsidRPr="009050B8" w:rsidRDefault="001B1F4D" w:rsidP="001B1F4D">
      <w:pPr>
        <w:spacing w:after="200" w:line="276" w:lineRule="auto"/>
      </w:pPr>
      <w:r w:rsidRPr="001B1F4D">
        <w:t xml:space="preserve">This section discusses the individual forecasts of gross demand, energy efficiency, and photovoltaics for 2019 through 2028. Energy efficiency is considered a resource, and </w:t>
      </w:r>
      <w:r w:rsidR="00277BFE">
        <w:t xml:space="preserve">all types of </w:t>
      </w:r>
      <w:r w:rsidRPr="001B1F4D">
        <w:t xml:space="preserve">behind-the-meter (BTM) distributed generation </w:t>
      </w:r>
      <w:r w:rsidR="009A4BBB">
        <w:t>are</w:t>
      </w:r>
      <w:r w:rsidRPr="001B1F4D">
        <w:t xml:space="preserve"> considered a reduction in demand, but for study purposes, their combined growth reduces the forecasts of peak demand and the annual use of energy. These resultant net demand forecasts provide key inputs for determining the region’s resource</w:t>
      </w:r>
      <w:r w:rsidR="003E0D65">
        <w:t>-</w:t>
      </w:r>
      <w:r w:rsidRPr="001B1F4D">
        <w:t xml:space="preserve">adequacy requirements for future </w:t>
      </w:r>
      <w:r w:rsidRPr="008F58C4">
        <w:t xml:space="preserve">years (see Section </w:t>
      </w:r>
      <w:r w:rsidR="008F58C4" w:rsidRPr="008F58C4">
        <w:fldChar w:fldCharType="begin"/>
      </w:r>
      <w:r w:rsidR="008F58C4" w:rsidRPr="008F58C4">
        <w:instrText xml:space="preserve"> REF _Ref11398073 \r \h </w:instrText>
      </w:r>
      <w:r w:rsidR="008F58C4">
        <w:instrText xml:space="preserve"> \* MERGEFORMAT </w:instrText>
      </w:r>
      <w:r w:rsidR="008F58C4" w:rsidRPr="008F58C4">
        <w:fldChar w:fldCharType="separate"/>
      </w:r>
      <w:r w:rsidR="005D0B73">
        <w:t>4.1.3.3</w:t>
      </w:r>
      <w:r w:rsidR="008F58C4" w:rsidRPr="008F58C4">
        <w:fldChar w:fldCharType="end"/>
      </w:r>
      <w:r w:rsidRPr="008F58C4">
        <w:t>), evaluating the reliability and economic performance of the electric</w:t>
      </w:r>
      <w:r w:rsidRPr="001B1F4D">
        <w:t xml:space="preserve"> power system under various conditions (Section </w:t>
      </w:r>
      <w:r w:rsidR="00E64775">
        <w:fldChar w:fldCharType="begin"/>
      </w:r>
      <w:r w:rsidR="00E64775">
        <w:instrText xml:space="preserve"> REF _Ref419703700 \r \h </w:instrText>
      </w:r>
      <w:r w:rsidR="00E64775">
        <w:fldChar w:fldCharType="separate"/>
      </w:r>
      <w:r w:rsidR="005D0B73">
        <w:t>4.3</w:t>
      </w:r>
      <w:r w:rsidR="00E64775">
        <w:fldChar w:fldCharType="end"/>
      </w:r>
      <w:r w:rsidR="00E64775">
        <w:t xml:space="preserve"> and </w:t>
      </w:r>
      <w:r w:rsidR="00E64775">
        <w:fldChar w:fldCharType="begin"/>
      </w:r>
      <w:r w:rsidR="00E64775">
        <w:instrText xml:space="preserve"> REF _Ref12373167 \r \h </w:instrText>
      </w:r>
      <w:r w:rsidR="00E64775">
        <w:fldChar w:fldCharType="separate"/>
      </w:r>
      <w:r w:rsidR="005D0B73">
        <w:t>9.3</w:t>
      </w:r>
      <w:r w:rsidR="00E64775">
        <w:fldChar w:fldCharType="end"/>
      </w:r>
      <w:r w:rsidR="00E64775">
        <w:t>, respectively</w:t>
      </w:r>
      <w:r w:rsidRPr="001B1F4D">
        <w:t>), and planning needed transmission improvements (</w:t>
      </w:r>
      <w:r w:rsidR="008F58C4">
        <w:fldChar w:fldCharType="begin"/>
      </w:r>
      <w:r w:rsidR="008F58C4">
        <w:instrText xml:space="preserve"> REF _Ref301345731 \r \h </w:instrText>
      </w:r>
      <w:r w:rsidR="008F58C4">
        <w:fldChar w:fldCharType="separate"/>
      </w:r>
      <w:r w:rsidR="005D0B73">
        <w:t>Section 5</w:t>
      </w:r>
      <w:r w:rsidR="008F58C4">
        <w:fldChar w:fldCharType="end"/>
      </w:r>
      <w:r w:rsidRPr="001B1F4D">
        <w:t xml:space="preserve">). This section also discusses the application of the net peak demand and the net annual energy </w:t>
      </w:r>
      <w:r w:rsidRPr="009050B8">
        <w:t>forecasts to planning studies.</w:t>
      </w:r>
    </w:p>
    <w:p w14:paraId="28A7EA04" w14:textId="079D2119" w:rsidR="001B1F4D" w:rsidRPr="001B1F4D" w:rsidRDefault="001B1F4D" w:rsidP="001B1F4D">
      <w:pPr>
        <w:spacing w:after="200" w:line="276" w:lineRule="auto"/>
      </w:pPr>
      <w:r w:rsidRPr="009050B8">
        <w:t>A top priority of many New England states is combatting climate change, and the polic</w:t>
      </w:r>
      <w:r w:rsidRPr="00C71F4F">
        <w:t xml:space="preserve">ies in place </w:t>
      </w:r>
      <w:r w:rsidR="009A4BBB">
        <w:t xml:space="preserve">have a </w:t>
      </w:r>
      <w:r w:rsidRPr="00C71F4F">
        <w:t xml:space="preserve">significant impact </w:t>
      </w:r>
      <w:r w:rsidR="009A4BBB">
        <w:t xml:space="preserve">on </w:t>
      </w:r>
      <w:r w:rsidRPr="00C71F4F">
        <w:t>regional electric energy demand and consumption</w:t>
      </w:r>
      <w:r w:rsidR="009050B8" w:rsidRPr="00C71F4F">
        <w:t xml:space="preserve">. These policies </w:t>
      </w:r>
      <w:r w:rsidR="00663C91" w:rsidRPr="00C71F4F">
        <w:t>serve as key inputs to the growth of energy-efficiency and photovoltaic resources for the 10-year RSP planning horizon</w:t>
      </w:r>
      <w:r w:rsidR="009050B8" w:rsidRPr="00CF2B8B">
        <w:t>, and o</w:t>
      </w:r>
      <w:r w:rsidRPr="00C71F4F">
        <w:t xml:space="preserve">ngoing investments in state-sponsored </w:t>
      </w:r>
      <w:r w:rsidR="009050B8" w:rsidRPr="00CF2B8B">
        <w:t>EE</w:t>
      </w:r>
      <w:r w:rsidRPr="00C71F4F">
        <w:t xml:space="preserve"> programs and the adoption of BTM PV continue to </w:t>
      </w:r>
      <w:r w:rsidR="009050B8" w:rsidRPr="00CF2B8B">
        <w:t>show</w:t>
      </w:r>
      <w:r w:rsidRPr="00C71F4F">
        <w:t xml:space="preserve"> demand-reducing effects.</w:t>
      </w:r>
      <w:r w:rsidR="00716915" w:rsidRPr="00C71F4F">
        <w:rPr>
          <w:rStyle w:val="FootnoteReference"/>
        </w:rPr>
        <w:footnoteReference w:id="74"/>
      </w:r>
      <w:r w:rsidRPr="00C71F4F">
        <w:t xml:space="preserve"> </w:t>
      </w:r>
      <w:r w:rsidR="009050B8" w:rsidRPr="00C71F4F">
        <w:t>S</w:t>
      </w:r>
      <w:r w:rsidRPr="00C71F4F">
        <w:t xml:space="preserve">trategic electrification initiatives </w:t>
      </w:r>
      <w:r w:rsidR="00663C91" w:rsidRPr="00C71F4F">
        <w:t xml:space="preserve">also </w:t>
      </w:r>
      <w:r w:rsidRPr="00C71F4F">
        <w:t>are taking shape across the</w:t>
      </w:r>
      <w:r w:rsidRPr="001B1F4D">
        <w:t xml:space="preserve"> region, targeting economywide mandates and goals for reducing greenhouse gases. These initiatives are expected to encourage consumers to adopt emerging technologies (e.g., electric vehicles and electric heat pumps) over the next several decades, resulting in the electrification of the heating and transportation sectors. By midcentury, these efforts likely will have introduced considerable new demand for electricity across the region. Although electrification is still in its infancy, the timing and scale of its growth in the coming years will become important considerations in the region’s long-term electricity outlook. Accordingly, working with stakeholders, the ISO is closely monitoring related policy developments and technological advancements to better understand their relevance in the development of long-term demand and energy forecasts for the region.</w:t>
      </w:r>
      <w:r w:rsidRPr="001B1F4D">
        <w:rPr>
          <w:vertAlign w:val="superscript"/>
        </w:rPr>
        <w:footnoteReference w:id="75"/>
      </w:r>
    </w:p>
    <w:p w14:paraId="4CC9761C" w14:textId="097E92F0" w:rsidR="001B1F4D" w:rsidRPr="00B31FEF" w:rsidRDefault="001B1F4D" w:rsidP="001B1F4D">
      <w:pPr>
        <w:spacing w:after="200" w:line="276" w:lineRule="auto"/>
        <w:rPr>
          <w:color w:val="FF0000"/>
        </w:rPr>
      </w:pPr>
      <w:r w:rsidRPr="001B1F4D">
        <w:t xml:space="preserve">The methodology for forecasting the gross demand, energy efficiency, and photovoltaic installations in RSP19 are generally similar to RSP17’s methodology. However, the ISO incorporated changes to its 2019 gross </w:t>
      </w:r>
      <w:r w:rsidRPr="00F049E2">
        <w:t>energy and demand forecast modeling, as described below, to improve overall forecast performance.</w:t>
      </w:r>
      <w:r w:rsidR="008622F3" w:rsidRPr="00F049E2">
        <w:rPr>
          <w:rStyle w:val="FootnoteReference"/>
        </w:rPr>
        <w:footnoteReference w:id="76"/>
      </w:r>
    </w:p>
    <w:p w14:paraId="67C4F4FC" w14:textId="77777777" w:rsidR="001B1F4D" w:rsidRPr="001B1F4D" w:rsidRDefault="001B1F4D" w:rsidP="00B31FEF">
      <w:pPr>
        <w:pStyle w:val="Heading2"/>
      </w:pPr>
      <w:bookmarkStart w:id="195" w:name="_Toc291754868"/>
      <w:bookmarkStart w:id="196" w:name="_Ref293769466"/>
      <w:bookmarkStart w:id="197" w:name="_Ref298241723"/>
      <w:bookmarkStart w:id="198" w:name="_Toc303086360"/>
      <w:bookmarkStart w:id="199" w:name="_Ref325529643"/>
      <w:bookmarkStart w:id="200" w:name="_Toc334601014"/>
      <w:bookmarkStart w:id="201" w:name="_Toc365440983"/>
      <w:bookmarkStart w:id="202" w:name="_Toc396807607"/>
      <w:bookmarkStart w:id="203" w:name="_Toc484957890"/>
      <w:bookmarkStart w:id="204" w:name="_Toc490323015"/>
      <w:bookmarkStart w:id="205" w:name="_Toc12795157"/>
      <w:r w:rsidRPr="001B1F4D">
        <w:lastRenderedPageBreak/>
        <w:t>ISO New England Gross Demand Forecasts</w:t>
      </w:r>
      <w:bookmarkEnd w:id="195"/>
      <w:bookmarkEnd w:id="196"/>
      <w:bookmarkEnd w:id="197"/>
      <w:bookmarkEnd w:id="198"/>
      <w:bookmarkEnd w:id="199"/>
      <w:bookmarkEnd w:id="200"/>
      <w:bookmarkEnd w:id="201"/>
      <w:bookmarkEnd w:id="202"/>
      <w:bookmarkEnd w:id="203"/>
      <w:bookmarkEnd w:id="204"/>
      <w:bookmarkEnd w:id="205"/>
    </w:p>
    <w:p w14:paraId="09F763C8" w14:textId="77777777" w:rsidR="001B1F4D" w:rsidRPr="001B1F4D" w:rsidRDefault="001B1F4D" w:rsidP="001B1F4D">
      <w:pPr>
        <w:spacing w:after="200" w:line="276" w:lineRule="auto"/>
      </w:pPr>
      <w:r w:rsidRPr="001B1F4D">
        <w:t xml:space="preserve">The ISO’s gross demand forecasts are estimates of the amount of electric energy the New England states will need annually and during seasonal peak hours. RSP19’s gross demand forecast horizon runs from 2019 through winter </w:t>
      </w:r>
      <w:r w:rsidRPr="00BE16F0">
        <w:t>2028/2029.</w:t>
      </w:r>
      <w:r w:rsidR="0022219D" w:rsidRPr="00CF2B8B">
        <w:t xml:space="preserve"> </w:t>
      </w:r>
      <w:r w:rsidR="009050B8" w:rsidRPr="00CF2B8B">
        <w:t>Hi</w:t>
      </w:r>
      <w:r w:rsidR="0022219D" w:rsidRPr="00CF2B8B">
        <w:t>storical loads and economic and demographic factors drive the forecasts of the gross annual demand for electric energy</w:t>
      </w:r>
      <w:r w:rsidR="009050B8" w:rsidRPr="00CF2B8B">
        <w:t xml:space="preserve"> and gross peak</w:t>
      </w:r>
      <w:r w:rsidR="0022219D" w:rsidRPr="00CF2B8B">
        <w:t>, regionwide and in individual states and subareas.</w:t>
      </w:r>
      <w:r w:rsidRPr="00BE16F0">
        <w:t xml:space="preserve"> Each forecast cycle updates the </w:t>
      </w:r>
      <w:r w:rsidR="009050B8" w:rsidRPr="00CF2B8B">
        <w:t xml:space="preserve">historical </w:t>
      </w:r>
      <w:r w:rsidRPr="00BE16F0">
        <w:t>data</w:t>
      </w:r>
      <w:r w:rsidR="009050B8" w:rsidRPr="00CF2B8B">
        <w:t xml:space="preserve"> </w:t>
      </w:r>
      <w:r w:rsidRPr="00BE16F0">
        <w:t>for</w:t>
      </w:r>
      <w:r w:rsidRPr="009050B8">
        <w:t xml:space="preserve"> the region’s annual use </w:t>
      </w:r>
      <w:r w:rsidRPr="00BE16F0">
        <w:t>and peak loads, incorporating the most recent economic and demographic forecasts, and making adjustments for resettlement that include meter corrections.</w:t>
      </w:r>
    </w:p>
    <w:p w14:paraId="72BBA946" w14:textId="60364744" w:rsidR="001B1F4D" w:rsidRPr="001B1F4D" w:rsidRDefault="001B1F4D" w:rsidP="001B1F4D">
      <w:pPr>
        <w:spacing w:after="200" w:line="276" w:lineRule="auto"/>
      </w:pPr>
      <w:r w:rsidRPr="001B1F4D">
        <w:t xml:space="preserve">The seasonal gross peak load and gross energy-use forecast, as published in the </w:t>
      </w:r>
      <w:r w:rsidRPr="001B1F4D">
        <w:rPr>
          <w:i/>
        </w:rPr>
        <w:t>2019–2028 Forecast Report of Capacity, Energy, Loads, and Transmission</w:t>
      </w:r>
      <w:r w:rsidRPr="001B1F4D">
        <w:t xml:space="preserve"> (2019 CELT Report) and used for planning studies, accounts for historical energy efficiency not part of the EE forecast and future federal appliance and lighting standards.</w:t>
      </w:r>
      <w:r w:rsidRPr="001B1F4D">
        <w:rPr>
          <w:vertAlign w:val="superscript"/>
        </w:rPr>
        <w:footnoteReference w:id="77"/>
      </w:r>
      <w:r w:rsidRPr="001B1F4D">
        <w:t xml:space="preserve"> The gross forecast does not reflect reductions in peak demand and energy use that will result from the passive demand resources (PDRs) that clear the Forward Capacity Auctions, the energy-efficiency forecast (described i</w:t>
      </w:r>
      <w:r w:rsidRPr="00D107EB">
        <w:t xml:space="preserve">n </w:t>
      </w:r>
      <w:r w:rsidRPr="00CF2B8B">
        <w:t>Sectio</w:t>
      </w:r>
      <w:r w:rsidRPr="00D107EB">
        <w:t xml:space="preserve">n </w:t>
      </w:r>
      <w:r w:rsidR="00D107EB" w:rsidRPr="00D107EB">
        <w:fldChar w:fldCharType="begin"/>
      </w:r>
      <w:r w:rsidR="00D107EB" w:rsidRPr="00D107EB">
        <w:instrText xml:space="preserve"> REF _Ref387327848 \r \h </w:instrText>
      </w:r>
      <w:r w:rsidR="00D107EB">
        <w:instrText xml:space="preserve"> \* MERGEFORMAT </w:instrText>
      </w:r>
      <w:r w:rsidR="00D107EB" w:rsidRPr="00D107EB">
        <w:fldChar w:fldCharType="separate"/>
      </w:r>
      <w:r w:rsidR="005D0B73">
        <w:t>3.2</w:t>
      </w:r>
      <w:r w:rsidR="00D107EB" w:rsidRPr="00D107EB">
        <w:fldChar w:fldCharType="end"/>
      </w:r>
      <w:r w:rsidRPr="00D107EB">
        <w:t>), or the behind-the-meter PV forecast (see Section </w:t>
      </w:r>
      <w:r w:rsidR="00D107EB" w:rsidRPr="00D107EB">
        <w:fldChar w:fldCharType="begin"/>
      </w:r>
      <w:r w:rsidR="00D107EB" w:rsidRPr="00D107EB">
        <w:instrText xml:space="preserve"> REF _Ref11512489 \r \h </w:instrText>
      </w:r>
      <w:r w:rsidR="00D107EB">
        <w:instrText xml:space="preserve"> \* MERGEFORMAT </w:instrText>
      </w:r>
      <w:r w:rsidR="00D107EB" w:rsidRPr="00D107EB">
        <w:fldChar w:fldCharType="separate"/>
      </w:r>
      <w:r w:rsidR="005D0B73">
        <w:t>3.3</w:t>
      </w:r>
      <w:r w:rsidR="00D107EB" w:rsidRPr="00D107EB">
        <w:fldChar w:fldCharType="end"/>
      </w:r>
      <w:r w:rsidRPr="00D107EB">
        <w:t>). Load reductions stemmin</w:t>
      </w:r>
      <w:r w:rsidRPr="001B1F4D">
        <w:t>g from other types of behind-the-meter distributed resources not participating in the FCM, however, are reflected as reductions in the historical loads used in the development of the gross load forecast, which tend to lower the forecast.</w:t>
      </w:r>
      <w:r w:rsidRPr="001B1F4D">
        <w:rPr>
          <w:vertAlign w:val="superscript"/>
        </w:rPr>
        <w:footnoteReference w:id="78"/>
      </w:r>
    </w:p>
    <w:p w14:paraId="2459D66C" w14:textId="77777777" w:rsidR="001B1F4D" w:rsidRPr="001B1F4D" w:rsidRDefault="001B1F4D" w:rsidP="001B1F4D">
      <w:pPr>
        <w:spacing w:after="200" w:line="276" w:lineRule="auto"/>
      </w:pPr>
      <w:r w:rsidRPr="001B1F4D">
        <w:t xml:space="preserve">Macroeconomic and demographic factors drive the annual consumption of electric energy and the growth of the seasonal peak. </w:t>
      </w:r>
      <w:r w:rsidRPr="001B1F4D">
        <w:rPr>
          <w:color w:val="000000"/>
        </w:rPr>
        <w:t>Compared with the economic forecast in RSP17, the forecast in RSP19 shows slightly more growth throughout the forecast horizon</w:t>
      </w:r>
      <w:r w:rsidRPr="001B1F4D">
        <w:t xml:space="preserve">. </w:t>
      </w:r>
      <w:r w:rsidRPr="001B1F4D">
        <w:rPr>
          <w:color w:val="000000"/>
        </w:rPr>
        <w:t>The RSP19 forecast continues to use real gross state product (GSP) for energy forecasting</w:t>
      </w:r>
      <w:r w:rsidRPr="001B1F4D">
        <w:t>.</w:t>
      </w:r>
    </w:p>
    <w:p w14:paraId="2583A79B" w14:textId="77777777" w:rsidR="001B1F4D" w:rsidRPr="001B1F4D" w:rsidRDefault="001B1F4D" w:rsidP="001B1F4D">
      <w:pPr>
        <w:spacing w:after="200" w:line="276" w:lineRule="auto"/>
      </w:pPr>
      <w:r w:rsidRPr="001B1F4D">
        <w:t xml:space="preserve">For the first time since summer 2013, New England experienced several nonholiday weekdays with peak-eliciting weather during the 2018 summer season, which the ISO used to evaluate the performance of its peak demand model. Analysis showed that observed peak loads were lower than ISO forecasts given the weather conditions, helping identify a high bias in the forecast that generally increased with the extremity of weather. To correct this bias, the ISO incorporated changes to the summer demand model </w:t>
      </w:r>
      <w:r w:rsidRPr="001B1F4D">
        <w:lastRenderedPageBreak/>
        <w:t>specification, including the addition of a second weather variable, that better captures the load response given a variety of weather conditions. A validation analysis demonstrated that the new model significantly improves forecast performance during peak-eliciting weather conditions.</w:t>
      </w:r>
      <w:r w:rsidRPr="001B1F4D">
        <w:rPr>
          <w:vertAlign w:val="superscript"/>
        </w:rPr>
        <w:footnoteReference w:id="79"/>
      </w:r>
      <w:r w:rsidRPr="001B1F4D">
        <w:t xml:space="preserve"> </w:t>
      </w:r>
      <w:r w:rsidR="00D107EB">
        <w:t xml:space="preserve">The </w:t>
      </w:r>
      <w:r w:rsidRPr="001B1F4D">
        <w:t>ISO also made improvements to its energy and winter peak demand models for the 2019 forecast.</w:t>
      </w:r>
      <w:r w:rsidRPr="001B1F4D">
        <w:rPr>
          <w:vertAlign w:val="superscript"/>
        </w:rPr>
        <w:footnoteReference w:id="80"/>
      </w:r>
    </w:p>
    <w:p w14:paraId="46C1ABE4" w14:textId="6618DDED" w:rsidR="001B1F4D" w:rsidRPr="001B1F4D" w:rsidRDefault="001B1F4D" w:rsidP="001B1F4D">
      <w:pPr>
        <w:spacing w:after="200" w:line="276" w:lineRule="auto"/>
      </w:pPr>
      <w:r w:rsidRPr="001B1F4D">
        <w:fldChar w:fldCharType="begin"/>
      </w:r>
      <w:r w:rsidRPr="001B1F4D">
        <w:instrText xml:space="preserve"> REF _Ref302644950 \h  \* MERGEFORMAT </w:instrText>
      </w:r>
      <w:r w:rsidRPr="001B1F4D">
        <w:fldChar w:fldCharType="separate"/>
      </w:r>
      <w:r w:rsidR="005D0B73" w:rsidRPr="005D0B73">
        <w:t xml:space="preserve">Table </w:t>
      </w:r>
      <w:r w:rsidR="005D0B73" w:rsidRPr="005D0B73">
        <w:rPr>
          <w:noProof/>
        </w:rPr>
        <w:t>3</w:t>
      </w:r>
      <w:r w:rsidR="005D0B73" w:rsidRPr="005D0B73">
        <w:rPr>
          <w:noProof/>
        </w:rPr>
        <w:noBreakHyphen/>
        <w:t>1</w:t>
      </w:r>
      <w:r w:rsidRPr="001B1F4D">
        <w:fldChar w:fldCharType="end"/>
      </w:r>
      <w:r w:rsidRPr="001B1F4D">
        <w:t xml:space="preserve"> summarizes the ISO’s forecasts of gross annual electric energy use and gross seasonal peak load (50/50 and 90/10) for New England overall and for each state.</w:t>
      </w:r>
      <w:r w:rsidRPr="001B1F4D">
        <w:rPr>
          <w:sz w:val="22"/>
          <w:vertAlign w:val="superscript"/>
        </w:rPr>
        <w:footnoteReference w:id="81"/>
      </w:r>
      <w:r w:rsidRPr="001B1F4D">
        <w:t xml:space="preserve"> RSP19 forecasts of gross annual energy use, and both summer and winter gross seasonal peak conditions, are lower than those published in RSP17. Compared with the RSP17 forecast, the RSP19 50/50 load forecast for gross summer peak demand is 810 megawatts (MW) lower in 2019 and 1,414 MW lower in 2026. The RSP19 90/10 load forecast for gross summer peak demand is 1,377 MW lower in 2019 and 2,019 MW lower in 2026. These greater changes reflected in the RSP19 90/10 forecast are attributed primarily to the modeling changes incorporated to correct the previous tendency to overforecast during extreme weather.</w:t>
      </w:r>
      <w:r w:rsidRPr="001B1F4D">
        <w:rPr>
          <w:vertAlign w:val="superscript"/>
        </w:rPr>
        <w:t xml:space="preserve"> </w:t>
      </w:r>
    </w:p>
    <w:p w14:paraId="0EEC27B7" w14:textId="2CAC3B5E" w:rsidR="001B1F4D" w:rsidRPr="001B1F4D" w:rsidRDefault="001B1F4D" w:rsidP="001B1F4D">
      <w:pPr>
        <w:keepNext/>
        <w:keepLines/>
        <w:spacing w:after="120" w:line="240" w:lineRule="auto"/>
        <w:jc w:val="center"/>
        <w:rPr>
          <w:rFonts w:asciiTheme="minorHAnsi" w:hAnsiTheme="minorHAnsi"/>
          <w:b/>
        </w:rPr>
      </w:pPr>
      <w:bookmarkStart w:id="206" w:name="_Ref302644950"/>
      <w:bookmarkStart w:id="207" w:name="_Toc303086928"/>
      <w:bookmarkStart w:id="208" w:name="_Toc330401249"/>
      <w:bookmarkStart w:id="209" w:name="_Toc334541922"/>
      <w:bookmarkStart w:id="210" w:name="_Toc334541959"/>
      <w:bookmarkStart w:id="211" w:name="_Toc365440697"/>
      <w:bookmarkStart w:id="212" w:name="_Toc391985595"/>
      <w:bookmarkStart w:id="213" w:name="_Toc484164906"/>
      <w:bookmarkStart w:id="214" w:name="_Toc491243997"/>
      <w:bookmarkStart w:id="215" w:name="_Toc12795324"/>
      <w:r w:rsidRPr="001B1F4D">
        <w:rPr>
          <w:rFonts w:asciiTheme="minorHAnsi" w:hAnsiTheme="minorHAnsi"/>
          <w:b/>
        </w:rPr>
        <w:t xml:space="preserve">Table </w:t>
      </w:r>
      <w:r w:rsidR="0082639A">
        <w:rPr>
          <w:rFonts w:asciiTheme="minorHAnsi" w:hAnsiTheme="minorHAnsi"/>
          <w:b/>
        </w:rPr>
        <w:fldChar w:fldCharType="begin"/>
      </w:r>
      <w:r w:rsidR="0082639A">
        <w:rPr>
          <w:rFonts w:asciiTheme="minorHAnsi" w:hAnsiTheme="minorHAnsi"/>
          <w:b/>
        </w:rPr>
        <w:instrText xml:space="preserve"> STYLEREF 1 \s </w:instrText>
      </w:r>
      <w:r w:rsidR="0082639A">
        <w:rPr>
          <w:rFonts w:asciiTheme="minorHAnsi" w:hAnsiTheme="minorHAnsi"/>
          <w:b/>
        </w:rPr>
        <w:fldChar w:fldCharType="separate"/>
      </w:r>
      <w:r w:rsidR="005D0B73">
        <w:rPr>
          <w:rFonts w:asciiTheme="minorHAnsi" w:hAnsiTheme="minorHAnsi"/>
          <w:b/>
          <w:noProof/>
        </w:rPr>
        <w:t>3</w:t>
      </w:r>
      <w:r w:rsidR="0082639A">
        <w:rPr>
          <w:rFonts w:asciiTheme="minorHAnsi" w:hAnsiTheme="minorHAnsi"/>
          <w:b/>
        </w:rPr>
        <w:fldChar w:fldCharType="end"/>
      </w:r>
      <w:r w:rsidR="0082639A">
        <w:rPr>
          <w:rFonts w:asciiTheme="minorHAnsi" w:hAnsiTheme="minorHAnsi"/>
          <w:b/>
        </w:rPr>
        <w:noBreakHyphen/>
      </w:r>
      <w:r w:rsidR="0082639A">
        <w:rPr>
          <w:rFonts w:asciiTheme="minorHAnsi" w:hAnsiTheme="minorHAnsi"/>
          <w:b/>
        </w:rPr>
        <w:fldChar w:fldCharType="begin"/>
      </w:r>
      <w:r w:rsidR="0082639A">
        <w:rPr>
          <w:rFonts w:asciiTheme="minorHAnsi" w:hAnsiTheme="minorHAnsi"/>
          <w:b/>
        </w:rPr>
        <w:instrText xml:space="preserve"> SEQ Table \* ARABIC \s 1 </w:instrText>
      </w:r>
      <w:r w:rsidR="0082639A">
        <w:rPr>
          <w:rFonts w:asciiTheme="minorHAnsi" w:hAnsiTheme="minorHAnsi"/>
          <w:b/>
        </w:rPr>
        <w:fldChar w:fldCharType="separate"/>
      </w:r>
      <w:r w:rsidR="005D0B73">
        <w:rPr>
          <w:rFonts w:asciiTheme="minorHAnsi" w:hAnsiTheme="minorHAnsi"/>
          <w:b/>
          <w:noProof/>
        </w:rPr>
        <w:t>1</w:t>
      </w:r>
      <w:r w:rsidR="0082639A">
        <w:rPr>
          <w:rFonts w:asciiTheme="minorHAnsi" w:hAnsiTheme="minorHAnsi"/>
          <w:b/>
        </w:rPr>
        <w:fldChar w:fldCharType="end"/>
      </w:r>
      <w:bookmarkEnd w:id="206"/>
      <w:r w:rsidRPr="001B1F4D">
        <w:rPr>
          <w:rFonts w:asciiTheme="minorHAnsi" w:hAnsiTheme="minorHAnsi"/>
          <w:b/>
          <w:bCs/>
        </w:rPr>
        <w:br/>
      </w:r>
      <w:r w:rsidRPr="001B1F4D">
        <w:rPr>
          <w:rFonts w:asciiTheme="minorHAnsi" w:hAnsiTheme="minorHAnsi"/>
          <w:b/>
        </w:rPr>
        <w:t>Summary of Annual Gross Electric Energy Use and Gross Peak Demand Forecast</w:t>
      </w:r>
      <w:r w:rsidRPr="001B1F4D">
        <w:rPr>
          <w:rFonts w:asciiTheme="minorHAnsi" w:hAnsiTheme="minorHAnsi"/>
          <w:b/>
        </w:rPr>
        <w:br/>
        <w:t>for New England and the States</w:t>
      </w:r>
      <w:bookmarkEnd w:id="207"/>
      <w:bookmarkEnd w:id="208"/>
      <w:bookmarkEnd w:id="209"/>
      <w:bookmarkEnd w:id="210"/>
      <w:bookmarkEnd w:id="211"/>
      <w:r w:rsidRPr="001B1F4D">
        <w:rPr>
          <w:rFonts w:asciiTheme="minorHAnsi" w:hAnsiTheme="minorHAnsi"/>
          <w:b/>
        </w:rPr>
        <w:t xml:space="preserve">, 2019/2020 and </w:t>
      </w:r>
      <w:bookmarkEnd w:id="212"/>
      <w:bookmarkEnd w:id="213"/>
      <w:bookmarkEnd w:id="214"/>
      <w:r w:rsidRPr="001B1F4D">
        <w:rPr>
          <w:rFonts w:asciiTheme="minorHAnsi" w:hAnsiTheme="minorHAnsi"/>
          <w:b/>
        </w:rPr>
        <w:t>2028/2029</w:t>
      </w:r>
      <w:bookmarkEnd w:id="215"/>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661"/>
        <w:gridCol w:w="810"/>
        <w:gridCol w:w="748"/>
        <w:gridCol w:w="720"/>
        <w:gridCol w:w="720"/>
        <w:gridCol w:w="720"/>
        <w:gridCol w:w="720"/>
        <w:gridCol w:w="720"/>
        <w:gridCol w:w="720"/>
        <w:gridCol w:w="720"/>
        <w:gridCol w:w="720"/>
        <w:gridCol w:w="720"/>
        <w:gridCol w:w="720"/>
        <w:gridCol w:w="720"/>
      </w:tblGrid>
      <w:tr w:rsidR="001B1F4D" w:rsidRPr="001B1F4D" w14:paraId="06F6AB44" w14:textId="77777777" w:rsidTr="00B31FEF">
        <w:trPr>
          <w:cantSplit/>
          <w:jc w:val="center"/>
        </w:trPr>
        <w:tc>
          <w:tcPr>
            <w:tcW w:w="661" w:type="dxa"/>
            <w:vMerge w:val="restart"/>
            <w:shd w:val="clear" w:color="auto" w:fill="1795D2" w:themeFill="accent1"/>
            <w:noWrap/>
            <w:tcMar>
              <w:top w:w="58" w:type="dxa"/>
              <w:left w:w="0" w:type="dxa"/>
              <w:bottom w:w="58" w:type="dxa"/>
              <w:right w:w="0" w:type="dxa"/>
            </w:tcMar>
            <w:vAlign w:val="center"/>
          </w:tcPr>
          <w:p w14:paraId="14BC61D0"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State</w:t>
            </w:r>
            <w:r w:rsidRPr="001B1F4D">
              <w:rPr>
                <w:rFonts w:asciiTheme="minorHAnsi" w:hAnsiTheme="minorHAnsi" w:cs="Arial"/>
                <w:b/>
                <w:color w:val="FFFFFF"/>
                <w:sz w:val="18"/>
                <w:szCs w:val="18"/>
                <w:vertAlign w:val="superscript"/>
              </w:rPr>
              <w:t>(a)</w:t>
            </w:r>
          </w:p>
        </w:tc>
        <w:tc>
          <w:tcPr>
            <w:tcW w:w="2278" w:type="dxa"/>
            <w:gridSpan w:val="3"/>
            <w:vMerge w:val="restart"/>
            <w:shd w:val="clear" w:color="auto" w:fill="1795D2" w:themeFill="accent1"/>
            <w:noWrap/>
            <w:tcMar>
              <w:top w:w="58" w:type="dxa"/>
              <w:left w:w="0" w:type="dxa"/>
              <w:bottom w:w="58" w:type="dxa"/>
              <w:right w:w="0" w:type="dxa"/>
            </w:tcMar>
            <w:vAlign w:val="center"/>
          </w:tcPr>
          <w:p w14:paraId="1A01233C"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Net Energy for Load</w:t>
            </w:r>
            <w:r w:rsidRPr="001B1F4D">
              <w:rPr>
                <w:rFonts w:asciiTheme="minorHAnsi" w:hAnsiTheme="minorHAnsi" w:cs="Arial"/>
                <w:b/>
                <w:color w:val="FFFFFF"/>
                <w:sz w:val="18"/>
                <w:szCs w:val="18"/>
              </w:rPr>
              <w:br/>
              <w:t>(1,000 MWh)</w:t>
            </w:r>
          </w:p>
        </w:tc>
        <w:tc>
          <w:tcPr>
            <w:tcW w:w="3600" w:type="dxa"/>
            <w:gridSpan w:val="5"/>
            <w:shd w:val="clear" w:color="auto" w:fill="1795D2" w:themeFill="accent1"/>
            <w:noWrap/>
            <w:tcMar>
              <w:top w:w="0" w:type="dxa"/>
              <w:left w:w="0" w:type="dxa"/>
              <w:bottom w:w="0" w:type="dxa"/>
              <w:right w:w="0" w:type="dxa"/>
            </w:tcMar>
            <w:vAlign w:val="center"/>
          </w:tcPr>
          <w:p w14:paraId="38B170E4" w14:textId="77777777" w:rsidR="001B1F4D" w:rsidRPr="00674E39" w:rsidRDefault="001B1F4D" w:rsidP="00674E39">
            <w:pPr>
              <w:keepNext/>
              <w:keepLines/>
              <w:spacing w:after="0" w:line="240" w:lineRule="auto"/>
              <w:jc w:val="center"/>
              <w:rPr>
                <w:rFonts w:asciiTheme="minorHAnsi" w:hAnsiTheme="minorHAnsi" w:cs="Arial"/>
                <w:b/>
                <w:color w:val="FFFFFF"/>
                <w:sz w:val="18"/>
                <w:szCs w:val="18"/>
              </w:rPr>
            </w:pPr>
            <w:r w:rsidRPr="00CF16C2">
              <w:rPr>
                <w:rFonts w:asciiTheme="minorHAnsi" w:hAnsiTheme="minorHAnsi" w:cs="Arial"/>
                <w:b/>
                <w:color w:val="FFFFFF"/>
                <w:sz w:val="18"/>
                <w:szCs w:val="18"/>
              </w:rPr>
              <w:t>Summer Peak Loads (MW)</w:t>
            </w:r>
          </w:p>
        </w:tc>
        <w:tc>
          <w:tcPr>
            <w:tcW w:w="3600" w:type="dxa"/>
            <w:gridSpan w:val="5"/>
            <w:shd w:val="clear" w:color="auto" w:fill="1795D2" w:themeFill="accent1"/>
            <w:noWrap/>
            <w:tcMar>
              <w:top w:w="0" w:type="dxa"/>
              <w:left w:w="0" w:type="dxa"/>
              <w:bottom w:w="0" w:type="dxa"/>
              <w:right w:w="0" w:type="dxa"/>
            </w:tcMar>
            <w:vAlign w:val="center"/>
          </w:tcPr>
          <w:p w14:paraId="0A44A83C" w14:textId="77777777" w:rsidR="001B1F4D" w:rsidRPr="00CF16C2" w:rsidRDefault="001B1F4D">
            <w:pPr>
              <w:keepNext/>
              <w:keepLines/>
              <w:spacing w:after="0" w:line="240" w:lineRule="auto"/>
              <w:jc w:val="center"/>
              <w:rPr>
                <w:rFonts w:asciiTheme="minorHAnsi" w:hAnsiTheme="minorHAnsi" w:cs="Arial"/>
                <w:b/>
                <w:color w:val="FFFFFF"/>
                <w:sz w:val="18"/>
                <w:szCs w:val="18"/>
              </w:rPr>
            </w:pPr>
            <w:r w:rsidRPr="00CF16C2">
              <w:rPr>
                <w:rFonts w:asciiTheme="minorHAnsi" w:hAnsiTheme="minorHAnsi" w:cs="Arial"/>
                <w:b/>
                <w:color w:val="FFFFFF"/>
                <w:sz w:val="18"/>
                <w:szCs w:val="18"/>
              </w:rPr>
              <w:t>Winter Peak Loads (MW)</w:t>
            </w:r>
          </w:p>
        </w:tc>
      </w:tr>
      <w:tr w:rsidR="001B1F4D" w:rsidRPr="001B1F4D" w14:paraId="5A3065AC" w14:textId="77777777" w:rsidTr="00B31FEF">
        <w:trPr>
          <w:cantSplit/>
          <w:jc w:val="center"/>
        </w:trPr>
        <w:tc>
          <w:tcPr>
            <w:tcW w:w="661" w:type="dxa"/>
            <w:vMerge/>
            <w:shd w:val="clear" w:color="auto" w:fill="1795D2" w:themeFill="accent1"/>
            <w:noWrap/>
            <w:tcMar>
              <w:top w:w="58" w:type="dxa"/>
              <w:left w:w="0" w:type="dxa"/>
              <w:bottom w:w="58" w:type="dxa"/>
              <w:right w:w="0" w:type="dxa"/>
            </w:tcMar>
            <w:vAlign w:val="center"/>
          </w:tcPr>
          <w:p w14:paraId="4014FC49"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1795D2" w:themeFill="accent1"/>
            <w:noWrap/>
            <w:tcMar>
              <w:top w:w="58" w:type="dxa"/>
              <w:left w:w="0" w:type="dxa"/>
              <w:bottom w:w="58" w:type="dxa"/>
              <w:right w:w="0" w:type="dxa"/>
            </w:tcMar>
            <w:vAlign w:val="center"/>
          </w:tcPr>
          <w:p w14:paraId="001F5949"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1795D2" w:themeFill="accent1"/>
            <w:noWrap/>
            <w:tcMar>
              <w:top w:w="58" w:type="dxa"/>
              <w:left w:w="0" w:type="dxa"/>
              <w:bottom w:w="58" w:type="dxa"/>
              <w:right w:w="0" w:type="dxa"/>
            </w:tcMar>
            <w:vAlign w:val="center"/>
          </w:tcPr>
          <w:p w14:paraId="4DB0F40D"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14:paraId="188F68D9"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14:paraId="50B611B1"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1440" w:type="dxa"/>
            <w:gridSpan w:val="2"/>
            <w:shd w:val="clear" w:color="auto" w:fill="1795D2" w:themeFill="accent1"/>
            <w:noWrap/>
            <w:tcMar>
              <w:top w:w="58" w:type="dxa"/>
              <w:left w:w="0" w:type="dxa"/>
              <w:bottom w:w="58" w:type="dxa"/>
              <w:right w:w="0" w:type="dxa"/>
            </w:tcMar>
            <w:vAlign w:val="center"/>
          </w:tcPr>
          <w:p w14:paraId="73D18A5D"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14:paraId="48B61489"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90/10</w:t>
            </w:r>
            <w:r w:rsidRPr="001B1F4D">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14:paraId="0C3EA443"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r>
      <w:tr w:rsidR="001B1F4D" w:rsidRPr="001B1F4D" w14:paraId="1F00D768" w14:textId="77777777" w:rsidTr="00B31FEF">
        <w:trPr>
          <w:cantSplit/>
          <w:jc w:val="center"/>
        </w:trPr>
        <w:tc>
          <w:tcPr>
            <w:tcW w:w="661" w:type="dxa"/>
            <w:vMerge/>
            <w:shd w:val="clear" w:color="auto" w:fill="1795D2" w:themeFill="accent1"/>
            <w:noWrap/>
            <w:tcMar>
              <w:top w:w="58" w:type="dxa"/>
              <w:left w:w="0" w:type="dxa"/>
              <w:bottom w:w="58" w:type="dxa"/>
              <w:right w:w="0" w:type="dxa"/>
            </w:tcMar>
            <w:vAlign w:val="center"/>
          </w:tcPr>
          <w:p w14:paraId="0DB94E54"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1795D2" w:themeFill="accent1"/>
            <w:noWrap/>
            <w:tcMar>
              <w:top w:w="58" w:type="dxa"/>
              <w:left w:w="0" w:type="dxa"/>
              <w:bottom w:w="58" w:type="dxa"/>
              <w:right w:w="0" w:type="dxa"/>
            </w:tcMar>
            <w:vAlign w:val="center"/>
          </w:tcPr>
          <w:p w14:paraId="18FEB400"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48" w:type="dxa"/>
            <w:shd w:val="clear" w:color="auto" w:fill="1795D2" w:themeFill="accent1"/>
            <w:noWrap/>
            <w:tcMar>
              <w:top w:w="58" w:type="dxa"/>
              <w:left w:w="0" w:type="dxa"/>
              <w:bottom w:w="58" w:type="dxa"/>
              <w:right w:w="0" w:type="dxa"/>
            </w:tcMar>
            <w:vAlign w:val="center"/>
          </w:tcPr>
          <w:p w14:paraId="7E4C2269" w14:textId="77777777" w:rsidR="001B1F4D" w:rsidRPr="001B1F4D" w:rsidRDefault="001B1F4D" w:rsidP="001B1F4D">
            <w:pPr>
              <w:keepNext/>
              <w:keepLines/>
              <w:spacing w:after="0" w:line="240" w:lineRule="auto"/>
              <w:jc w:val="center"/>
              <w:rPr>
                <w:rFonts w:asciiTheme="minorHAnsi"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14:paraId="49D1221C"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Theme="minorHAnsi" w:hAnsiTheme="minorHAnsi" w:cs="Arial"/>
                <w:b/>
                <w:color w:val="FFFFFF"/>
                <w:sz w:val="18"/>
                <w:szCs w:val="18"/>
              </w:rPr>
              <w:t>CAGR</w:t>
            </w:r>
            <w:r w:rsidRPr="001B1F4D">
              <w:rPr>
                <w:rFonts w:asciiTheme="minorHAnsi" w:hAnsiTheme="minorHAnsi" w:cs="Arial"/>
                <w:b/>
                <w:color w:val="FFFFFF"/>
                <w:sz w:val="18"/>
                <w:szCs w:val="18"/>
                <w:vertAlign w:val="superscript"/>
              </w:rPr>
              <w:t>(c)</w:t>
            </w:r>
          </w:p>
        </w:tc>
        <w:tc>
          <w:tcPr>
            <w:tcW w:w="720" w:type="dxa"/>
            <w:shd w:val="clear" w:color="auto" w:fill="1795D2" w:themeFill="accent1"/>
            <w:noWrap/>
            <w:tcMar>
              <w:top w:w="58" w:type="dxa"/>
              <w:left w:w="0" w:type="dxa"/>
              <w:bottom w:w="58" w:type="dxa"/>
              <w:right w:w="0" w:type="dxa"/>
            </w:tcMar>
            <w:vAlign w:val="center"/>
          </w:tcPr>
          <w:p w14:paraId="771671B2"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14:paraId="3314BE97"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shd w:val="clear" w:color="auto" w:fill="1795D2" w:themeFill="accent1"/>
            <w:noWrap/>
            <w:tcMar>
              <w:top w:w="58" w:type="dxa"/>
              <w:left w:w="0" w:type="dxa"/>
              <w:bottom w:w="58" w:type="dxa"/>
              <w:right w:w="0" w:type="dxa"/>
            </w:tcMar>
            <w:vAlign w:val="center"/>
          </w:tcPr>
          <w:p w14:paraId="3DE06353"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w:t>
            </w:r>
          </w:p>
        </w:tc>
        <w:tc>
          <w:tcPr>
            <w:tcW w:w="720" w:type="dxa"/>
            <w:shd w:val="clear" w:color="auto" w:fill="1795D2" w:themeFill="accent1"/>
            <w:noWrap/>
            <w:tcMar>
              <w:top w:w="58" w:type="dxa"/>
              <w:left w:w="0" w:type="dxa"/>
              <w:bottom w:w="58" w:type="dxa"/>
              <w:right w:w="0" w:type="dxa"/>
            </w:tcMar>
            <w:vAlign w:val="center"/>
          </w:tcPr>
          <w:p w14:paraId="644F3108"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w:t>
            </w:r>
          </w:p>
        </w:tc>
        <w:tc>
          <w:tcPr>
            <w:tcW w:w="720" w:type="dxa"/>
            <w:vMerge/>
            <w:shd w:val="clear" w:color="auto" w:fill="1795D2" w:themeFill="accent1"/>
            <w:noWrap/>
            <w:tcMar>
              <w:top w:w="58" w:type="dxa"/>
              <w:left w:w="0" w:type="dxa"/>
              <w:bottom w:w="58" w:type="dxa"/>
              <w:right w:w="0" w:type="dxa"/>
            </w:tcMar>
            <w:vAlign w:val="center"/>
          </w:tcPr>
          <w:p w14:paraId="4D18DD7E"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1795D2" w:themeFill="accent1"/>
            <w:noWrap/>
            <w:tcMar>
              <w:top w:w="58" w:type="dxa"/>
              <w:left w:w="0" w:type="dxa"/>
              <w:bottom w:w="58" w:type="dxa"/>
              <w:right w:w="0" w:type="dxa"/>
            </w:tcMar>
            <w:vAlign w:val="center"/>
          </w:tcPr>
          <w:p w14:paraId="4DF5FF97"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14:paraId="715B355F"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shd w:val="clear" w:color="auto" w:fill="1795D2" w:themeFill="accent1"/>
            <w:noWrap/>
            <w:tcMar>
              <w:top w:w="58" w:type="dxa"/>
              <w:left w:w="0" w:type="dxa"/>
              <w:bottom w:w="58" w:type="dxa"/>
              <w:right w:w="0" w:type="dxa"/>
            </w:tcMar>
            <w:vAlign w:val="center"/>
          </w:tcPr>
          <w:p w14:paraId="531B5E78"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2019/20</w:t>
            </w:r>
          </w:p>
        </w:tc>
        <w:tc>
          <w:tcPr>
            <w:tcW w:w="720" w:type="dxa"/>
            <w:shd w:val="clear" w:color="auto" w:fill="1795D2" w:themeFill="accent1"/>
            <w:noWrap/>
            <w:tcMar>
              <w:top w:w="58" w:type="dxa"/>
              <w:left w:w="0" w:type="dxa"/>
              <w:bottom w:w="58" w:type="dxa"/>
              <w:right w:w="0" w:type="dxa"/>
            </w:tcMar>
            <w:vAlign w:val="center"/>
          </w:tcPr>
          <w:p w14:paraId="5C03FD3B"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r w:rsidRPr="001B1F4D">
              <w:rPr>
                <w:rFonts w:ascii="Calibri" w:hAnsi="Calibri"/>
                <w:b/>
                <w:bCs/>
                <w:color w:val="FFFFFF"/>
                <w:sz w:val="18"/>
                <w:szCs w:val="18"/>
              </w:rPr>
              <w:t>2028/29</w:t>
            </w:r>
          </w:p>
        </w:tc>
        <w:tc>
          <w:tcPr>
            <w:tcW w:w="720" w:type="dxa"/>
            <w:vMerge/>
            <w:shd w:val="clear" w:color="auto" w:fill="1795D2" w:themeFill="accent1"/>
            <w:noWrap/>
            <w:tcMar>
              <w:top w:w="58" w:type="dxa"/>
              <w:left w:w="0" w:type="dxa"/>
              <w:bottom w:w="58" w:type="dxa"/>
              <w:right w:w="0" w:type="dxa"/>
            </w:tcMar>
            <w:vAlign w:val="center"/>
          </w:tcPr>
          <w:p w14:paraId="20169FE5" w14:textId="77777777" w:rsidR="001B1F4D" w:rsidRPr="001B1F4D" w:rsidRDefault="001B1F4D" w:rsidP="001B1F4D">
            <w:pPr>
              <w:keepNext/>
              <w:keepLines/>
              <w:spacing w:after="0" w:line="240" w:lineRule="auto"/>
              <w:jc w:val="center"/>
              <w:rPr>
                <w:rFonts w:asciiTheme="minorHAnsi" w:eastAsia="Arial Unicode MS" w:hAnsiTheme="minorHAnsi" w:cs="Arial"/>
                <w:b/>
                <w:color w:val="FFFFFF"/>
                <w:sz w:val="18"/>
                <w:szCs w:val="18"/>
              </w:rPr>
            </w:pPr>
          </w:p>
        </w:tc>
      </w:tr>
      <w:tr w:rsidR="009A74ED" w:rsidRPr="001B1F4D" w14:paraId="3048FC81" w14:textId="77777777" w:rsidTr="00CF16C2">
        <w:tblPrEx>
          <w:tblCellMar>
            <w:left w:w="37" w:type="dxa"/>
            <w:right w:w="37" w:type="dxa"/>
          </w:tblCellMar>
        </w:tblPrEx>
        <w:trPr>
          <w:cantSplit/>
          <w:trHeight w:val="165"/>
          <w:jc w:val="center"/>
        </w:trPr>
        <w:tc>
          <w:tcPr>
            <w:tcW w:w="429" w:type="dxa"/>
            <w:shd w:val="clear" w:color="auto" w:fill="FFFFFF"/>
            <w:noWrap/>
            <w:tcMar>
              <w:top w:w="37" w:type="dxa"/>
              <w:left w:w="74" w:type="dxa"/>
              <w:bottom w:w="37" w:type="dxa"/>
            </w:tcMar>
            <w:vAlign w:val="bottom"/>
          </w:tcPr>
          <w:p w14:paraId="7E5461A2"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CT</w:t>
            </w:r>
          </w:p>
        </w:tc>
        <w:tc>
          <w:tcPr>
            <w:tcW w:w="526" w:type="dxa"/>
            <w:shd w:val="clear" w:color="auto" w:fill="FFFFFF"/>
            <w:noWrap/>
            <w:tcMar>
              <w:top w:w="37" w:type="dxa"/>
              <w:left w:w="0" w:type="dxa"/>
              <w:bottom w:w="37" w:type="dxa"/>
              <w:right w:w="74" w:type="dxa"/>
            </w:tcMar>
            <w:vAlign w:val="center"/>
          </w:tcPr>
          <w:p w14:paraId="06326E2E"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34,372</w:t>
            </w:r>
          </w:p>
        </w:tc>
        <w:tc>
          <w:tcPr>
            <w:tcW w:w="486" w:type="dxa"/>
            <w:shd w:val="clear" w:color="auto" w:fill="FFFFFF"/>
            <w:noWrap/>
            <w:tcMar>
              <w:top w:w="37" w:type="dxa"/>
              <w:left w:w="0" w:type="dxa"/>
              <w:bottom w:w="37" w:type="dxa"/>
              <w:right w:w="74" w:type="dxa"/>
            </w:tcMar>
            <w:vAlign w:val="center"/>
          </w:tcPr>
          <w:p w14:paraId="57B98498"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36,779</w:t>
            </w:r>
          </w:p>
        </w:tc>
        <w:tc>
          <w:tcPr>
            <w:tcW w:w="468" w:type="dxa"/>
            <w:shd w:val="clear" w:color="auto" w:fill="FFFFFF"/>
            <w:noWrap/>
            <w:tcMar>
              <w:top w:w="37" w:type="dxa"/>
              <w:left w:w="0" w:type="dxa"/>
              <w:bottom w:w="37" w:type="dxa"/>
            </w:tcMar>
            <w:vAlign w:val="center"/>
          </w:tcPr>
          <w:p w14:paraId="0320A9AB"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0.8</w:t>
            </w:r>
          </w:p>
        </w:tc>
        <w:tc>
          <w:tcPr>
            <w:tcW w:w="468" w:type="dxa"/>
            <w:shd w:val="clear" w:color="auto" w:fill="FFFFFF"/>
            <w:noWrap/>
            <w:tcMar>
              <w:top w:w="37" w:type="dxa"/>
              <w:left w:w="0" w:type="dxa"/>
              <w:bottom w:w="37" w:type="dxa"/>
              <w:right w:w="74" w:type="dxa"/>
            </w:tcMar>
            <w:vAlign w:val="center"/>
          </w:tcPr>
          <w:p w14:paraId="1719AE8F"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7,305</w:t>
            </w:r>
          </w:p>
        </w:tc>
        <w:tc>
          <w:tcPr>
            <w:tcW w:w="468" w:type="dxa"/>
            <w:shd w:val="clear" w:color="auto" w:fill="FFFFFF"/>
            <w:noWrap/>
            <w:tcMar>
              <w:top w:w="37" w:type="dxa"/>
              <w:left w:w="0" w:type="dxa"/>
              <w:bottom w:w="37" w:type="dxa"/>
              <w:right w:w="74" w:type="dxa"/>
            </w:tcMar>
            <w:vAlign w:val="center"/>
          </w:tcPr>
          <w:p w14:paraId="4F4A6896"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7,438</w:t>
            </w:r>
          </w:p>
        </w:tc>
        <w:tc>
          <w:tcPr>
            <w:tcW w:w="468" w:type="dxa"/>
            <w:shd w:val="clear" w:color="auto" w:fill="FFFFFF"/>
            <w:noWrap/>
            <w:tcMar>
              <w:top w:w="37" w:type="dxa"/>
              <w:left w:w="0" w:type="dxa"/>
              <w:bottom w:w="37" w:type="dxa"/>
              <w:right w:w="74" w:type="dxa"/>
            </w:tcMar>
            <w:vAlign w:val="center"/>
          </w:tcPr>
          <w:p w14:paraId="749B1BA7"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7,719</w:t>
            </w:r>
          </w:p>
        </w:tc>
        <w:tc>
          <w:tcPr>
            <w:tcW w:w="468" w:type="dxa"/>
            <w:shd w:val="clear" w:color="auto" w:fill="FFFFFF"/>
            <w:noWrap/>
            <w:tcMar>
              <w:top w:w="37" w:type="dxa"/>
              <w:left w:w="0" w:type="dxa"/>
              <w:bottom w:w="37" w:type="dxa"/>
              <w:right w:w="74" w:type="dxa"/>
            </w:tcMar>
            <w:vAlign w:val="center"/>
          </w:tcPr>
          <w:p w14:paraId="7D80DBB6"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7,866</w:t>
            </w:r>
          </w:p>
        </w:tc>
        <w:tc>
          <w:tcPr>
            <w:tcW w:w="468" w:type="dxa"/>
            <w:shd w:val="clear" w:color="auto" w:fill="FFFFFF"/>
            <w:noWrap/>
            <w:tcMar>
              <w:top w:w="37" w:type="dxa"/>
              <w:left w:w="0" w:type="dxa"/>
              <w:bottom w:w="37" w:type="dxa"/>
            </w:tcMar>
            <w:vAlign w:val="center"/>
          </w:tcPr>
          <w:p w14:paraId="5379D3AC"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0.2</w:t>
            </w:r>
          </w:p>
        </w:tc>
        <w:tc>
          <w:tcPr>
            <w:tcW w:w="468" w:type="dxa"/>
            <w:shd w:val="clear" w:color="auto" w:fill="FFFFFF"/>
            <w:noWrap/>
            <w:tcMar>
              <w:top w:w="37" w:type="dxa"/>
              <w:left w:w="0" w:type="dxa"/>
              <w:bottom w:w="37" w:type="dxa"/>
              <w:right w:w="74" w:type="dxa"/>
            </w:tcMar>
            <w:vAlign w:val="center"/>
          </w:tcPr>
          <w:p w14:paraId="03BA3F6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5,647</w:t>
            </w:r>
          </w:p>
        </w:tc>
        <w:tc>
          <w:tcPr>
            <w:tcW w:w="468" w:type="dxa"/>
            <w:shd w:val="clear" w:color="auto" w:fill="FFFFFF"/>
            <w:noWrap/>
            <w:tcMar>
              <w:top w:w="37" w:type="dxa"/>
              <w:left w:w="0" w:type="dxa"/>
              <w:bottom w:w="37" w:type="dxa"/>
              <w:right w:w="74" w:type="dxa"/>
            </w:tcMar>
            <w:vAlign w:val="center"/>
          </w:tcPr>
          <w:p w14:paraId="1B1E5A89"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5,714</w:t>
            </w:r>
          </w:p>
        </w:tc>
        <w:tc>
          <w:tcPr>
            <w:tcW w:w="468" w:type="dxa"/>
            <w:shd w:val="clear" w:color="auto" w:fill="FFFFFF"/>
            <w:noWrap/>
            <w:tcMar>
              <w:top w:w="37" w:type="dxa"/>
              <w:left w:w="0" w:type="dxa"/>
              <w:bottom w:w="37" w:type="dxa"/>
              <w:right w:w="74" w:type="dxa"/>
            </w:tcMar>
            <w:vAlign w:val="center"/>
          </w:tcPr>
          <w:p w14:paraId="7683FBA1"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5,805</w:t>
            </w:r>
          </w:p>
        </w:tc>
        <w:tc>
          <w:tcPr>
            <w:tcW w:w="468" w:type="dxa"/>
            <w:shd w:val="clear" w:color="auto" w:fill="FFFFFF"/>
            <w:noWrap/>
            <w:tcMar>
              <w:top w:w="37" w:type="dxa"/>
              <w:left w:w="0" w:type="dxa"/>
              <w:bottom w:w="37" w:type="dxa"/>
              <w:right w:w="74" w:type="dxa"/>
            </w:tcMar>
            <w:vAlign w:val="center"/>
          </w:tcPr>
          <w:p w14:paraId="405942BA"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5,879</w:t>
            </w:r>
          </w:p>
        </w:tc>
        <w:tc>
          <w:tcPr>
            <w:tcW w:w="468" w:type="dxa"/>
            <w:shd w:val="clear" w:color="auto" w:fill="FFFFFF"/>
            <w:noWrap/>
            <w:tcMar>
              <w:top w:w="37" w:type="dxa"/>
              <w:left w:w="0" w:type="dxa"/>
              <w:bottom w:w="37" w:type="dxa"/>
            </w:tcMar>
            <w:vAlign w:val="center"/>
          </w:tcPr>
          <w:p w14:paraId="3B61C17F"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0.1</w:t>
            </w:r>
          </w:p>
        </w:tc>
      </w:tr>
      <w:tr w:rsidR="009A74ED" w:rsidRPr="001B1F4D" w14:paraId="653A83E0" w14:textId="77777777" w:rsidTr="00CF16C2">
        <w:trPr>
          <w:cantSplit/>
          <w:trHeight w:val="255"/>
          <w:jc w:val="center"/>
        </w:trPr>
        <w:tc>
          <w:tcPr>
            <w:tcW w:w="661" w:type="dxa"/>
            <w:shd w:val="clear" w:color="auto" w:fill="CCEAF9" w:themeFill="accent1" w:themeFillTint="33"/>
            <w:noWrap/>
            <w:tcMar>
              <w:top w:w="58" w:type="dxa"/>
              <w:left w:w="115" w:type="dxa"/>
              <w:bottom w:w="58" w:type="dxa"/>
            </w:tcMar>
            <w:vAlign w:val="bottom"/>
          </w:tcPr>
          <w:p w14:paraId="7B0BB2C2"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ME</w:t>
            </w:r>
          </w:p>
        </w:tc>
        <w:tc>
          <w:tcPr>
            <w:tcW w:w="810" w:type="dxa"/>
            <w:shd w:val="clear" w:color="auto" w:fill="CCEAF9" w:themeFill="accent1" w:themeFillTint="33"/>
            <w:noWrap/>
            <w:tcMar>
              <w:top w:w="58" w:type="dxa"/>
              <w:left w:w="0" w:type="dxa"/>
              <w:bottom w:w="58" w:type="dxa"/>
              <w:right w:w="115" w:type="dxa"/>
            </w:tcMar>
            <w:vAlign w:val="center"/>
          </w:tcPr>
          <w:p w14:paraId="0AD5AAC6"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13,240</w:t>
            </w:r>
          </w:p>
        </w:tc>
        <w:tc>
          <w:tcPr>
            <w:tcW w:w="748" w:type="dxa"/>
            <w:shd w:val="clear" w:color="auto" w:fill="CCEAF9" w:themeFill="accent1" w:themeFillTint="33"/>
            <w:noWrap/>
            <w:tcMar>
              <w:top w:w="58" w:type="dxa"/>
              <w:left w:w="0" w:type="dxa"/>
              <w:bottom w:w="58" w:type="dxa"/>
              <w:right w:w="115" w:type="dxa"/>
            </w:tcMar>
            <w:vAlign w:val="center"/>
          </w:tcPr>
          <w:p w14:paraId="42052FCB"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15,260</w:t>
            </w:r>
          </w:p>
        </w:tc>
        <w:tc>
          <w:tcPr>
            <w:tcW w:w="720" w:type="dxa"/>
            <w:shd w:val="clear" w:color="auto" w:fill="CCEAF9" w:themeFill="accent1" w:themeFillTint="33"/>
            <w:noWrap/>
            <w:tcMar>
              <w:top w:w="58" w:type="dxa"/>
              <w:left w:w="0" w:type="dxa"/>
              <w:bottom w:w="58" w:type="dxa"/>
            </w:tcMar>
            <w:vAlign w:val="center"/>
          </w:tcPr>
          <w:p w14:paraId="5C074B9F"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1.6</w:t>
            </w:r>
          </w:p>
        </w:tc>
        <w:tc>
          <w:tcPr>
            <w:tcW w:w="720" w:type="dxa"/>
            <w:shd w:val="clear" w:color="auto" w:fill="CCEAF9" w:themeFill="accent1" w:themeFillTint="33"/>
            <w:noWrap/>
            <w:tcMar>
              <w:top w:w="58" w:type="dxa"/>
              <w:left w:w="0" w:type="dxa"/>
              <w:bottom w:w="58" w:type="dxa"/>
              <w:right w:w="115" w:type="dxa"/>
            </w:tcMar>
            <w:vAlign w:val="center"/>
          </w:tcPr>
          <w:p w14:paraId="1EECFA8A"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2,116</w:t>
            </w:r>
          </w:p>
        </w:tc>
        <w:tc>
          <w:tcPr>
            <w:tcW w:w="720" w:type="dxa"/>
            <w:shd w:val="clear" w:color="auto" w:fill="CCEAF9" w:themeFill="accent1" w:themeFillTint="33"/>
            <w:noWrap/>
            <w:tcMar>
              <w:top w:w="58" w:type="dxa"/>
              <w:left w:w="0" w:type="dxa"/>
              <w:bottom w:w="58" w:type="dxa"/>
              <w:right w:w="115" w:type="dxa"/>
            </w:tcMar>
            <w:vAlign w:val="center"/>
          </w:tcPr>
          <w:p w14:paraId="04544991"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2,318</w:t>
            </w:r>
          </w:p>
        </w:tc>
        <w:tc>
          <w:tcPr>
            <w:tcW w:w="720" w:type="dxa"/>
            <w:shd w:val="clear" w:color="auto" w:fill="CCEAF9" w:themeFill="accent1" w:themeFillTint="33"/>
            <w:noWrap/>
            <w:tcMar>
              <w:top w:w="58" w:type="dxa"/>
              <w:left w:w="0" w:type="dxa"/>
              <w:bottom w:w="58" w:type="dxa"/>
              <w:right w:w="115" w:type="dxa"/>
            </w:tcMar>
            <w:vAlign w:val="center"/>
          </w:tcPr>
          <w:p w14:paraId="3096F374"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2,217</w:t>
            </w:r>
          </w:p>
        </w:tc>
        <w:tc>
          <w:tcPr>
            <w:tcW w:w="720" w:type="dxa"/>
            <w:shd w:val="clear" w:color="auto" w:fill="CCEAF9" w:themeFill="accent1" w:themeFillTint="33"/>
            <w:noWrap/>
            <w:tcMar>
              <w:top w:w="58" w:type="dxa"/>
              <w:left w:w="0" w:type="dxa"/>
              <w:bottom w:w="58" w:type="dxa"/>
              <w:right w:w="115" w:type="dxa"/>
            </w:tcMar>
            <w:vAlign w:val="center"/>
          </w:tcPr>
          <w:p w14:paraId="2A06705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2,437</w:t>
            </w:r>
          </w:p>
        </w:tc>
        <w:tc>
          <w:tcPr>
            <w:tcW w:w="720" w:type="dxa"/>
            <w:shd w:val="clear" w:color="auto" w:fill="CCEAF9" w:themeFill="accent1" w:themeFillTint="33"/>
            <w:noWrap/>
            <w:tcMar>
              <w:top w:w="58" w:type="dxa"/>
              <w:left w:w="0" w:type="dxa"/>
              <w:bottom w:w="58" w:type="dxa"/>
            </w:tcMar>
            <w:vAlign w:val="center"/>
          </w:tcPr>
          <w:p w14:paraId="540FE90F"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1.0</w:t>
            </w:r>
          </w:p>
        </w:tc>
        <w:tc>
          <w:tcPr>
            <w:tcW w:w="720" w:type="dxa"/>
            <w:shd w:val="clear" w:color="auto" w:fill="CCEAF9" w:themeFill="accent1" w:themeFillTint="33"/>
            <w:noWrap/>
            <w:tcMar>
              <w:top w:w="58" w:type="dxa"/>
              <w:left w:w="0" w:type="dxa"/>
              <w:bottom w:w="58" w:type="dxa"/>
              <w:right w:w="115" w:type="dxa"/>
            </w:tcMar>
            <w:vAlign w:val="center"/>
          </w:tcPr>
          <w:p w14:paraId="016CB42D"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2,067</w:t>
            </w:r>
          </w:p>
        </w:tc>
        <w:tc>
          <w:tcPr>
            <w:tcW w:w="720" w:type="dxa"/>
            <w:shd w:val="clear" w:color="auto" w:fill="CCEAF9" w:themeFill="accent1" w:themeFillTint="33"/>
            <w:noWrap/>
            <w:tcMar>
              <w:top w:w="58" w:type="dxa"/>
              <w:left w:w="0" w:type="dxa"/>
              <w:bottom w:w="58" w:type="dxa"/>
              <w:right w:w="115" w:type="dxa"/>
            </w:tcMar>
            <w:vAlign w:val="center"/>
          </w:tcPr>
          <w:p w14:paraId="4248E004"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2,280</w:t>
            </w:r>
          </w:p>
        </w:tc>
        <w:tc>
          <w:tcPr>
            <w:tcW w:w="720" w:type="dxa"/>
            <w:shd w:val="clear" w:color="auto" w:fill="CCEAF9" w:themeFill="accent1" w:themeFillTint="33"/>
            <w:noWrap/>
            <w:tcMar>
              <w:top w:w="58" w:type="dxa"/>
              <w:left w:w="0" w:type="dxa"/>
              <w:bottom w:w="58" w:type="dxa"/>
              <w:right w:w="115" w:type="dxa"/>
            </w:tcMar>
            <w:vAlign w:val="center"/>
          </w:tcPr>
          <w:p w14:paraId="00C6BFBE"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2,105</w:t>
            </w:r>
          </w:p>
        </w:tc>
        <w:tc>
          <w:tcPr>
            <w:tcW w:w="720" w:type="dxa"/>
            <w:shd w:val="clear" w:color="auto" w:fill="CCEAF9" w:themeFill="accent1" w:themeFillTint="33"/>
            <w:noWrap/>
            <w:tcMar>
              <w:top w:w="58" w:type="dxa"/>
              <w:left w:w="0" w:type="dxa"/>
              <w:bottom w:w="58" w:type="dxa"/>
              <w:right w:w="115" w:type="dxa"/>
            </w:tcMar>
            <w:vAlign w:val="center"/>
          </w:tcPr>
          <w:p w14:paraId="63B68322"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2,325</w:t>
            </w:r>
          </w:p>
        </w:tc>
        <w:tc>
          <w:tcPr>
            <w:tcW w:w="720" w:type="dxa"/>
            <w:shd w:val="clear" w:color="auto" w:fill="CCEAF9" w:themeFill="accent1" w:themeFillTint="33"/>
            <w:noWrap/>
            <w:tcMar>
              <w:top w:w="58" w:type="dxa"/>
              <w:left w:w="0" w:type="dxa"/>
              <w:bottom w:w="58" w:type="dxa"/>
            </w:tcMar>
            <w:vAlign w:val="center"/>
          </w:tcPr>
          <w:p w14:paraId="6BD1A882"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r>
      <w:tr w:rsidR="009A74ED" w:rsidRPr="001B1F4D" w14:paraId="289B8ABB" w14:textId="77777777" w:rsidTr="00CF16C2">
        <w:trPr>
          <w:cantSplit/>
          <w:trHeight w:val="255"/>
          <w:jc w:val="center"/>
        </w:trPr>
        <w:tc>
          <w:tcPr>
            <w:tcW w:w="661" w:type="dxa"/>
            <w:shd w:val="clear" w:color="auto" w:fill="FFFFFF"/>
            <w:noWrap/>
            <w:tcMar>
              <w:top w:w="58" w:type="dxa"/>
              <w:left w:w="115" w:type="dxa"/>
              <w:bottom w:w="58" w:type="dxa"/>
            </w:tcMar>
            <w:vAlign w:val="bottom"/>
          </w:tcPr>
          <w:p w14:paraId="10E223EF"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MA</w:t>
            </w:r>
          </w:p>
        </w:tc>
        <w:tc>
          <w:tcPr>
            <w:tcW w:w="810" w:type="dxa"/>
            <w:shd w:val="clear" w:color="auto" w:fill="FFFFFF"/>
            <w:noWrap/>
            <w:tcMar>
              <w:top w:w="58" w:type="dxa"/>
              <w:left w:w="0" w:type="dxa"/>
              <w:bottom w:w="58" w:type="dxa"/>
              <w:right w:w="115" w:type="dxa"/>
            </w:tcMar>
            <w:vAlign w:val="center"/>
          </w:tcPr>
          <w:p w14:paraId="4E894F75"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68,831</w:t>
            </w:r>
          </w:p>
        </w:tc>
        <w:tc>
          <w:tcPr>
            <w:tcW w:w="748" w:type="dxa"/>
            <w:shd w:val="clear" w:color="auto" w:fill="FFFFFF"/>
            <w:noWrap/>
            <w:tcMar>
              <w:top w:w="58" w:type="dxa"/>
              <w:left w:w="0" w:type="dxa"/>
              <w:bottom w:w="58" w:type="dxa"/>
              <w:right w:w="115" w:type="dxa"/>
            </w:tcMar>
            <w:vAlign w:val="center"/>
          </w:tcPr>
          <w:p w14:paraId="04BA07DC"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76,990</w:t>
            </w:r>
          </w:p>
        </w:tc>
        <w:tc>
          <w:tcPr>
            <w:tcW w:w="720" w:type="dxa"/>
            <w:shd w:val="clear" w:color="auto" w:fill="FFFFFF"/>
            <w:noWrap/>
            <w:tcMar>
              <w:top w:w="58" w:type="dxa"/>
              <w:left w:w="0" w:type="dxa"/>
              <w:bottom w:w="58" w:type="dxa"/>
            </w:tcMar>
            <w:vAlign w:val="center"/>
          </w:tcPr>
          <w:p w14:paraId="6FCC39EB"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1.3</w:t>
            </w:r>
          </w:p>
        </w:tc>
        <w:tc>
          <w:tcPr>
            <w:tcW w:w="720" w:type="dxa"/>
            <w:shd w:val="clear" w:color="auto" w:fill="FFFFFF"/>
            <w:noWrap/>
            <w:tcMar>
              <w:top w:w="58" w:type="dxa"/>
              <w:left w:w="0" w:type="dxa"/>
              <w:bottom w:w="58" w:type="dxa"/>
              <w:right w:w="115" w:type="dxa"/>
            </w:tcMar>
            <w:vAlign w:val="center"/>
          </w:tcPr>
          <w:p w14:paraId="08D6D2A7"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13,864</w:t>
            </w:r>
          </w:p>
        </w:tc>
        <w:tc>
          <w:tcPr>
            <w:tcW w:w="720" w:type="dxa"/>
            <w:shd w:val="clear" w:color="auto" w:fill="FFFFFF"/>
            <w:noWrap/>
            <w:tcMar>
              <w:top w:w="58" w:type="dxa"/>
              <w:left w:w="0" w:type="dxa"/>
              <w:bottom w:w="58" w:type="dxa"/>
              <w:right w:w="115" w:type="dxa"/>
            </w:tcMar>
            <w:vAlign w:val="center"/>
          </w:tcPr>
          <w:p w14:paraId="345C01E6"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14,998</w:t>
            </w:r>
          </w:p>
        </w:tc>
        <w:tc>
          <w:tcPr>
            <w:tcW w:w="720" w:type="dxa"/>
            <w:shd w:val="clear" w:color="auto" w:fill="FFFFFF"/>
            <w:noWrap/>
            <w:tcMar>
              <w:top w:w="58" w:type="dxa"/>
              <w:left w:w="0" w:type="dxa"/>
              <w:bottom w:w="58" w:type="dxa"/>
              <w:right w:w="115" w:type="dxa"/>
            </w:tcMar>
            <w:vAlign w:val="center"/>
          </w:tcPr>
          <w:p w14:paraId="48C194FE"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14,888</w:t>
            </w:r>
          </w:p>
        </w:tc>
        <w:tc>
          <w:tcPr>
            <w:tcW w:w="720" w:type="dxa"/>
            <w:shd w:val="clear" w:color="auto" w:fill="FFFFFF"/>
            <w:noWrap/>
            <w:tcMar>
              <w:top w:w="58" w:type="dxa"/>
              <w:left w:w="0" w:type="dxa"/>
              <w:bottom w:w="58" w:type="dxa"/>
              <w:right w:w="115" w:type="dxa"/>
            </w:tcMar>
            <w:vAlign w:val="center"/>
          </w:tcPr>
          <w:p w14:paraId="457DB634"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16,209</w:t>
            </w:r>
          </w:p>
        </w:tc>
        <w:tc>
          <w:tcPr>
            <w:tcW w:w="720" w:type="dxa"/>
            <w:shd w:val="clear" w:color="auto" w:fill="FFFFFF"/>
            <w:noWrap/>
            <w:tcMar>
              <w:top w:w="58" w:type="dxa"/>
              <w:left w:w="0" w:type="dxa"/>
              <w:bottom w:w="58" w:type="dxa"/>
            </w:tcMar>
            <w:vAlign w:val="center"/>
          </w:tcPr>
          <w:p w14:paraId="02C3D23E"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0.9</w:t>
            </w:r>
          </w:p>
        </w:tc>
        <w:tc>
          <w:tcPr>
            <w:tcW w:w="720" w:type="dxa"/>
            <w:shd w:val="clear" w:color="auto" w:fill="FFFFFF"/>
            <w:noWrap/>
            <w:tcMar>
              <w:top w:w="58" w:type="dxa"/>
              <w:left w:w="0" w:type="dxa"/>
              <w:bottom w:w="58" w:type="dxa"/>
              <w:right w:w="115" w:type="dxa"/>
            </w:tcMar>
            <w:vAlign w:val="center"/>
          </w:tcPr>
          <w:p w14:paraId="2D6556D6"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10,787</w:t>
            </w:r>
          </w:p>
        </w:tc>
        <w:tc>
          <w:tcPr>
            <w:tcW w:w="720" w:type="dxa"/>
            <w:shd w:val="clear" w:color="auto" w:fill="FFFFFF"/>
            <w:noWrap/>
            <w:tcMar>
              <w:top w:w="58" w:type="dxa"/>
              <w:left w:w="0" w:type="dxa"/>
              <w:bottom w:w="58" w:type="dxa"/>
              <w:right w:w="115" w:type="dxa"/>
            </w:tcMar>
            <w:vAlign w:val="center"/>
          </w:tcPr>
          <w:p w14:paraId="23C12012"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11,533</w:t>
            </w:r>
          </w:p>
        </w:tc>
        <w:tc>
          <w:tcPr>
            <w:tcW w:w="720" w:type="dxa"/>
            <w:shd w:val="clear" w:color="auto" w:fill="FFFFFF"/>
            <w:noWrap/>
            <w:tcMar>
              <w:top w:w="58" w:type="dxa"/>
              <w:left w:w="0" w:type="dxa"/>
              <w:bottom w:w="58" w:type="dxa"/>
              <w:right w:w="115" w:type="dxa"/>
            </w:tcMar>
            <w:vAlign w:val="center"/>
          </w:tcPr>
          <w:p w14:paraId="42F8123A"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11,142</w:t>
            </w:r>
          </w:p>
        </w:tc>
        <w:tc>
          <w:tcPr>
            <w:tcW w:w="720" w:type="dxa"/>
            <w:shd w:val="clear" w:color="auto" w:fill="FFFFFF"/>
            <w:noWrap/>
            <w:tcMar>
              <w:top w:w="58" w:type="dxa"/>
              <w:left w:w="0" w:type="dxa"/>
              <w:bottom w:w="58" w:type="dxa"/>
              <w:right w:w="115" w:type="dxa"/>
            </w:tcMar>
            <w:vAlign w:val="center"/>
          </w:tcPr>
          <w:p w14:paraId="41E0240C"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11,938</w:t>
            </w:r>
          </w:p>
        </w:tc>
        <w:tc>
          <w:tcPr>
            <w:tcW w:w="720" w:type="dxa"/>
            <w:shd w:val="clear" w:color="auto" w:fill="FFFFFF"/>
            <w:noWrap/>
            <w:tcMar>
              <w:top w:w="58" w:type="dxa"/>
              <w:left w:w="0" w:type="dxa"/>
              <w:bottom w:w="58" w:type="dxa"/>
            </w:tcMar>
            <w:vAlign w:val="center"/>
          </w:tcPr>
          <w:p w14:paraId="4ED3A631"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9A74ED" w:rsidRPr="001B1F4D" w14:paraId="066A8FE6" w14:textId="77777777" w:rsidTr="00CF16C2">
        <w:trPr>
          <w:cantSplit/>
          <w:trHeight w:val="255"/>
          <w:jc w:val="center"/>
        </w:trPr>
        <w:tc>
          <w:tcPr>
            <w:tcW w:w="661" w:type="dxa"/>
            <w:shd w:val="clear" w:color="auto" w:fill="CCEAF9" w:themeFill="accent1" w:themeFillTint="33"/>
            <w:noWrap/>
            <w:tcMar>
              <w:top w:w="58" w:type="dxa"/>
              <w:left w:w="115" w:type="dxa"/>
              <w:bottom w:w="58" w:type="dxa"/>
            </w:tcMar>
            <w:vAlign w:val="bottom"/>
          </w:tcPr>
          <w:p w14:paraId="7225F51B"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NH</w:t>
            </w:r>
          </w:p>
        </w:tc>
        <w:tc>
          <w:tcPr>
            <w:tcW w:w="810" w:type="dxa"/>
            <w:shd w:val="clear" w:color="auto" w:fill="CCEAF9" w:themeFill="accent1" w:themeFillTint="33"/>
            <w:noWrap/>
            <w:tcMar>
              <w:top w:w="58" w:type="dxa"/>
              <w:left w:w="0" w:type="dxa"/>
              <w:bottom w:w="58" w:type="dxa"/>
              <w:right w:w="115" w:type="dxa"/>
            </w:tcMar>
            <w:vAlign w:val="center"/>
          </w:tcPr>
          <w:p w14:paraId="35391075"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12,920</w:t>
            </w:r>
          </w:p>
        </w:tc>
        <w:tc>
          <w:tcPr>
            <w:tcW w:w="748" w:type="dxa"/>
            <w:shd w:val="clear" w:color="auto" w:fill="CCEAF9" w:themeFill="accent1" w:themeFillTint="33"/>
            <w:noWrap/>
            <w:tcMar>
              <w:top w:w="58" w:type="dxa"/>
              <w:left w:w="0" w:type="dxa"/>
              <w:bottom w:w="58" w:type="dxa"/>
              <w:right w:w="115" w:type="dxa"/>
            </w:tcMar>
            <w:vAlign w:val="center"/>
          </w:tcPr>
          <w:p w14:paraId="693937E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14,390</w:t>
            </w:r>
          </w:p>
        </w:tc>
        <w:tc>
          <w:tcPr>
            <w:tcW w:w="720" w:type="dxa"/>
            <w:shd w:val="clear" w:color="auto" w:fill="CCEAF9" w:themeFill="accent1" w:themeFillTint="33"/>
            <w:noWrap/>
            <w:tcMar>
              <w:top w:w="58" w:type="dxa"/>
              <w:left w:w="0" w:type="dxa"/>
              <w:bottom w:w="58" w:type="dxa"/>
            </w:tcMar>
            <w:vAlign w:val="center"/>
          </w:tcPr>
          <w:p w14:paraId="5321E212"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1.2</w:t>
            </w:r>
          </w:p>
        </w:tc>
        <w:tc>
          <w:tcPr>
            <w:tcW w:w="720" w:type="dxa"/>
            <w:shd w:val="clear" w:color="auto" w:fill="CCEAF9" w:themeFill="accent1" w:themeFillTint="33"/>
            <w:noWrap/>
            <w:tcMar>
              <w:top w:w="58" w:type="dxa"/>
              <w:left w:w="0" w:type="dxa"/>
              <w:bottom w:w="58" w:type="dxa"/>
              <w:right w:w="115" w:type="dxa"/>
            </w:tcMar>
            <w:vAlign w:val="center"/>
          </w:tcPr>
          <w:p w14:paraId="55EAA7E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2,445</w:t>
            </w:r>
          </w:p>
        </w:tc>
        <w:tc>
          <w:tcPr>
            <w:tcW w:w="720" w:type="dxa"/>
            <w:shd w:val="clear" w:color="auto" w:fill="CCEAF9" w:themeFill="accent1" w:themeFillTint="33"/>
            <w:noWrap/>
            <w:tcMar>
              <w:top w:w="58" w:type="dxa"/>
              <w:left w:w="0" w:type="dxa"/>
              <w:bottom w:w="58" w:type="dxa"/>
              <w:right w:w="115" w:type="dxa"/>
            </w:tcMar>
            <w:vAlign w:val="center"/>
          </w:tcPr>
          <w:p w14:paraId="2637265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2,587</w:t>
            </w:r>
          </w:p>
        </w:tc>
        <w:tc>
          <w:tcPr>
            <w:tcW w:w="720" w:type="dxa"/>
            <w:shd w:val="clear" w:color="auto" w:fill="CCEAF9" w:themeFill="accent1" w:themeFillTint="33"/>
            <w:noWrap/>
            <w:tcMar>
              <w:top w:w="58" w:type="dxa"/>
              <w:left w:w="0" w:type="dxa"/>
              <w:bottom w:w="58" w:type="dxa"/>
              <w:right w:w="115" w:type="dxa"/>
            </w:tcMar>
            <w:vAlign w:val="center"/>
          </w:tcPr>
          <w:p w14:paraId="2CC611D9"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2,568</w:t>
            </w:r>
          </w:p>
        </w:tc>
        <w:tc>
          <w:tcPr>
            <w:tcW w:w="720" w:type="dxa"/>
            <w:shd w:val="clear" w:color="auto" w:fill="CCEAF9" w:themeFill="accent1" w:themeFillTint="33"/>
            <w:noWrap/>
            <w:tcMar>
              <w:top w:w="58" w:type="dxa"/>
              <w:left w:w="0" w:type="dxa"/>
              <w:bottom w:w="58" w:type="dxa"/>
              <w:right w:w="115" w:type="dxa"/>
            </w:tcMar>
            <w:vAlign w:val="center"/>
          </w:tcPr>
          <w:p w14:paraId="45A7878D"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2,720</w:t>
            </w:r>
          </w:p>
        </w:tc>
        <w:tc>
          <w:tcPr>
            <w:tcW w:w="720" w:type="dxa"/>
            <w:shd w:val="clear" w:color="auto" w:fill="CCEAF9" w:themeFill="accent1" w:themeFillTint="33"/>
            <w:noWrap/>
            <w:tcMar>
              <w:top w:w="58" w:type="dxa"/>
              <w:left w:w="0" w:type="dxa"/>
              <w:bottom w:w="58" w:type="dxa"/>
            </w:tcMar>
            <w:vAlign w:val="center"/>
          </w:tcPr>
          <w:p w14:paraId="4707FE45"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c>
          <w:tcPr>
            <w:tcW w:w="720" w:type="dxa"/>
            <w:shd w:val="clear" w:color="auto" w:fill="CCEAF9" w:themeFill="accent1" w:themeFillTint="33"/>
            <w:noWrap/>
            <w:tcMar>
              <w:top w:w="58" w:type="dxa"/>
              <w:left w:w="0" w:type="dxa"/>
              <w:bottom w:w="58" w:type="dxa"/>
              <w:right w:w="115" w:type="dxa"/>
            </w:tcMar>
            <w:vAlign w:val="center"/>
          </w:tcPr>
          <w:p w14:paraId="18B272F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2,025</w:t>
            </w:r>
          </w:p>
        </w:tc>
        <w:tc>
          <w:tcPr>
            <w:tcW w:w="720" w:type="dxa"/>
            <w:shd w:val="clear" w:color="auto" w:fill="CCEAF9" w:themeFill="accent1" w:themeFillTint="33"/>
            <w:noWrap/>
            <w:tcMar>
              <w:top w:w="58" w:type="dxa"/>
              <w:left w:w="0" w:type="dxa"/>
              <w:bottom w:w="58" w:type="dxa"/>
              <w:right w:w="115" w:type="dxa"/>
            </w:tcMar>
            <w:vAlign w:val="center"/>
          </w:tcPr>
          <w:p w14:paraId="10F01AD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2,073</w:t>
            </w:r>
          </w:p>
        </w:tc>
        <w:tc>
          <w:tcPr>
            <w:tcW w:w="720" w:type="dxa"/>
            <w:shd w:val="clear" w:color="auto" w:fill="CCEAF9" w:themeFill="accent1" w:themeFillTint="33"/>
            <w:noWrap/>
            <w:tcMar>
              <w:top w:w="58" w:type="dxa"/>
              <w:left w:w="0" w:type="dxa"/>
              <w:bottom w:w="58" w:type="dxa"/>
              <w:right w:w="115" w:type="dxa"/>
            </w:tcMar>
            <w:vAlign w:val="center"/>
          </w:tcPr>
          <w:p w14:paraId="664144D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2,093</w:t>
            </w:r>
          </w:p>
        </w:tc>
        <w:tc>
          <w:tcPr>
            <w:tcW w:w="720" w:type="dxa"/>
            <w:shd w:val="clear" w:color="auto" w:fill="CCEAF9" w:themeFill="accent1" w:themeFillTint="33"/>
            <w:noWrap/>
            <w:tcMar>
              <w:top w:w="58" w:type="dxa"/>
              <w:left w:w="0" w:type="dxa"/>
              <w:bottom w:w="58" w:type="dxa"/>
              <w:right w:w="115" w:type="dxa"/>
            </w:tcMar>
            <w:vAlign w:val="center"/>
          </w:tcPr>
          <w:p w14:paraId="70FA3362"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2,146</w:t>
            </w:r>
          </w:p>
        </w:tc>
        <w:tc>
          <w:tcPr>
            <w:tcW w:w="720" w:type="dxa"/>
            <w:shd w:val="clear" w:color="auto" w:fill="CCEAF9" w:themeFill="accent1" w:themeFillTint="33"/>
            <w:noWrap/>
            <w:tcMar>
              <w:top w:w="58" w:type="dxa"/>
              <w:left w:w="0" w:type="dxa"/>
              <w:bottom w:w="58" w:type="dxa"/>
            </w:tcMar>
            <w:vAlign w:val="center"/>
          </w:tcPr>
          <w:p w14:paraId="4992238C"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0.3</w:t>
            </w:r>
          </w:p>
        </w:tc>
      </w:tr>
      <w:tr w:rsidR="009A74ED" w:rsidRPr="001B1F4D" w14:paraId="42077060" w14:textId="77777777" w:rsidTr="00CF16C2">
        <w:trPr>
          <w:cantSplit/>
          <w:trHeight w:val="255"/>
          <w:jc w:val="center"/>
        </w:trPr>
        <w:tc>
          <w:tcPr>
            <w:tcW w:w="661" w:type="dxa"/>
            <w:shd w:val="clear" w:color="auto" w:fill="FFFFFF"/>
            <w:noWrap/>
            <w:tcMar>
              <w:top w:w="58" w:type="dxa"/>
              <w:left w:w="115" w:type="dxa"/>
              <w:bottom w:w="58" w:type="dxa"/>
            </w:tcMar>
            <w:vAlign w:val="bottom"/>
          </w:tcPr>
          <w:p w14:paraId="411F1C75"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RI</w:t>
            </w:r>
          </w:p>
        </w:tc>
        <w:tc>
          <w:tcPr>
            <w:tcW w:w="810" w:type="dxa"/>
            <w:shd w:val="clear" w:color="auto" w:fill="FFFFFF"/>
            <w:noWrap/>
            <w:tcMar>
              <w:top w:w="58" w:type="dxa"/>
              <w:left w:w="0" w:type="dxa"/>
              <w:bottom w:w="58" w:type="dxa"/>
              <w:right w:w="115" w:type="dxa"/>
            </w:tcMar>
            <w:vAlign w:val="center"/>
          </w:tcPr>
          <w:p w14:paraId="61938D4B"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9,395</w:t>
            </w:r>
          </w:p>
        </w:tc>
        <w:tc>
          <w:tcPr>
            <w:tcW w:w="748" w:type="dxa"/>
            <w:shd w:val="clear" w:color="auto" w:fill="FFFFFF"/>
            <w:noWrap/>
            <w:tcMar>
              <w:top w:w="58" w:type="dxa"/>
              <w:left w:w="0" w:type="dxa"/>
              <w:bottom w:w="58" w:type="dxa"/>
              <w:right w:w="115" w:type="dxa"/>
            </w:tcMar>
            <w:vAlign w:val="center"/>
          </w:tcPr>
          <w:p w14:paraId="74A0597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10,614</w:t>
            </w:r>
          </w:p>
        </w:tc>
        <w:tc>
          <w:tcPr>
            <w:tcW w:w="720" w:type="dxa"/>
            <w:shd w:val="clear" w:color="auto" w:fill="FFFFFF"/>
            <w:noWrap/>
            <w:tcMar>
              <w:top w:w="58" w:type="dxa"/>
              <w:left w:w="0" w:type="dxa"/>
              <w:bottom w:w="58" w:type="dxa"/>
            </w:tcMar>
            <w:vAlign w:val="center"/>
          </w:tcPr>
          <w:p w14:paraId="46947D80"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1.4</w:t>
            </w:r>
          </w:p>
        </w:tc>
        <w:tc>
          <w:tcPr>
            <w:tcW w:w="720" w:type="dxa"/>
            <w:shd w:val="clear" w:color="auto" w:fill="FFFFFF"/>
            <w:noWrap/>
            <w:tcMar>
              <w:top w:w="58" w:type="dxa"/>
              <w:left w:w="0" w:type="dxa"/>
              <w:bottom w:w="58" w:type="dxa"/>
              <w:right w:w="115" w:type="dxa"/>
            </w:tcMar>
            <w:vAlign w:val="center"/>
          </w:tcPr>
          <w:p w14:paraId="499F608E"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2,118</w:t>
            </w:r>
          </w:p>
        </w:tc>
        <w:tc>
          <w:tcPr>
            <w:tcW w:w="720" w:type="dxa"/>
            <w:shd w:val="clear" w:color="auto" w:fill="FFFFFF"/>
            <w:noWrap/>
            <w:tcMar>
              <w:top w:w="58" w:type="dxa"/>
              <w:left w:w="0" w:type="dxa"/>
              <w:bottom w:w="58" w:type="dxa"/>
              <w:right w:w="115" w:type="dxa"/>
            </w:tcMar>
            <w:vAlign w:val="center"/>
          </w:tcPr>
          <w:p w14:paraId="0248054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2,342</w:t>
            </w:r>
          </w:p>
        </w:tc>
        <w:tc>
          <w:tcPr>
            <w:tcW w:w="720" w:type="dxa"/>
            <w:shd w:val="clear" w:color="auto" w:fill="FFFFFF"/>
            <w:noWrap/>
            <w:tcMar>
              <w:top w:w="58" w:type="dxa"/>
              <w:left w:w="0" w:type="dxa"/>
              <w:bottom w:w="58" w:type="dxa"/>
              <w:right w:w="115" w:type="dxa"/>
            </w:tcMar>
            <w:vAlign w:val="center"/>
          </w:tcPr>
          <w:p w14:paraId="1FFE1DAD"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2,313</w:t>
            </w:r>
          </w:p>
        </w:tc>
        <w:tc>
          <w:tcPr>
            <w:tcW w:w="720" w:type="dxa"/>
            <w:shd w:val="clear" w:color="auto" w:fill="FFFFFF"/>
            <w:noWrap/>
            <w:tcMar>
              <w:top w:w="58" w:type="dxa"/>
              <w:left w:w="0" w:type="dxa"/>
              <w:bottom w:w="58" w:type="dxa"/>
              <w:right w:w="115" w:type="dxa"/>
            </w:tcMar>
            <w:vAlign w:val="center"/>
          </w:tcPr>
          <w:p w14:paraId="72C53CE1"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2,583</w:t>
            </w:r>
          </w:p>
        </w:tc>
        <w:tc>
          <w:tcPr>
            <w:tcW w:w="720" w:type="dxa"/>
            <w:shd w:val="clear" w:color="auto" w:fill="FFFFFF"/>
            <w:noWrap/>
            <w:tcMar>
              <w:top w:w="58" w:type="dxa"/>
              <w:left w:w="0" w:type="dxa"/>
              <w:bottom w:w="58" w:type="dxa"/>
            </w:tcMar>
            <w:vAlign w:val="center"/>
          </w:tcPr>
          <w:p w14:paraId="13BD7C13"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1.1</w:t>
            </w:r>
          </w:p>
        </w:tc>
        <w:tc>
          <w:tcPr>
            <w:tcW w:w="720" w:type="dxa"/>
            <w:shd w:val="clear" w:color="auto" w:fill="FFFFFF"/>
            <w:noWrap/>
            <w:tcMar>
              <w:top w:w="58" w:type="dxa"/>
              <w:left w:w="0" w:type="dxa"/>
              <w:bottom w:w="58" w:type="dxa"/>
              <w:right w:w="115" w:type="dxa"/>
            </w:tcMar>
            <w:vAlign w:val="center"/>
          </w:tcPr>
          <w:p w14:paraId="674DB3F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1,500</w:t>
            </w:r>
          </w:p>
        </w:tc>
        <w:tc>
          <w:tcPr>
            <w:tcW w:w="720" w:type="dxa"/>
            <w:shd w:val="clear" w:color="auto" w:fill="FFFFFF"/>
            <w:noWrap/>
            <w:tcMar>
              <w:top w:w="58" w:type="dxa"/>
              <w:left w:w="0" w:type="dxa"/>
              <w:bottom w:w="58" w:type="dxa"/>
              <w:right w:w="115" w:type="dxa"/>
            </w:tcMar>
            <w:vAlign w:val="center"/>
          </w:tcPr>
          <w:p w14:paraId="2AFD6352"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1,595</w:t>
            </w:r>
          </w:p>
        </w:tc>
        <w:tc>
          <w:tcPr>
            <w:tcW w:w="720" w:type="dxa"/>
            <w:shd w:val="clear" w:color="auto" w:fill="FFFFFF"/>
            <w:noWrap/>
            <w:tcMar>
              <w:top w:w="58" w:type="dxa"/>
              <w:left w:w="0" w:type="dxa"/>
              <w:bottom w:w="58" w:type="dxa"/>
              <w:right w:w="115" w:type="dxa"/>
            </w:tcMar>
            <w:vAlign w:val="center"/>
          </w:tcPr>
          <w:p w14:paraId="55D805CC"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1,540</w:t>
            </w:r>
          </w:p>
        </w:tc>
        <w:tc>
          <w:tcPr>
            <w:tcW w:w="720" w:type="dxa"/>
            <w:shd w:val="clear" w:color="auto" w:fill="FFFFFF"/>
            <w:noWrap/>
            <w:tcMar>
              <w:top w:w="58" w:type="dxa"/>
              <w:left w:w="0" w:type="dxa"/>
              <w:bottom w:w="58" w:type="dxa"/>
              <w:right w:w="115" w:type="dxa"/>
            </w:tcMar>
            <w:vAlign w:val="center"/>
          </w:tcPr>
          <w:p w14:paraId="5B63481D"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1,643</w:t>
            </w:r>
          </w:p>
        </w:tc>
        <w:tc>
          <w:tcPr>
            <w:tcW w:w="720" w:type="dxa"/>
            <w:shd w:val="clear" w:color="auto" w:fill="FFFFFF"/>
            <w:noWrap/>
            <w:tcMar>
              <w:top w:w="58" w:type="dxa"/>
              <w:left w:w="0" w:type="dxa"/>
              <w:bottom w:w="58" w:type="dxa"/>
            </w:tcMar>
            <w:vAlign w:val="center"/>
          </w:tcPr>
          <w:p w14:paraId="0AD254AF"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r>
      <w:tr w:rsidR="009A74ED" w:rsidRPr="001B1F4D" w14:paraId="44FA2EFF" w14:textId="77777777" w:rsidTr="00CF16C2">
        <w:trPr>
          <w:cantSplit/>
          <w:trHeight w:val="270"/>
          <w:jc w:val="center"/>
        </w:trPr>
        <w:tc>
          <w:tcPr>
            <w:tcW w:w="661" w:type="dxa"/>
            <w:shd w:val="clear" w:color="auto" w:fill="CCEAF9" w:themeFill="accent1" w:themeFillTint="33"/>
            <w:noWrap/>
            <w:tcMar>
              <w:top w:w="58" w:type="dxa"/>
              <w:left w:w="115" w:type="dxa"/>
              <w:bottom w:w="58" w:type="dxa"/>
            </w:tcMar>
            <w:vAlign w:val="bottom"/>
          </w:tcPr>
          <w:p w14:paraId="326EF28F" w14:textId="77777777" w:rsidR="001B1F4D" w:rsidRPr="001B1F4D" w:rsidRDefault="001B1F4D" w:rsidP="001B1F4D">
            <w:pPr>
              <w:keepNext/>
              <w:keepLines/>
              <w:spacing w:after="0" w:line="240" w:lineRule="auto"/>
              <w:rPr>
                <w:rFonts w:asciiTheme="minorHAnsi" w:eastAsia="Arial Unicode MS" w:hAnsiTheme="minorHAnsi" w:cs="Arial"/>
                <w:b/>
                <w:sz w:val="18"/>
                <w:szCs w:val="18"/>
                <w:highlight w:val="yellow"/>
              </w:rPr>
            </w:pPr>
            <w:r w:rsidRPr="001B1F4D">
              <w:rPr>
                <w:rFonts w:asciiTheme="minorHAnsi" w:hAnsiTheme="minorHAnsi"/>
                <w:b/>
                <w:sz w:val="18"/>
                <w:szCs w:val="18"/>
              </w:rPr>
              <w:t>VT</w:t>
            </w:r>
          </w:p>
        </w:tc>
        <w:tc>
          <w:tcPr>
            <w:tcW w:w="810" w:type="dxa"/>
            <w:shd w:val="clear" w:color="auto" w:fill="CCEAF9" w:themeFill="accent1" w:themeFillTint="33"/>
            <w:noWrap/>
            <w:tcMar>
              <w:top w:w="58" w:type="dxa"/>
              <w:left w:w="0" w:type="dxa"/>
              <w:bottom w:w="58" w:type="dxa"/>
              <w:right w:w="115" w:type="dxa"/>
            </w:tcMar>
            <w:vAlign w:val="center"/>
          </w:tcPr>
          <w:p w14:paraId="655C301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6,852</w:t>
            </w:r>
          </w:p>
        </w:tc>
        <w:tc>
          <w:tcPr>
            <w:tcW w:w="748" w:type="dxa"/>
            <w:shd w:val="clear" w:color="auto" w:fill="CCEAF9" w:themeFill="accent1" w:themeFillTint="33"/>
            <w:noWrap/>
            <w:tcMar>
              <w:top w:w="58" w:type="dxa"/>
              <w:left w:w="0" w:type="dxa"/>
              <w:bottom w:w="58" w:type="dxa"/>
              <w:right w:w="115" w:type="dxa"/>
            </w:tcMar>
            <w:vAlign w:val="center"/>
          </w:tcPr>
          <w:p w14:paraId="1CACC708"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7,279</w:t>
            </w:r>
          </w:p>
        </w:tc>
        <w:tc>
          <w:tcPr>
            <w:tcW w:w="720" w:type="dxa"/>
            <w:shd w:val="clear" w:color="auto" w:fill="CCEAF9" w:themeFill="accent1" w:themeFillTint="33"/>
            <w:noWrap/>
            <w:tcMar>
              <w:top w:w="58" w:type="dxa"/>
              <w:left w:w="0" w:type="dxa"/>
              <w:bottom w:w="58" w:type="dxa"/>
            </w:tcMar>
            <w:vAlign w:val="center"/>
          </w:tcPr>
          <w:p w14:paraId="2B5C42FE"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0.7</w:t>
            </w:r>
          </w:p>
        </w:tc>
        <w:tc>
          <w:tcPr>
            <w:tcW w:w="720" w:type="dxa"/>
            <w:shd w:val="clear" w:color="auto" w:fill="CCEAF9" w:themeFill="accent1" w:themeFillTint="33"/>
            <w:noWrap/>
            <w:tcMar>
              <w:top w:w="58" w:type="dxa"/>
              <w:left w:w="0" w:type="dxa"/>
              <w:bottom w:w="58" w:type="dxa"/>
              <w:right w:w="115" w:type="dxa"/>
            </w:tcMar>
            <w:vAlign w:val="center"/>
          </w:tcPr>
          <w:p w14:paraId="0D82CFE3"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095</w:t>
            </w:r>
          </w:p>
        </w:tc>
        <w:tc>
          <w:tcPr>
            <w:tcW w:w="720" w:type="dxa"/>
            <w:shd w:val="clear" w:color="auto" w:fill="CCEAF9" w:themeFill="accent1" w:themeFillTint="33"/>
            <w:noWrap/>
            <w:tcMar>
              <w:top w:w="58" w:type="dxa"/>
              <w:left w:w="0" w:type="dxa"/>
              <w:bottom w:w="58" w:type="dxa"/>
              <w:right w:w="115" w:type="dxa"/>
            </w:tcMar>
            <w:vAlign w:val="center"/>
          </w:tcPr>
          <w:p w14:paraId="6E6DE11F"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148</w:t>
            </w:r>
          </w:p>
        </w:tc>
        <w:tc>
          <w:tcPr>
            <w:tcW w:w="720" w:type="dxa"/>
            <w:shd w:val="clear" w:color="auto" w:fill="CCEAF9" w:themeFill="accent1" w:themeFillTint="33"/>
            <w:noWrap/>
            <w:tcMar>
              <w:top w:w="58" w:type="dxa"/>
              <w:left w:w="0" w:type="dxa"/>
              <w:bottom w:w="58" w:type="dxa"/>
              <w:right w:w="115" w:type="dxa"/>
            </w:tcMar>
            <w:vAlign w:val="center"/>
          </w:tcPr>
          <w:p w14:paraId="0862622B"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w:t>
            </w:r>
            <w:r w:rsidR="00CF7F53">
              <w:rPr>
                <w:rFonts w:ascii="Calibri" w:hAnsi="Calibri"/>
                <w:sz w:val="18"/>
                <w:szCs w:val="18"/>
              </w:rPr>
              <w:t>,</w:t>
            </w:r>
            <w:r w:rsidRPr="00C80F73">
              <w:rPr>
                <w:rFonts w:ascii="Calibri" w:hAnsi="Calibri"/>
                <w:sz w:val="18"/>
                <w:szCs w:val="18"/>
              </w:rPr>
              <w:t>128</w:t>
            </w:r>
          </w:p>
        </w:tc>
        <w:tc>
          <w:tcPr>
            <w:tcW w:w="720" w:type="dxa"/>
            <w:shd w:val="clear" w:color="auto" w:fill="CCEAF9" w:themeFill="accent1" w:themeFillTint="33"/>
            <w:noWrap/>
            <w:tcMar>
              <w:top w:w="58" w:type="dxa"/>
              <w:left w:w="0" w:type="dxa"/>
              <w:bottom w:w="58" w:type="dxa"/>
              <w:right w:w="115" w:type="dxa"/>
            </w:tcMar>
            <w:vAlign w:val="center"/>
          </w:tcPr>
          <w:p w14:paraId="415CC17F"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1,184</w:t>
            </w:r>
          </w:p>
        </w:tc>
        <w:tc>
          <w:tcPr>
            <w:tcW w:w="720" w:type="dxa"/>
            <w:shd w:val="clear" w:color="auto" w:fill="CCEAF9" w:themeFill="accent1" w:themeFillTint="33"/>
            <w:noWrap/>
            <w:tcMar>
              <w:top w:w="58" w:type="dxa"/>
              <w:left w:w="0" w:type="dxa"/>
              <w:bottom w:w="58" w:type="dxa"/>
            </w:tcMar>
            <w:vAlign w:val="center"/>
          </w:tcPr>
          <w:p w14:paraId="1E77EF9E"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0.5</w:t>
            </w:r>
          </w:p>
        </w:tc>
        <w:tc>
          <w:tcPr>
            <w:tcW w:w="720" w:type="dxa"/>
            <w:shd w:val="clear" w:color="auto" w:fill="CCEAF9" w:themeFill="accent1" w:themeFillTint="33"/>
            <w:noWrap/>
            <w:tcMar>
              <w:top w:w="58" w:type="dxa"/>
              <w:left w:w="0" w:type="dxa"/>
              <w:bottom w:w="58" w:type="dxa"/>
              <w:right w:w="115" w:type="dxa"/>
            </w:tcMar>
            <w:vAlign w:val="center"/>
          </w:tcPr>
          <w:p w14:paraId="7A304900"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1,118</w:t>
            </w:r>
          </w:p>
        </w:tc>
        <w:tc>
          <w:tcPr>
            <w:tcW w:w="720" w:type="dxa"/>
            <w:shd w:val="clear" w:color="auto" w:fill="CCEAF9" w:themeFill="accent1" w:themeFillTint="33"/>
            <w:noWrap/>
            <w:tcMar>
              <w:top w:w="58" w:type="dxa"/>
              <w:left w:w="0" w:type="dxa"/>
              <w:bottom w:w="58" w:type="dxa"/>
              <w:right w:w="115" w:type="dxa"/>
            </w:tcMar>
            <w:vAlign w:val="center"/>
          </w:tcPr>
          <w:p w14:paraId="296D8594"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1,180</w:t>
            </w:r>
          </w:p>
        </w:tc>
        <w:tc>
          <w:tcPr>
            <w:tcW w:w="720" w:type="dxa"/>
            <w:shd w:val="clear" w:color="auto" w:fill="CCEAF9" w:themeFill="accent1" w:themeFillTint="33"/>
            <w:noWrap/>
            <w:tcMar>
              <w:top w:w="58" w:type="dxa"/>
              <w:left w:w="0" w:type="dxa"/>
              <w:bottom w:w="58" w:type="dxa"/>
              <w:right w:w="115" w:type="dxa"/>
            </w:tcMar>
            <w:vAlign w:val="center"/>
          </w:tcPr>
          <w:p w14:paraId="69AA4CEA"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1,155</w:t>
            </w:r>
          </w:p>
        </w:tc>
        <w:tc>
          <w:tcPr>
            <w:tcW w:w="720" w:type="dxa"/>
            <w:shd w:val="clear" w:color="auto" w:fill="CCEAF9" w:themeFill="accent1" w:themeFillTint="33"/>
            <w:noWrap/>
            <w:tcMar>
              <w:top w:w="58" w:type="dxa"/>
              <w:left w:w="0" w:type="dxa"/>
              <w:bottom w:w="58" w:type="dxa"/>
              <w:right w:w="115" w:type="dxa"/>
            </w:tcMar>
            <w:vAlign w:val="center"/>
          </w:tcPr>
          <w:p w14:paraId="45559828" w14:textId="77777777" w:rsidR="001B1F4D" w:rsidRPr="00C80F73" w:rsidRDefault="001B1F4D" w:rsidP="001B1F4D">
            <w:pPr>
              <w:keepNext/>
              <w:keepLines/>
              <w:autoSpaceDE w:val="0"/>
              <w:autoSpaceDN w:val="0"/>
              <w:adjustRightInd w:val="0"/>
              <w:spacing w:after="0" w:line="240" w:lineRule="auto"/>
              <w:jc w:val="right"/>
              <w:rPr>
                <w:rFonts w:asciiTheme="minorHAnsi" w:hAnsiTheme="minorHAnsi" w:cs="Calibri"/>
                <w:sz w:val="18"/>
                <w:szCs w:val="18"/>
                <w:highlight w:val="yellow"/>
              </w:rPr>
            </w:pPr>
            <w:r w:rsidRPr="00C80F73">
              <w:rPr>
                <w:rFonts w:ascii="Calibri" w:hAnsi="Calibri"/>
                <w:sz w:val="18"/>
                <w:szCs w:val="18"/>
              </w:rPr>
              <w:t>1,207</w:t>
            </w:r>
          </w:p>
        </w:tc>
        <w:tc>
          <w:tcPr>
            <w:tcW w:w="720" w:type="dxa"/>
            <w:shd w:val="clear" w:color="auto" w:fill="CCEAF9" w:themeFill="accent1" w:themeFillTint="33"/>
            <w:noWrap/>
            <w:tcMar>
              <w:top w:w="58" w:type="dxa"/>
              <w:left w:w="0" w:type="dxa"/>
              <w:bottom w:w="58" w:type="dxa"/>
            </w:tcMar>
            <w:vAlign w:val="center"/>
          </w:tcPr>
          <w:p w14:paraId="7FBB06A0" w14:textId="77777777" w:rsidR="001B1F4D" w:rsidRPr="00C80F73" w:rsidRDefault="001B1F4D" w:rsidP="001B1F4D">
            <w:pPr>
              <w:keepNext/>
              <w:keepLines/>
              <w:autoSpaceDE w:val="0"/>
              <w:autoSpaceDN w:val="0"/>
              <w:adjustRightInd w:val="0"/>
              <w:spacing w:after="0" w:line="240" w:lineRule="auto"/>
              <w:jc w:val="center"/>
              <w:rPr>
                <w:rFonts w:asciiTheme="minorHAnsi" w:hAnsiTheme="minorHAnsi" w:cs="Calibri"/>
                <w:sz w:val="18"/>
                <w:szCs w:val="18"/>
                <w:highlight w:val="yellow"/>
              </w:rPr>
            </w:pPr>
            <w:r w:rsidRPr="00C80F73">
              <w:rPr>
                <w:rFonts w:ascii="Calibri" w:hAnsi="Calibri"/>
                <w:sz w:val="18"/>
                <w:szCs w:val="18"/>
              </w:rPr>
              <w:t>0.6</w:t>
            </w:r>
          </w:p>
        </w:tc>
      </w:tr>
      <w:tr w:rsidR="009A74ED" w:rsidRPr="001B1F4D" w14:paraId="01E71561" w14:textId="77777777" w:rsidTr="00CF16C2">
        <w:trPr>
          <w:cantSplit/>
          <w:trHeight w:val="270"/>
          <w:jc w:val="center"/>
        </w:trPr>
        <w:tc>
          <w:tcPr>
            <w:tcW w:w="661" w:type="dxa"/>
            <w:shd w:val="clear" w:color="auto" w:fill="1795D2" w:themeFill="accent1"/>
            <w:noWrap/>
            <w:tcMar>
              <w:top w:w="58" w:type="dxa"/>
              <w:left w:w="115" w:type="dxa"/>
              <w:bottom w:w="58" w:type="dxa"/>
            </w:tcMar>
            <w:vAlign w:val="bottom"/>
          </w:tcPr>
          <w:p w14:paraId="4CE9C4AD" w14:textId="77777777" w:rsidR="001B1F4D" w:rsidRPr="001B1F4D" w:rsidRDefault="001B1F4D" w:rsidP="001B1F4D">
            <w:pPr>
              <w:keepNext/>
              <w:keepLines/>
              <w:spacing w:after="0" w:line="240" w:lineRule="auto"/>
              <w:rPr>
                <w:rFonts w:asciiTheme="minorHAnsi" w:hAnsiTheme="minorHAnsi" w:cs="Arial"/>
                <w:b/>
                <w:color w:val="FFFFFF" w:themeColor="background1"/>
                <w:sz w:val="18"/>
                <w:szCs w:val="18"/>
                <w:highlight w:val="yellow"/>
              </w:rPr>
            </w:pPr>
            <w:r w:rsidRPr="001B1F4D">
              <w:rPr>
                <w:rFonts w:asciiTheme="minorHAnsi" w:hAnsiTheme="minorHAnsi"/>
                <w:b/>
                <w:color w:val="FFFFFF" w:themeColor="background1"/>
                <w:sz w:val="18"/>
                <w:szCs w:val="18"/>
              </w:rPr>
              <w:t>ISO</w:t>
            </w:r>
          </w:p>
        </w:tc>
        <w:tc>
          <w:tcPr>
            <w:tcW w:w="810" w:type="dxa"/>
            <w:shd w:val="clear" w:color="auto" w:fill="1795D2" w:themeFill="accent1"/>
            <w:noWrap/>
            <w:tcMar>
              <w:top w:w="58" w:type="dxa"/>
              <w:left w:w="0" w:type="dxa"/>
              <w:bottom w:w="58" w:type="dxa"/>
              <w:right w:w="115" w:type="dxa"/>
            </w:tcMar>
            <w:vAlign w:val="center"/>
          </w:tcPr>
          <w:p w14:paraId="3F2B0B19"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145,610</w:t>
            </w:r>
          </w:p>
        </w:tc>
        <w:tc>
          <w:tcPr>
            <w:tcW w:w="748" w:type="dxa"/>
            <w:shd w:val="clear" w:color="auto" w:fill="1795D2" w:themeFill="accent1"/>
            <w:noWrap/>
            <w:tcMar>
              <w:top w:w="58" w:type="dxa"/>
              <w:left w:w="0" w:type="dxa"/>
              <w:bottom w:w="58" w:type="dxa"/>
              <w:right w:w="115" w:type="dxa"/>
            </w:tcMar>
            <w:vAlign w:val="center"/>
          </w:tcPr>
          <w:p w14:paraId="71558749"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161,312</w:t>
            </w:r>
          </w:p>
        </w:tc>
        <w:tc>
          <w:tcPr>
            <w:tcW w:w="720" w:type="dxa"/>
            <w:shd w:val="clear" w:color="auto" w:fill="1795D2" w:themeFill="accent1"/>
            <w:noWrap/>
            <w:tcMar>
              <w:top w:w="58" w:type="dxa"/>
              <w:left w:w="0" w:type="dxa"/>
              <w:bottom w:w="58" w:type="dxa"/>
            </w:tcMar>
            <w:vAlign w:val="center"/>
          </w:tcPr>
          <w:p w14:paraId="7933E71D" w14:textId="77777777"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1.1</w:t>
            </w:r>
          </w:p>
        </w:tc>
        <w:tc>
          <w:tcPr>
            <w:tcW w:w="720" w:type="dxa"/>
            <w:shd w:val="clear" w:color="auto" w:fill="1795D2" w:themeFill="accent1"/>
            <w:noWrap/>
            <w:tcMar>
              <w:top w:w="58" w:type="dxa"/>
              <w:left w:w="0" w:type="dxa"/>
              <w:bottom w:w="58" w:type="dxa"/>
              <w:right w:w="115" w:type="dxa"/>
            </w:tcMar>
            <w:vAlign w:val="center"/>
          </w:tcPr>
          <w:p w14:paraId="57363D71"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28,943</w:t>
            </w:r>
          </w:p>
        </w:tc>
        <w:tc>
          <w:tcPr>
            <w:tcW w:w="720" w:type="dxa"/>
            <w:shd w:val="clear" w:color="auto" w:fill="1795D2" w:themeFill="accent1"/>
            <w:noWrap/>
            <w:tcMar>
              <w:top w:w="58" w:type="dxa"/>
              <w:left w:w="0" w:type="dxa"/>
              <w:bottom w:w="58" w:type="dxa"/>
              <w:right w:w="115" w:type="dxa"/>
            </w:tcMar>
            <w:vAlign w:val="center"/>
          </w:tcPr>
          <w:p w14:paraId="56E00645"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30,831</w:t>
            </w:r>
          </w:p>
        </w:tc>
        <w:tc>
          <w:tcPr>
            <w:tcW w:w="720" w:type="dxa"/>
            <w:shd w:val="clear" w:color="auto" w:fill="1795D2" w:themeFill="accent1"/>
            <w:noWrap/>
            <w:tcMar>
              <w:top w:w="58" w:type="dxa"/>
              <w:left w:w="0" w:type="dxa"/>
              <w:bottom w:w="58" w:type="dxa"/>
              <w:right w:w="115" w:type="dxa"/>
            </w:tcMar>
            <w:vAlign w:val="center"/>
          </w:tcPr>
          <w:p w14:paraId="6B5D6652"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30,832</w:t>
            </w:r>
          </w:p>
        </w:tc>
        <w:tc>
          <w:tcPr>
            <w:tcW w:w="720" w:type="dxa"/>
            <w:shd w:val="clear" w:color="auto" w:fill="1795D2" w:themeFill="accent1"/>
            <w:noWrap/>
            <w:tcMar>
              <w:top w:w="58" w:type="dxa"/>
              <w:left w:w="0" w:type="dxa"/>
              <w:bottom w:w="58" w:type="dxa"/>
              <w:right w:w="115" w:type="dxa"/>
            </w:tcMar>
            <w:vAlign w:val="center"/>
          </w:tcPr>
          <w:p w14:paraId="792B4F26"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32,999</w:t>
            </w:r>
          </w:p>
        </w:tc>
        <w:tc>
          <w:tcPr>
            <w:tcW w:w="720" w:type="dxa"/>
            <w:shd w:val="clear" w:color="auto" w:fill="1795D2" w:themeFill="accent1"/>
            <w:noWrap/>
            <w:tcMar>
              <w:top w:w="58" w:type="dxa"/>
              <w:left w:w="0" w:type="dxa"/>
              <w:bottom w:w="58" w:type="dxa"/>
            </w:tcMar>
            <w:vAlign w:val="center"/>
          </w:tcPr>
          <w:p w14:paraId="0D884C49" w14:textId="77777777"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0.7</w:t>
            </w:r>
          </w:p>
        </w:tc>
        <w:tc>
          <w:tcPr>
            <w:tcW w:w="720" w:type="dxa"/>
            <w:shd w:val="clear" w:color="auto" w:fill="1795D2" w:themeFill="accent1"/>
            <w:noWrap/>
            <w:tcMar>
              <w:top w:w="58" w:type="dxa"/>
              <w:left w:w="0" w:type="dxa"/>
              <w:bottom w:w="58" w:type="dxa"/>
              <w:right w:w="115" w:type="dxa"/>
            </w:tcMar>
            <w:vAlign w:val="center"/>
          </w:tcPr>
          <w:p w14:paraId="40E33A27"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23,144</w:t>
            </w:r>
          </w:p>
        </w:tc>
        <w:tc>
          <w:tcPr>
            <w:tcW w:w="720" w:type="dxa"/>
            <w:shd w:val="clear" w:color="auto" w:fill="1795D2" w:themeFill="accent1"/>
            <w:noWrap/>
            <w:tcMar>
              <w:top w:w="58" w:type="dxa"/>
              <w:left w:w="0" w:type="dxa"/>
              <w:bottom w:w="58" w:type="dxa"/>
              <w:right w:w="115" w:type="dxa"/>
            </w:tcMar>
            <w:vAlign w:val="center"/>
          </w:tcPr>
          <w:p w14:paraId="683AB565"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24,376</w:t>
            </w:r>
          </w:p>
        </w:tc>
        <w:tc>
          <w:tcPr>
            <w:tcW w:w="720" w:type="dxa"/>
            <w:shd w:val="clear" w:color="auto" w:fill="1795D2" w:themeFill="accent1"/>
            <w:noWrap/>
            <w:tcMar>
              <w:top w:w="58" w:type="dxa"/>
              <w:left w:w="0" w:type="dxa"/>
              <w:bottom w:w="58" w:type="dxa"/>
              <w:right w:w="115" w:type="dxa"/>
            </w:tcMar>
            <w:vAlign w:val="center"/>
          </w:tcPr>
          <w:p w14:paraId="2F4DCB9E"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23,841</w:t>
            </w:r>
          </w:p>
        </w:tc>
        <w:tc>
          <w:tcPr>
            <w:tcW w:w="720" w:type="dxa"/>
            <w:shd w:val="clear" w:color="auto" w:fill="1795D2" w:themeFill="accent1"/>
            <w:noWrap/>
            <w:tcMar>
              <w:top w:w="58" w:type="dxa"/>
              <w:left w:w="0" w:type="dxa"/>
              <w:bottom w:w="58" w:type="dxa"/>
              <w:right w:w="115" w:type="dxa"/>
            </w:tcMar>
            <w:vAlign w:val="center"/>
          </w:tcPr>
          <w:p w14:paraId="568943C4" w14:textId="77777777" w:rsidR="001B1F4D" w:rsidRPr="001B1F4D" w:rsidRDefault="001B1F4D" w:rsidP="001B1F4D">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25,138</w:t>
            </w:r>
          </w:p>
        </w:tc>
        <w:tc>
          <w:tcPr>
            <w:tcW w:w="720" w:type="dxa"/>
            <w:shd w:val="clear" w:color="auto" w:fill="1795D2" w:themeFill="accent1"/>
            <w:noWrap/>
            <w:tcMar>
              <w:top w:w="58" w:type="dxa"/>
              <w:left w:w="0" w:type="dxa"/>
              <w:bottom w:w="58" w:type="dxa"/>
            </w:tcMar>
            <w:vAlign w:val="center"/>
          </w:tcPr>
          <w:p w14:paraId="6AF98819" w14:textId="77777777" w:rsidR="001B1F4D" w:rsidRPr="001B1F4D" w:rsidRDefault="001B1F4D" w:rsidP="001B1F4D">
            <w:pPr>
              <w:keepNext/>
              <w:keepLines/>
              <w:autoSpaceDE w:val="0"/>
              <w:autoSpaceDN w:val="0"/>
              <w:adjustRightInd w:val="0"/>
              <w:spacing w:after="0" w:line="240" w:lineRule="auto"/>
              <w:jc w:val="center"/>
              <w:rPr>
                <w:rFonts w:asciiTheme="minorHAnsi" w:hAnsiTheme="minorHAnsi" w:cs="Calibri"/>
                <w:b/>
                <w:color w:val="FFFFFF" w:themeColor="background1"/>
                <w:sz w:val="18"/>
                <w:szCs w:val="18"/>
                <w:highlight w:val="yellow"/>
              </w:rPr>
            </w:pPr>
            <w:r w:rsidRPr="001B1F4D">
              <w:rPr>
                <w:rFonts w:ascii="Calibri" w:hAnsi="Calibri"/>
                <w:b/>
                <w:bCs/>
                <w:color w:val="FFFFFF"/>
                <w:sz w:val="18"/>
                <w:szCs w:val="18"/>
              </w:rPr>
              <w:t>0.6</w:t>
            </w:r>
          </w:p>
        </w:tc>
      </w:tr>
    </w:tbl>
    <w:p w14:paraId="192BEC1A" w14:textId="77777777" w:rsidR="001B1F4D" w:rsidRPr="001B1F4D" w:rsidRDefault="001B1F4D" w:rsidP="00955D2D">
      <w:pPr>
        <w:keepNext/>
        <w:keepLines/>
        <w:numPr>
          <w:ilvl w:val="0"/>
          <w:numId w:val="28"/>
        </w:numPr>
        <w:tabs>
          <w:tab w:val="left" w:pos="-720"/>
        </w:tabs>
        <w:spacing w:before="120" w:after="80" w:line="240" w:lineRule="auto"/>
        <w:ind w:left="-270" w:right="-810" w:hanging="270"/>
        <w:rPr>
          <w:rFonts w:ascii="Calibri" w:eastAsia="Times New Roman" w:hAnsi="Calibri"/>
          <w:sz w:val="16"/>
          <w:szCs w:val="16"/>
        </w:rPr>
      </w:pPr>
      <w:r w:rsidRPr="001B1F4D">
        <w:rPr>
          <w:rFonts w:ascii="Calibri" w:eastAsia="Times New Roman" w:hAnsi="Calibri"/>
          <w:sz w:val="16"/>
          <w:szCs w:val="16"/>
        </w:rPr>
        <w:t>A variety of factors cause state growth rates to differ from the overall growth rate for New England.</w:t>
      </w:r>
    </w:p>
    <w:p w14:paraId="450D6E53" w14:textId="77777777" w:rsidR="001B1F4D" w:rsidRPr="001B1F4D" w:rsidRDefault="001B1F4D" w:rsidP="00955D2D">
      <w:pPr>
        <w:numPr>
          <w:ilvl w:val="0"/>
          <w:numId w:val="28"/>
        </w:numPr>
        <w:tabs>
          <w:tab w:val="left" w:pos="-720"/>
        </w:tabs>
        <w:spacing w:after="80" w:line="240" w:lineRule="auto"/>
        <w:ind w:left="-273" w:right="-806" w:hanging="274"/>
        <w:rPr>
          <w:rFonts w:ascii="Calibri" w:eastAsia="Times New Roman" w:hAnsi="Calibri"/>
          <w:sz w:val="16"/>
          <w:szCs w:val="16"/>
        </w:rPr>
      </w:pPr>
      <w:r w:rsidRPr="001B1F4D">
        <w:rPr>
          <w:rFonts w:ascii="Calibri" w:eastAsia="Times New Roman" w:hAnsi="Calibri"/>
          <w:sz w:val="16"/>
          <w:szCs w:val="16"/>
        </w:rPr>
        <w:t>The 90/10 gross forecast is used in the development of Installed Capacity Requirements (ICRs).</w:t>
      </w:r>
    </w:p>
    <w:p w14:paraId="2F4E3E92" w14:textId="77777777" w:rsidR="001B1F4D" w:rsidRPr="001B1F4D" w:rsidRDefault="001B1F4D" w:rsidP="00955D2D">
      <w:pPr>
        <w:numPr>
          <w:ilvl w:val="0"/>
          <w:numId w:val="28"/>
        </w:numPr>
        <w:tabs>
          <w:tab w:val="left" w:pos="-720"/>
        </w:tabs>
        <w:spacing w:line="240" w:lineRule="auto"/>
        <w:ind w:left="-273" w:right="-806" w:hanging="274"/>
        <w:rPr>
          <w:rFonts w:ascii="Calibri" w:eastAsia="Times New Roman" w:hAnsi="Calibri"/>
          <w:sz w:val="16"/>
          <w:szCs w:val="16"/>
        </w:rPr>
      </w:pPr>
      <w:r w:rsidRPr="001B1F4D">
        <w:rPr>
          <w:rFonts w:ascii="Calibri" w:eastAsia="Times New Roman" w:hAnsi="Calibri"/>
          <w:sz w:val="16"/>
          <w:szCs w:val="16"/>
        </w:rPr>
        <w:t>“CAGR” stands for compound annual growth rate. CAGR values shown for the summer and winter peak loads are for the 50/50 forecasts.</w:t>
      </w:r>
    </w:p>
    <w:p w14:paraId="67C32766" w14:textId="77777777" w:rsidR="001B1F4D" w:rsidRPr="001B1F4D" w:rsidRDefault="001B1F4D" w:rsidP="001B1F4D">
      <w:pPr>
        <w:spacing w:after="200" w:line="276" w:lineRule="auto"/>
      </w:pPr>
      <w:r w:rsidRPr="001B1F4D">
        <w:rPr>
          <w:i/>
        </w:rPr>
        <w:lastRenderedPageBreak/>
        <w:t>Net energy for load</w:t>
      </w:r>
      <w:r w:rsidRPr="001B1F4D">
        <w:t xml:space="preserve"> (NEL) is the generation output within an area, accounting for electric energy imports from other areas and electric energy exports to other areas.</w:t>
      </w:r>
      <w:r w:rsidRPr="001B1F4D">
        <w:rPr>
          <w:vertAlign w:val="superscript"/>
        </w:rPr>
        <w:footnoteReference w:id="82"/>
      </w:r>
      <w:r w:rsidRPr="001B1F4D">
        <w:t xml:space="preserve"> It also accounts for system losses and excludes the electric energy used to operate pumped-storage hydroelectric plants. The compound annual growth rate (CAGR) for the ISO’s electric energy use is 1.1% for 2019 through 2028, 0.7% for the summer peak, and 0.6% for the winter peak.</w:t>
      </w:r>
      <w:r w:rsidRPr="001B1F4D">
        <w:rPr>
          <w:sz w:val="22"/>
          <w:vertAlign w:val="superscript"/>
        </w:rPr>
        <w:footnoteReference w:id="83"/>
      </w:r>
      <w:r w:rsidRPr="001B1F4D">
        <w:t xml:space="preserve"> </w:t>
      </w:r>
    </w:p>
    <w:p w14:paraId="44CB7562" w14:textId="0D20D7AD" w:rsidR="001B1F4D" w:rsidRPr="001B1F4D" w:rsidRDefault="001B1F4D" w:rsidP="001B1F4D">
      <w:pPr>
        <w:spacing w:after="200" w:line="276" w:lineRule="auto"/>
      </w:pPr>
      <w:r w:rsidRPr="001B1F4D">
        <w:fldChar w:fldCharType="begin"/>
      </w:r>
      <w:r w:rsidRPr="001B1F4D">
        <w:instrText xml:space="preserve"> REF _Ref387337830 \h  \* MERGEFORMAT </w:instrText>
      </w:r>
      <w:r w:rsidRPr="001B1F4D">
        <w:fldChar w:fldCharType="separate"/>
      </w:r>
      <w:r w:rsidR="005D0B73" w:rsidRPr="005D0B73">
        <w:t xml:space="preserve">Figure </w:t>
      </w:r>
      <w:r w:rsidR="005D0B73" w:rsidRPr="005D0B73">
        <w:rPr>
          <w:noProof/>
        </w:rPr>
        <w:t>3</w:t>
      </w:r>
      <w:r w:rsidR="005D0B73" w:rsidRPr="005D0B73">
        <w:rPr>
          <w:noProof/>
        </w:rPr>
        <w:noBreakHyphen/>
        <w:t>1</w:t>
      </w:r>
      <w:r w:rsidRPr="001B1F4D">
        <w:fldChar w:fldCharType="end"/>
      </w:r>
      <w:r w:rsidRPr="001B1F4D">
        <w:t xml:space="preserve"> shows the ISO’s historical gross summer peak demand (i.e., the load reconstituted to include the megawatt reduction attributable to active demand resources and FCM passive demand resources), the 50/50 gross load forecast, and the 90/10 gross load forecast.</w:t>
      </w:r>
      <w:r w:rsidRPr="001B1F4D">
        <w:rPr>
          <w:vertAlign w:val="superscript"/>
        </w:rPr>
        <w:footnoteReference w:id="84"/>
      </w:r>
      <w:r w:rsidRPr="001B1F4D">
        <w:t xml:space="preserve"> The actual gross load has been near or has exceeded the 90/10 forecast seven times over the past 27 years because of hot and humid weather conditions, and it has been near or above the 50/50 gross forecast 12 times during the same period.</w:t>
      </w:r>
      <w:r w:rsidRPr="001B1F4D">
        <w:rPr>
          <w:vertAlign w:val="superscript"/>
        </w:rPr>
        <w:footnoteReference w:id="85"/>
      </w:r>
      <w:r w:rsidRPr="001B1F4D">
        <w:t xml:space="preserve"> </w:t>
      </w:r>
    </w:p>
    <w:p w14:paraId="4C62F7B5" w14:textId="77777777" w:rsidR="001B1F4D" w:rsidRPr="001B1F4D" w:rsidRDefault="001B1F4D" w:rsidP="001B1F4D">
      <w:pPr>
        <w:keepNext/>
        <w:keepLines/>
        <w:spacing w:after="0" w:line="240" w:lineRule="auto"/>
        <w:jc w:val="center"/>
      </w:pPr>
      <w:r w:rsidRPr="001B1F4D">
        <w:rPr>
          <w:noProof/>
        </w:rPr>
        <w:lastRenderedPageBreak/>
        <w:drawing>
          <wp:inline distT="0" distB="0" distL="0" distR="0" wp14:anchorId="1CF12927" wp14:editId="6AC479DC">
            <wp:extent cx="5001985" cy="3355402"/>
            <wp:effectExtent l="19050" t="19050" r="2730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01985" cy="3355402"/>
                    </a:xfrm>
                    <a:prstGeom prst="rect">
                      <a:avLst/>
                    </a:prstGeom>
                    <a:noFill/>
                    <a:ln w="3175">
                      <a:solidFill>
                        <a:srgbClr val="000000"/>
                      </a:solidFill>
                    </a:ln>
                  </pic:spPr>
                </pic:pic>
              </a:graphicData>
            </a:graphic>
          </wp:inline>
        </w:drawing>
      </w:r>
    </w:p>
    <w:p w14:paraId="0BC5C30F" w14:textId="363BD9AA" w:rsidR="001B1F4D" w:rsidRPr="001B1F4D" w:rsidRDefault="001B1F4D" w:rsidP="001B1F4D">
      <w:pPr>
        <w:keepNext/>
        <w:keepLines/>
        <w:spacing w:before="120" w:after="80" w:line="240" w:lineRule="auto"/>
        <w:ind w:left="540" w:right="540"/>
        <w:rPr>
          <w:rFonts w:ascii="Calibri" w:hAnsi="Calibri"/>
          <w:b/>
          <w:bCs/>
          <w:szCs w:val="18"/>
        </w:rPr>
      </w:pPr>
      <w:bookmarkStart w:id="216" w:name="_Ref387337830"/>
      <w:bookmarkStart w:id="217" w:name="_Toc334601482"/>
      <w:bookmarkStart w:id="218" w:name="_Toc365440676"/>
      <w:bookmarkStart w:id="219" w:name="_Toc391985565"/>
      <w:bookmarkStart w:id="220" w:name="_Toc484957692"/>
      <w:bookmarkStart w:id="221" w:name="_Toc486233199"/>
      <w:bookmarkStart w:id="222" w:name="_Toc17709743"/>
      <w:r w:rsidRPr="001B1F4D">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3</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1</w:t>
      </w:r>
      <w:r w:rsidR="008E7223">
        <w:rPr>
          <w:rFonts w:ascii="Calibri" w:hAnsi="Calibri"/>
          <w:b/>
          <w:bCs/>
          <w:szCs w:val="18"/>
        </w:rPr>
        <w:fldChar w:fldCharType="end"/>
      </w:r>
      <w:bookmarkEnd w:id="216"/>
      <w:r w:rsidRPr="001B1F4D">
        <w:rPr>
          <w:rFonts w:ascii="Calibri" w:hAnsi="Calibri"/>
          <w:b/>
          <w:bCs/>
          <w:szCs w:val="18"/>
        </w:rPr>
        <w:t>: The ISO’s historical summer gross peak loads (reconstituted to include the megawatt reductions from active demand resources, EE, and BTM PV) and the 50/50 and 90/10 forecasts, 1992 to 2018 (MW).</w:t>
      </w:r>
      <w:bookmarkEnd w:id="217"/>
      <w:bookmarkEnd w:id="218"/>
      <w:bookmarkEnd w:id="219"/>
      <w:bookmarkEnd w:id="220"/>
      <w:bookmarkEnd w:id="221"/>
      <w:bookmarkEnd w:id="222"/>
    </w:p>
    <w:p w14:paraId="3CD8C3EE" w14:textId="77777777" w:rsidR="001B1F4D" w:rsidRPr="001B1F4D" w:rsidRDefault="001B1F4D" w:rsidP="001B1F4D">
      <w:pPr>
        <w:keepNext/>
        <w:keepLines/>
        <w:spacing w:line="240" w:lineRule="auto"/>
        <w:ind w:left="540" w:right="540"/>
        <w:rPr>
          <w:rFonts w:ascii="Calibri" w:hAnsi="Calibri"/>
          <w:b/>
          <w:bCs/>
          <w:szCs w:val="18"/>
        </w:rPr>
      </w:pPr>
      <w:r w:rsidRPr="001B1F4D">
        <w:rPr>
          <w:rFonts w:ascii="Calibri" w:hAnsi="Calibri"/>
          <w:b/>
          <w:sz w:val="16"/>
          <w:szCs w:val="16"/>
        </w:rPr>
        <w:t>Note</w:t>
      </w:r>
      <w:r w:rsidRPr="001B1F4D">
        <w:rPr>
          <w:rFonts w:ascii="Calibri" w:hAnsi="Calibri"/>
          <w:sz w:val="16"/>
          <w:szCs w:val="16"/>
        </w:rPr>
        <w:t>: The forecasted load values are the first-year values of the CELT forecast for each year. For example, the forecasted loads for 2018 are the loads for the first year of the 2018 CELT Report.</w:t>
      </w:r>
      <w:r w:rsidRPr="001B1F4D">
        <w:rPr>
          <w:rFonts w:ascii="Calibri" w:hAnsi="Calibri"/>
          <w:b/>
          <w:bCs/>
          <w:sz w:val="16"/>
          <w:szCs w:val="16"/>
        </w:rPr>
        <w:t xml:space="preserve"> </w:t>
      </w:r>
      <w:bookmarkStart w:id="223" w:name="_Toc334601015"/>
      <w:bookmarkStart w:id="224" w:name="_Toc365440984"/>
      <w:bookmarkStart w:id="225" w:name="_Ref385689858"/>
      <w:bookmarkStart w:id="226" w:name="_Ref388101172"/>
      <w:bookmarkStart w:id="227" w:name="_Ref390423729"/>
      <w:bookmarkStart w:id="228" w:name="_Toc396807608"/>
    </w:p>
    <w:p w14:paraId="62E1651D" w14:textId="77777777" w:rsidR="001B1F4D" w:rsidRPr="001B1F4D" w:rsidRDefault="001B1F4D" w:rsidP="00B31FEF">
      <w:pPr>
        <w:pStyle w:val="Heading2"/>
      </w:pPr>
      <w:bookmarkStart w:id="229" w:name="_Ref387327848"/>
      <w:bookmarkStart w:id="230" w:name="_Toc396807611"/>
      <w:bookmarkStart w:id="231" w:name="_Toc484957891"/>
      <w:bookmarkStart w:id="232" w:name="_Toc490323016"/>
      <w:bookmarkStart w:id="233" w:name="_Toc12795158"/>
      <w:bookmarkEnd w:id="223"/>
      <w:bookmarkEnd w:id="224"/>
      <w:bookmarkEnd w:id="225"/>
      <w:bookmarkEnd w:id="226"/>
      <w:bookmarkEnd w:id="227"/>
      <w:bookmarkEnd w:id="228"/>
      <w:r w:rsidRPr="001B1F4D">
        <w:t>Energy-Efficiency Forecast for New England</w:t>
      </w:r>
      <w:bookmarkEnd w:id="229"/>
      <w:bookmarkEnd w:id="230"/>
      <w:bookmarkEnd w:id="231"/>
      <w:bookmarkEnd w:id="232"/>
      <w:bookmarkEnd w:id="233"/>
    </w:p>
    <w:p w14:paraId="7BF0F9B3" w14:textId="7C45F7AB" w:rsidR="001B1F4D" w:rsidRPr="001B1F4D" w:rsidRDefault="0022219D" w:rsidP="001B1F4D">
      <w:pPr>
        <w:spacing w:after="200" w:line="276" w:lineRule="auto"/>
      </w:pPr>
      <w:r w:rsidRPr="00716915">
        <w:t>The EE forecast reflects participation in the ISO’s Forward Capacity Market</w:t>
      </w:r>
      <w:r w:rsidR="00126B9D" w:rsidRPr="00CF2B8B">
        <w:t xml:space="preserve">, which </w:t>
      </w:r>
      <w:r w:rsidR="001B1F4D" w:rsidRPr="00716915">
        <w:t>provides the</w:t>
      </w:r>
      <w:r w:rsidR="001B1F4D" w:rsidRPr="001B1F4D">
        <w:t xml:space="preserve"> ISO with an understanding of the savings in energy use over the FCM horizon. RSP19 uses FCM-qualified EE resources as a short-term projection of EE development for 2019 (see Section </w:t>
      </w:r>
      <w:r w:rsidR="00CF7F53">
        <w:fldChar w:fldCharType="begin"/>
      </w:r>
      <w:r w:rsidR="00CF7F53">
        <w:instrText xml:space="preserve"> REF _Ref10817563 \n \h </w:instrText>
      </w:r>
      <w:r w:rsidR="00CF7F53">
        <w:fldChar w:fldCharType="separate"/>
      </w:r>
      <w:r w:rsidR="005D0B73">
        <w:t>4.1.3</w:t>
      </w:r>
      <w:r w:rsidR="00CF7F53">
        <w:fldChar w:fldCharType="end"/>
      </w:r>
      <w:r w:rsidR="001B1F4D" w:rsidRPr="001B1F4D">
        <w:t>).</w:t>
      </w:r>
      <w:r w:rsidR="001B1F4D" w:rsidRPr="001B1F4D">
        <w:rPr>
          <w:vertAlign w:val="superscript"/>
        </w:rPr>
        <w:footnoteReference w:id="86"/>
      </w:r>
      <w:r w:rsidR="001B1F4D" w:rsidRPr="001B1F4D">
        <w:t xml:space="preserve"> The ISO’s regional energy-efficiency forecast for 2020 through 2028, as summarized in this section, is part of ongoing efforts to collect and analyze data in support of the long-term impacts of state-sponsored energy-efficiency programs on future demand.</w:t>
      </w:r>
      <w:r w:rsidR="001B1F4D" w:rsidRPr="001B1F4D">
        <w:rPr>
          <w:vertAlign w:val="superscript"/>
        </w:rPr>
        <w:footnoteReference w:id="87"/>
      </w:r>
      <w:r w:rsidR="001B1F4D" w:rsidRPr="001B1F4D">
        <w:t xml:space="preserve"> Individual program administrators and state regulatory agencies provide the ISO with the EE program performance and budget data used to create the forecast for 2020 to 2028. The ISO’s Energy-Efficiency Forecast Working Group assesses the forecast assumptions and offers input.</w:t>
      </w:r>
    </w:p>
    <w:p w14:paraId="66A84501" w14:textId="77777777" w:rsidR="001B1F4D" w:rsidRPr="001B1F4D" w:rsidRDefault="001B1F4D" w:rsidP="001B1F4D">
      <w:pPr>
        <w:keepNext/>
        <w:keepLines/>
        <w:spacing w:after="200" w:line="276" w:lineRule="auto"/>
      </w:pPr>
      <w:r w:rsidRPr="001B1F4D">
        <w:lastRenderedPageBreak/>
        <w:t>The final EE forecast projects the growth of annual savings in the average, total, and peak energy use for the region and each state. The results, which are based on an average annual program spending rate among the six states of $1.177 billion per year, show that the regional annual average savings in energy use attributable to new energy-efficiency measures (i.e., not cumulative from EE savings before 2019) is 1,940 gigawatt-hours (GWh). The forecast for the total savings in energy use from increased EE projected for 2019 to 2028 is 17,457 GWh. The states’ increased annual average savings in energy use ranges from 94 GWh in New Hampshire to 1,172 GWh in Massachusetts.</w:t>
      </w:r>
    </w:p>
    <w:p w14:paraId="606C36AA" w14:textId="0A3E8905" w:rsidR="001B1F4D" w:rsidRPr="001B1F4D" w:rsidRDefault="001B1F4D" w:rsidP="001B1F4D">
      <w:pPr>
        <w:keepNext/>
        <w:keepLines/>
        <w:spacing w:after="200" w:line="276" w:lineRule="auto"/>
      </w:pPr>
      <w:r w:rsidRPr="001B1F4D">
        <w:fldChar w:fldCharType="begin"/>
      </w:r>
      <w:r w:rsidRPr="001B1F4D">
        <w:instrText xml:space="preserve"> REF _Ref418237916 \h  \* MERGEFORMAT </w:instrText>
      </w:r>
      <w:r w:rsidRPr="001B1F4D">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2</w:t>
      </w:r>
      <w:r w:rsidRPr="001B1F4D">
        <w:fldChar w:fldCharType="end"/>
      </w:r>
      <w:r w:rsidRPr="001B1F4D">
        <w:t xml:space="preserve"> shows the growth of regional passive demand resources and EE for 2019 through 2028. Over the entire forecast period, the regional annual peak demand is estimated to decrease by an average of 273 MW as a result of passive demand resources and energy efficiency. The forecast for the total decrease in summer peak demand attributable to EE is 2,459 MW from 2019 to 2028. The states’ increase in the annual average savings in peak demand ranges from 11 MW in Vermont to 167 MW in Massachusetts. </w:t>
      </w:r>
    </w:p>
    <w:p w14:paraId="327A08E7" w14:textId="2512099A" w:rsidR="001B1F4D" w:rsidRPr="001B1F4D" w:rsidRDefault="001B1F4D" w:rsidP="001B1F4D">
      <w:pPr>
        <w:keepNext/>
        <w:keepLines/>
        <w:spacing w:after="120" w:line="240" w:lineRule="auto"/>
        <w:ind w:left="547" w:right="547"/>
        <w:jc w:val="center"/>
        <w:rPr>
          <w:rFonts w:ascii="Calibri" w:hAnsi="Calibri"/>
          <w:b/>
          <w:bCs/>
          <w:szCs w:val="18"/>
        </w:rPr>
      </w:pPr>
      <w:bookmarkStart w:id="234" w:name="_Ref418237916"/>
      <w:bookmarkStart w:id="235" w:name="_Toc484164907"/>
      <w:bookmarkStart w:id="236" w:name="_Toc491243998"/>
      <w:bookmarkStart w:id="237" w:name="_Toc12795325"/>
      <w:bookmarkStart w:id="238" w:name="_Ref325398910"/>
      <w:bookmarkStart w:id="239" w:name="_Toc330401253"/>
      <w:bookmarkStart w:id="240" w:name="_Toc334541926"/>
      <w:bookmarkStart w:id="241" w:name="_Toc334541963"/>
      <w:bookmarkStart w:id="242" w:name="_Toc365440701"/>
      <w:bookmarkStart w:id="243" w:name="_Toc39198559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234"/>
      <w:r w:rsidRPr="001B1F4D">
        <w:rPr>
          <w:rFonts w:ascii="Calibri" w:hAnsi="Calibri"/>
          <w:b/>
          <w:bCs/>
          <w:szCs w:val="18"/>
        </w:rPr>
        <w:t xml:space="preserve"> </w:t>
      </w:r>
      <w:r w:rsidRPr="001B1F4D">
        <w:rPr>
          <w:rFonts w:ascii="Calibri" w:hAnsi="Calibri"/>
          <w:b/>
          <w:bCs/>
          <w:szCs w:val="18"/>
        </w:rPr>
        <w:br/>
        <w:t xml:space="preserve">Summary of EE Forecast Annual Electric Energy Savings and Peak Demand Reductions </w:t>
      </w:r>
      <w:r w:rsidRPr="001B1F4D">
        <w:rPr>
          <w:rFonts w:ascii="Calibri" w:hAnsi="Calibri"/>
          <w:b/>
          <w:bCs/>
          <w:szCs w:val="18"/>
        </w:rPr>
        <w:br/>
        <w:t>for New England and the States, 2019 and 2028 (GWh, MW)</w:t>
      </w:r>
      <w:bookmarkEnd w:id="235"/>
      <w:bookmarkEnd w:id="236"/>
      <w:bookmarkEnd w:id="237"/>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1B1F4D" w:rsidRPr="001B1F4D" w14:paraId="2EA0F8C6" w14:textId="77777777" w:rsidTr="00EB271B">
        <w:trPr>
          <w:trHeight w:val="829"/>
          <w:jc w:val="center"/>
        </w:trPr>
        <w:tc>
          <w:tcPr>
            <w:tcW w:w="1050" w:type="dxa"/>
            <w:vMerge w:val="restart"/>
            <w:shd w:val="clear" w:color="auto" w:fill="1795D2" w:themeFill="accent1"/>
            <w:noWrap/>
            <w:tcMar>
              <w:left w:w="29" w:type="dxa"/>
              <w:right w:w="29" w:type="dxa"/>
            </w:tcMar>
            <w:vAlign w:val="center"/>
            <w:hideMark/>
          </w:tcPr>
          <w:p w14:paraId="0EB44409" w14:textId="77777777" w:rsidR="001B1F4D" w:rsidRPr="001B1F4D" w:rsidRDefault="001B1F4D" w:rsidP="001B1F4D">
            <w:pPr>
              <w:spacing w:after="0" w:line="240" w:lineRule="auto"/>
              <w:jc w:val="center"/>
              <w:rPr>
                <w:rFonts w:asciiTheme="minorHAnsi" w:hAnsiTheme="minorHAnsi"/>
                <w:b/>
                <w:color w:val="FFFFFF" w:themeColor="background1"/>
                <w:sz w:val="18"/>
                <w:szCs w:val="18"/>
              </w:rPr>
            </w:pPr>
            <w:bookmarkStart w:id="244" w:name="_Toc418353127"/>
            <w:r w:rsidRPr="001B1F4D">
              <w:rPr>
                <w:rFonts w:asciiTheme="minorHAnsi" w:hAnsiTheme="minorHAnsi"/>
                <w:b/>
                <w:color w:val="FFFFFF" w:themeColor="background1"/>
                <w:sz w:val="18"/>
                <w:szCs w:val="18"/>
              </w:rPr>
              <w:t>State</w:t>
            </w:r>
            <w:bookmarkEnd w:id="244"/>
          </w:p>
        </w:tc>
        <w:tc>
          <w:tcPr>
            <w:tcW w:w="2329" w:type="dxa"/>
            <w:gridSpan w:val="3"/>
            <w:shd w:val="clear" w:color="auto" w:fill="1795D2" w:themeFill="accent1"/>
            <w:noWrap/>
            <w:tcMar>
              <w:left w:w="29" w:type="dxa"/>
              <w:right w:w="29" w:type="dxa"/>
            </w:tcMar>
            <w:vAlign w:val="center"/>
            <w:hideMark/>
          </w:tcPr>
          <w:p w14:paraId="34A2D700"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5" w:name="_Toc418353128"/>
            <w:r w:rsidRPr="001B1F4D">
              <w:rPr>
                <w:rFonts w:asciiTheme="minorHAnsi" w:hAnsiTheme="minorHAnsi"/>
                <w:b/>
                <w:bCs/>
                <w:color w:val="FFFFFF" w:themeColor="background1"/>
                <w:sz w:val="18"/>
                <w:szCs w:val="18"/>
              </w:rPr>
              <w:t>Annual Energy Savings</w:t>
            </w:r>
          </w:p>
          <w:bookmarkEnd w:id="245"/>
          <w:p w14:paraId="661EEAA6"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14:paraId="4B1CBF5E"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6" w:name="_Toc418353129"/>
            <w:r w:rsidRPr="001B1F4D">
              <w:rPr>
                <w:rFonts w:asciiTheme="minorHAnsi" w:hAnsiTheme="minorHAnsi"/>
                <w:b/>
                <w:bCs/>
                <w:color w:val="FFFFFF" w:themeColor="background1"/>
                <w:sz w:val="18"/>
                <w:szCs w:val="18"/>
              </w:rPr>
              <w:t>Summer Peak Demand Reductions</w:t>
            </w:r>
          </w:p>
          <w:bookmarkEnd w:id="246"/>
          <w:p w14:paraId="28E6438E"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c>
          <w:tcPr>
            <w:tcW w:w="2330" w:type="dxa"/>
            <w:gridSpan w:val="3"/>
            <w:shd w:val="clear" w:color="auto" w:fill="1795D2" w:themeFill="accent1"/>
            <w:noWrap/>
            <w:tcMar>
              <w:left w:w="29" w:type="dxa"/>
              <w:right w:w="29" w:type="dxa"/>
            </w:tcMar>
            <w:vAlign w:val="center"/>
            <w:hideMark/>
          </w:tcPr>
          <w:p w14:paraId="24BA603A"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bookmarkStart w:id="247" w:name="_Toc418353130"/>
            <w:r w:rsidRPr="001B1F4D">
              <w:rPr>
                <w:rFonts w:asciiTheme="minorHAnsi" w:hAnsiTheme="minorHAnsi"/>
                <w:b/>
                <w:bCs/>
                <w:color w:val="FFFFFF" w:themeColor="background1"/>
                <w:sz w:val="18"/>
                <w:szCs w:val="18"/>
              </w:rPr>
              <w:t>Winter Peak Demand Reductions</w:t>
            </w:r>
          </w:p>
          <w:bookmarkEnd w:id="247"/>
          <w:p w14:paraId="1D0A490B"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14:paraId="4F6C2482" w14:textId="77777777" w:rsidTr="00EB271B">
        <w:trPr>
          <w:trHeight w:val="312"/>
          <w:jc w:val="center"/>
        </w:trPr>
        <w:tc>
          <w:tcPr>
            <w:tcW w:w="1050" w:type="dxa"/>
            <w:vMerge/>
            <w:shd w:val="clear" w:color="auto" w:fill="1795D2" w:themeFill="accent1"/>
            <w:noWrap/>
            <w:tcMar>
              <w:left w:w="29" w:type="dxa"/>
              <w:right w:w="29" w:type="dxa"/>
            </w:tcMar>
            <w:vAlign w:val="center"/>
            <w:hideMark/>
          </w:tcPr>
          <w:p w14:paraId="70748C3C" w14:textId="77777777" w:rsidR="001B1F4D" w:rsidRPr="001B1F4D" w:rsidRDefault="001B1F4D" w:rsidP="001B1F4D">
            <w:pPr>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14:paraId="4234BE80"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14:paraId="7C7D1322"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14:paraId="6553E900"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14:paraId="5F1E8355"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14:paraId="30A14805"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14:paraId="3654B020"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6" w:type="dxa"/>
            <w:shd w:val="clear" w:color="auto" w:fill="1795D2" w:themeFill="accent1"/>
            <w:noWrap/>
            <w:tcMar>
              <w:left w:w="29" w:type="dxa"/>
              <w:right w:w="29" w:type="dxa"/>
            </w:tcMar>
            <w:vAlign w:val="center"/>
            <w:hideMark/>
          </w:tcPr>
          <w:p w14:paraId="69F579F7"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14:paraId="0954D75E"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14:paraId="16D6F470" w14:textId="77777777" w:rsidR="001B1F4D" w:rsidRPr="001B1F4D" w:rsidRDefault="001B1F4D" w:rsidP="001B1F4D">
            <w:pPr>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14:paraId="5A4955B5" w14:textId="77777777" w:rsidTr="00EB271B">
        <w:trPr>
          <w:trHeight w:val="312"/>
          <w:jc w:val="center"/>
        </w:trPr>
        <w:tc>
          <w:tcPr>
            <w:tcW w:w="1050" w:type="dxa"/>
            <w:noWrap/>
            <w:tcMar>
              <w:left w:w="115" w:type="dxa"/>
              <w:right w:w="0" w:type="dxa"/>
            </w:tcMar>
            <w:vAlign w:val="center"/>
            <w:hideMark/>
          </w:tcPr>
          <w:p w14:paraId="02C1756F"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14:paraId="52C2CD82"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3,600</w:t>
            </w:r>
          </w:p>
        </w:tc>
        <w:tc>
          <w:tcPr>
            <w:tcW w:w="777" w:type="dxa"/>
            <w:noWrap/>
            <w:tcMar>
              <w:top w:w="29" w:type="dxa"/>
              <w:left w:w="0" w:type="dxa"/>
              <w:bottom w:w="29" w:type="dxa"/>
              <w:right w:w="115" w:type="dxa"/>
            </w:tcMar>
            <w:vAlign w:val="center"/>
            <w:hideMark/>
          </w:tcPr>
          <w:p w14:paraId="1652D83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6,259</w:t>
            </w:r>
          </w:p>
        </w:tc>
        <w:tc>
          <w:tcPr>
            <w:tcW w:w="776" w:type="dxa"/>
            <w:noWrap/>
            <w:tcMar>
              <w:top w:w="29" w:type="dxa"/>
              <w:left w:w="0" w:type="dxa"/>
              <w:bottom w:w="29" w:type="dxa"/>
              <w:right w:w="115" w:type="dxa"/>
            </w:tcMar>
            <w:vAlign w:val="center"/>
            <w:hideMark/>
          </w:tcPr>
          <w:p w14:paraId="033C5965"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6.3</w:t>
            </w:r>
          </w:p>
        </w:tc>
        <w:tc>
          <w:tcPr>
            <w:tcW w:w="777" w:type="dxa"/>
            <w:noWrap/>
            <w:tcMar>
              <w:top w:w="29" w:type="dxa"/>
              <w:left w:w="0" w:type="dxa"/>
              <w:bottom w:w="29" w:type="dxa"/>
              <w:right w:w="115" w:type="dxa"/>
            </w:tcMar>
            <w:vAlign w:val="center"/>
            <w:hideMark/>
          </w:tcPr>
          <w:p w14:paraId="3D3E34C2" w14:textId="77777777"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662</w:t>
            </w:r>
          </w:p>
        </w:tc>
        <w:tc>
          <w:tcPr>
            <w:tcW w:w="776" w:type="dxa"/>
            <w:noWrap/>
            <w:tcMar>
              <w:top w:w="29" w:type="dxa"/>
              <w:left w:w="0" w:type="dxa"/>
              <w:bottom w:w="29" w:type="dxa"/>
              <w:right w:w="115" w:type="dxa"/>
            </w:tcMar>
            <w:vAlign w:val="center"/>
            <w:hideMark/>
          </w:tcPr>
          <w:p w14:paraId="167AD1BF" w14:textId="77777777" w:rsidR="001B1F4D" w:rsidRPr="001B1F4D" w:rsidRDefault="001B1F4D" w:rsidP="00B707AC">
            <w:pPr>
              <w:spacing w:after="0" w:line="240" w:lineRule="auto"/>
              <w:jc w:val="right"/>
              <w:rPr>
                <w:rFonts w:asciiTheme="minorHAnsi" w:hAnsiTheme="minorHAnsi"/>
                <w:sz w:val="18"/>
                <w:szCs w:val="18"/>
              </w:rPr>
            </w:pPr>
            <w:r w:rsidRPr="001B1F4D">
              <w:rPr>
                <w:rFonts w:asciiTheme="minorHAnsi" w:hAnsiTheme="minorHAnsi"/>
                <w:sz w:val="18"/>
                <w:szCs w:val="18"/>
              </w:rPr>
              <w:t xml:space="preserve"> 1,045 </w:t>
            </w:r>
          </w:p>
        </w:tc>
        <w:tc>
          <w:tcPr>
            <w:tcW w:w="777" w:type="dxa"/>
            <w:noWrap/>
            <w:tcMar>
              <w:top w:w="29" w:type="dxa"/>
              <w:left w:w="0" w:type="dxa"/>
              <w:bottom w:w="29" w:type="dxa"/>
              <w:right w:w="115" w:type="dxa"/>
            </w:tcMar>
            <w:vAlign w:val="center"/>
            <w:hideMark/>
          </w:tcPr>
          <w:p w14:paraId="00CD39A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5.2</w:t>
            </w:r>
          </w:p>
        </w:tc>
        <w:tc>
          <w:tcPr>
            <w:tcW w:w="776" w:type="dxa"/>
            <w:noWrap/>
            <w:tcMar>
              <w:top w:w="29" w:type="dxa"/>
              <w:left w:w="0" w:type="dxa"/>
              <w:bottom w:w="29" w:type="dxa"/>
              <w:right w:w="115" w:type="dxa"/>
            </w:tcMar>
            <w:vAlign w:val="center"/>
            <w:hideMark/>
          </w:tcPr>
          <w:p w14:paraId="5C293DB1"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560</w:t>
            </w:r>
          </w:p>
        </w:tc>
        <w:tc>
          <w:tcPr>
            <w:tcW w:w="777" w:type="dxa"/>
            <w:noWrap/>
            <w:tcMar>
              <w:top w:w="29" w:type="dxa"/>
              <w:left w:w="0" w:type="dxa"/>
              <w:bottom w:w="29" w:type="dxa"/>
              <w:right w:w="115" w:type="dxa"/>
            </w:tcMar>
            <w:vAlign w:val="center"/>
            <w:hideMark/>
          </w:tcPr>
          <w:p w14:paraId="35308578"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930</w:t>
            </w:r>
          </w:p>
        </w:tc>
        <w:tc>
          <w:tcPr>
            <w:tcW w:w="777" w:type="dxa"/>
            <w:noWrap/>
            <w:tcMar>
              <w:top w:w="29" w:type="dxa"/>
              <w:left w:w="0" w:type="dxa"/>
              <w:bottom w:w="29" w:type="dxa"/>
              <w:right w:w="115" w:type="dxa"/>
            </w:tcMar>
            <w:vAlign w:val="center"/>
            <w:hideMark/>
          </w:tcPr>
          <w:p w14:paraId="217D2D8E"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14:paraId="24811089"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4A69F8A4"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14:paraId="5E747708"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1,257</w:t>
            </w:r>
          </w:p>
        </w:tc>
        <w:tc>
          <w:tcPr>
            <w:tcW w:w="777" w:type="dxa"/>
            <w:shd w:val="clear" w:color="auto" w:fill="CCEAF9" w:themeFill="accent1" w:themeFillTint="33"/>
            <w:noWrap/>
            <w:tcMar>
              <w:top w:w="29" w:type="dxa"/>
              <w:left w:w="0" w:type="dxa"/>
              <w:bottom w:w="29" w:type="dxa"/>
              <w:right w:w="115" w:type="dxa"/>
            </w:tcMar>
            <w:vAlign w:val="center"/>
            <w:hideMark/>
          </w:tcPr>
          <w:p w14:paraId="3507446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2,148</w:t>
            </w:r>
          </w:p>
        </w:tc>
        <w:tc>
          <w:tcPr>
            <w:tcW w:w="776" w:type="dxa"/>
            <w:shd w:val="clear" w:color="auto" w:fill="CCEAF9" w:themeFill="accent1" w:themeFillTint="33"/>
            <w:noWrap/>
            <w:tcMar>
              <w:top w:w="29" w:type="dxa"/>
              <w:left w:w="0" w:type="dxa"/>
              <w:bottom w:w="29" w:type="dxa"/>
              <w:right w:w="115" w:type="dxa"/>
            </w:tcMar>
            <w:vAlign w:val="center"/>
            <w:hideMark/>
          </w:tcPr>
          <w:p w14:paraId="72D6E1E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6.1</w:t>
            </w:r>
          </w:p>
        </w:tc>
        <w:tc>
          <w:tcPr>
            <w:tcW w:w="777" w:type="dxa"/>
            <w:shd w:val="clear" w:color="auto" w:fill="CCEAF9" w:themeFill="accent1" w:themeFillTint="33"/>
            <w:noWrap/>
            <w:tcMar>
              <w:top w:w="29" w:type="dxa"/>
              <w:left w:w="0" w:type="dxa"/>
              <w:bottom w:w="29" w:type="dxa"/>
              <w:right w:w="115" w:type="dxa"/>
            </w:tcMar>
            <w:vAlign w:val="center"/>
            <w:hideMark/>
          </w:tcPr>
          <w:p w14:paraId="38A447C2"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192</w:t>
            </w:r>
          </w:p>
        </w:tc>
        <w:tc>
          <w:tcPr>
            <w:tcW w:w="776" w:type="dxa"/>
            <w:shd w:val="clear" w:color="auto" w:fill="CCEAF9" w:themeFill="accent1" w:themeFillTint="33"/>
            <w:noWrap/>
            <w:tcMar>
              <w:top w:w="29" w:type="dxa"/>
              <w:left w:w="0" w:type="dxa"/>
              <w:bottom w:w="29" w:type="dxa"/>
              <w:right w:w="115" w:type="dxa"/>
            </w:tcMar>
            <w:vAlign w:val="center"/>
            <w:hideMark/>
          </w:tcPr>
          <w:p w14:paraId="1161C13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338</w:t>
            </w:r>
          </w:p>
        </w:tc>
        <w:tc>
          <w:tcPr>
            <w:tcW w:w="777" w:type="dxa"/>
            <w:shd w:val="clear" w:color="auto" w:fill="CCEAF9" w:themeFill="accent1" w:themeFillTint="33"/>
            <w:noWrap/>
            <w:tcMar>
              <w:top w:w="29" w:type="dxa"/>
              <w:left w:w="0" w:type="dxa"/>
              <w:bottom w:w="29" w:type="dxa"/>
              <w:right w:w="115" w:type="dxa"/>
            </w:tcMar>
            <w:vAlign w:val="center"/>
            <w:hideMark/>
          </w:tcPr>
          <w:p w14:paraId="6E3DDF0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6.5</w:t>
            </w:r>
          </w:p>
        </w:tc>
        <w:tc>
          <w:tcPr>
            <w:tcW w:w="776" w:type="dxa"/>
            <w:shd w:val="clear" w:color="auto" w:fill="CCEAF9" w:themeFill="accent1" w:themeFillTint="33"/>
            <w:noWrap/>
            <w:tcMar>
              <w:top w:w="29" w:type="dxa"/>
              <w:left w:w="0" w:type="dxa"/>
              <w:bottom w:w="29" w:type="dxa"/>
              <w:right w:w="115" w:type="dxa"/>
            </w:tcMar>
            <w:vAlign w:val="center"/>
            <w:hideMark/>
          </w:tcPr>
          <w:p w14:paraId="56A1E20A" w14:textId="77777777" w:rsidR="001B1F4D" w:rsidRPr="001B1F4D" w:rsidRDefault="001B1F4D" w:rsidP="00CB0E26">
            <w:pPr>
              <w:spacing w:after="0" w:line="240" w:lineRule="auto"/>
              <w:jc w:val="right"/>
              <w:rPr>
                <w:rFonts w:asciiTheme="minorHAnsi" w:hAnsiTheme="minorHAnsi"/>
                <w:sz w:val="18"/>
                <w:szCs w:val="18"/>
              </w:rPr>
            </w:pPr>
            <w:r w:rsidRPr="001B1F4D">
              <w:rPr>
                <w:rFonts w:asciiTheme="minorHAnsi" w:hAnsiTheme="minorHAnsi"/>
                <w:sz w:val="18"/>
                <w:szCs w:val="18"/>
              </w:rPr>
              <w:t xml:space="preserve"> 1</w:t>
            </w:r>
            <w:r w:rsidR="00CB0E26">
              <w:rPr>
                <w:rFonts w:asciiTheme="minorHAnsi" w:hAnsiTheme="minorHAnsi"/>
                <w:sz w:val="18"/>
                <w:szCs w:val="18"/>
              </w:rPr>
              <w:t>70</w:t>
            </w:r>
          </w:p>
        </w:tc>
        <w:tc>
          <w:tcPr>
            <w:tcW w:w="777" w:type="dxa"/>
            <w:shd w:val="clear" w:color="auto" w:fill="CCEAF9" w:themeFill="accent1" w:themeFillTint="33"/>
            <w:noWrap/>
            <w:tcMar>
              <w:top w:w="29" w:type="dxa"/>
              <w:left w:w="0" w:type="dxa"/>
              <w:bottom w:w="29" w:type="dxa"/>
              <w:right w:w="115" w:type="dxa"/>
            </w:tcMar>
            <w:vAlign w:val="center"/>
            <w:hideMark/>
          </w:tcPr>
          <w:p w14:paraId="1B69730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w:t>
            </w:r>
          </w:p>
        </w:tc>
        <w:tc>
          <w:tcPr>
            <w:tcW w:w="777" w:type="dxa"/>
            <w:shd w:val="clear" w:color="auto" w:fill="CCEAF9" w:themeFill="accent1" w:themeFillTint="33"/>
            <w:noWrap/>
            <w:tcMar>
              <w:top w:w="29" w:type="dxa"/>
              <w:left w:w="0" w:type="dxa"/>
              <w:bottom w:w="29" w:type="dxa"/>
              <w:right w:w="115" w:type="dxa"/>
            </w:tcMar>
            <w:vAlign w:val="center"/>
            <w:hideMark/>
          </w:tcPr>
          <w:p w14:paraId="376E7B68"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r>
      <w:tr w:rsidR="001B1F4D" w:rsidRPr="001B1F4D" w14:paraId="41F83D34" w14:textId="77777777" w:rsidTr="00EB271B">
        <w:trPr>
          <w:trHeight w:val="312"/>
          <w:jc w:val="center"/>
        </w:trPr>
        <w:tc>
          <w:tcPr>
            <w:tcW w:w="1050" w:type="dxa"/>
            <w:noWrap/>
            <w:tcMar>
              <w:left w:w="115" w:type="dxa"/>
              <w:right w:w="0" w:type="dxa"/>
            </w:tcMar>
            <w:vAlign w:val="center"/>
            <w:hideMark/>
          </w:tcPr>
          <w:p w14:paraId="066423C0"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14:paraId="4ABC3745"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9,435</w:t>
            </w:r>
          </w:p>
        </w:tc>
        <w:tc>
          <w:tcPr>
            <w:tcW w:w="777" w:type="dxa"/>
            <w:noWrap/>
            <w:tcMar>
              <w:top w:w="29" w:type="dxa"/>
              <w:left w:w="0" w:type="dxa"/>
              <w:bottom w:w="29" w:type="dxa"/>
              <w:right w:w="115" w:type="dxa"/>
            </w:tcMar>
            <w:vAlign w:val="center"/>
            <w:hideMark/>
          </w:tcPr>
          <w:p w14:paraId="31A1269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19,982</w:t>
            </w:r>
          </w:p>
        </w:tc>
        <w:tc>
          <w:tcPr>
            <w:tcW w:w="776" w:type="dxa"/>
            <w:noWrap/>
            <w:tcMar>
              <w:top w:w="29" w:type="dxa"/>
              <w:left w:w="0" w:type="dxa"/>
              <w:bottom w:w="29" w:type="dxa"/>
              <w:right w:w="115" w:type="dxa"/>
            </w:tcMar>
            <w:vAlign w:val="center"/>
            <w:hideMark/>
          </w:tcPr>
          <w:p w14:paraId="0E521E23"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8.7</w:t>
            </w:r>
          </w:p>
        </w:tc>
        <w:tc>
          <w:tcPr>
            <w:tcW w:w="777" w:type="dxa"/>
            <w:noWrap/>
            <w:tcMar>
              <w:top w:w="29" w:type="dxa"/>
              <w:left w:w="0" w:type="dxa"/>
              <w:bottom w:w="29" w:type="dxa"/>
              <w:right w:w="115" w:type="dxa"/>
            </w:tcMar>
            <w:vAlign w:val="center"/>
            <w:hideMark/>
          </w:tcPr>
          <w:p w14:paraId="7F5AEFCA"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1,573</w:t>
            </w:r>
          </w:p>
        </w:tc>
        <w:tc>
          <w:tcPr>
            <w:tcW w:w="776" w:type="dxa"/>
            <w:noWrap/>
            <w:tcMar>
              <w:top w:w="29" w:type="dxa"/>
              <w:left w:w="0" w:type="dxa"/>
              <w:bottom w:w="29" w:type="dxa"/>
              <w:right w:w="115" w:type="dxa"/>
            </w:tcMar>
            <w:vAlign w:val="center"/>
            <w:hideMark/>
          </w:tcPr>
          <w:p w14:paraId="5EAE18BC"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3,073</w:t>
            </w:r>
          </w:p>
        </w:tc>
        <w:tc>
          <w:tcPr>
            <w:tcW w:w="777" w:type="dxa"/>
            <w:noWrap/>
            <w:tcMar>
              <w:top w:w="29" w:type="dxa"/>
              <w:left w:w="0" w:type="dxa"/>
              <w:bottom w:w="29" w:type="dxa"/>
              <w:right w:w="115" w:type="dxa"/>
            </w:tcMar>
            <w:vAlign w:val="center"/>
            <w:hideMark/>
          </w:tcPr>
          <w:p w14:paraId="57F7C3FB"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7.7</w:t>
            </w:r>
          </w:p>
        </w:tc>
        <w:tc>
          <w:tcPr>
            <w:tcW w:w="776" w:type="dxa"/>
            <w:noWrap/>
            <w:tcMar>
              <w:top w:w="29" w:type="dxa"/>
              <w:left w:w="0" w:type="dxa"/>
              <w:bottom w:w="29" w:type="dxa"/>
              <w:right w:w="115" w:type="dxa"/>
            </w:tcMar>
            <w:vAlign w:val="center"/>
            <w:hideMark/>
          </w:tcPr>
          <w:p w14:paraId="57264C4C"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1,479</w:t>
            </w:r>
          </w:p>
        </w:tc>
        <w:tc>
          <w:tcPr>
            <w:tcW w:w="777" w:type="dxa"/>
            <w:noWrap/>
            <w:tcMar>
              <w:top w:w="29" w:type="dxa"/>
              <w:left w:w="0" w:type="dxa"/>
              <w:bottom w:w="29" w:type="dxa"/>
              <w:right w:w="115" w:type="dxa"/>
            </w:tcMar>
            <w:vAlign w:val="center"/>
            <w:hideMark/>
          </w:tcPr>
          <w:p w14:paraId="7349F0D3"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2,904</w:t>
            </w:r>
          </w:p>
        </w:tc>
        <w:tc>
          <w:tcPr>
            <w:tcW w:w="777" w:type="dxa"/>
            <w:noWrap/>
            <w:tcMar>
              <w:top w:w="29" w:type="dxa"/>
              <w:left w:w="0" w:type="dxa"/>
              <w:bottom w:w="29" w:type="dxa"/>
              <w:right w:w="115" w:type="dxa"/>
            </w:tcMar>
            <w:vAlign w:val="center"/>
            <w:hideMark/>
          </w:tcPr>
          <w:p w14:paraId="76A8BA19"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7.8</w:t>
            </w:r>
          </w:p>
        </w:tc>
      </w:tr>
      <w:tr w:rsidR="001B1F4D" w:rsidRPr="001B1F4D" w14:paraId="2C0D717A"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6B50D1EC"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14:paraId="1692495E"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682</w:t>
            </w:r>
          </w:p>
        </w:tc>
        <w:tc>
          <w:tcPr>
            <w:tcW w:w="777" w:type="dxa"/>
            <w:shd w:val="clear" w:color="auto" w:fill="CCEAF9" w:themeFill="accent1" w:themeFillTint="33"/>
            <w:noWrap/>
            <w:tcMar>
              <w:top w:w="29" w:type="dxa"/>
              <w:left w:w="0" w:type="dxa"/>
              <w:bottom w:w="29" w:type="dxa"/>
              <w:right w:w="115" w:type="dxa"/>
            </w:tcMar>
            <w:vAlign w:val="center"/>
            <w:hideMark/>
          </w:tcPr>
          <w:p w14:paraId="05154DBB"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1,532</w:t>
            </w:r>
          </w:p>
        </w:tc>
        <w:tc>
          <w:tcPr>
            <w:tcW w:w="776" w:type="dxa"/>
            <w:shd w:val="clear" w:color="auto" w:fill="CCEAF9" w:themeFill="accent1" w:themeFillTint="33"/>
            <w:noWrap/>
            <w:tcMar>
              <w:top w:w="29" w:type="dxa"/>
              <w:left w:w="0" w:type="dxa"/>
              <w:bottom w:w="29" w:type="dxa"/>
              <w:right w:w="115" w:type="dxa"/>
            </w:tcMar>
            <w:vAlign w:val="center"/>
            <w:hideMark/>
          </w:tcPr>
          <w:p w14:paraId="1D53A35A"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9.4</w:t>
            </w:r>
          </w:p>
        </w:tc>
        <w:tc>
          <w:tcPr>
            <w:tcW w:w="777" w:type="dxa"/>
            <w:shd w:val="clear" w:color="auto" w:fill="CCEAF9" w:themeFill="accent1" w:themeFillTint="33"/>
            <w:noWrap/>
            <w:tcMar>
              <w:top w:w="29" w:type="dxa"/>
              <w:left w:w="0" w:type="dxa"/>
              <w:bottom w:w="29" w:type="dxa"/>
              <w:right w:w="115" w:type="dxa"/>
            </w:tcMar>
            <w:vAlign w:val="center"/>
            <w:hideMark/>
          </w:tcPr>
          <w:p w14:paraId="2CAE71D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120</w:t>
            </w:r>
          </w:p>
        </w:tc>
        <w:tc>
          <w:tcPr>
            <w:tcW w:w="776" w:type="dxa"/>
            <w:shd w:val="clear" w:color="auto" w:fill="CCEAF9" w:themeFill="accent1" w:themeFillTint="33"/>
            <w:noWrap/>
            <w:tcMar>
              <w:top w:w="29" w:type="dxa"/>
              <w:left w:w="0" w:type="dxa"/>
              <w:bottom w:w="29" w:type="dxa"/>
              <w:right w:w="115" w:type="dxa"/>
            </w:tcMar>
            <w:vAlign w:val="center"/>
            <w:hideMark/>
          </w:tcPr>
          <w:p w14:paraId="3B51024B" w14:textId="63A72C99" w:rsidR="001B1F4D" w:rsidRPr="001B1F4D" w:rsidRDefault="001B1F4D" w:rsidP="00906B60">
            <w:pPr>
              <w:spacing w:after="0" w:line="240" w:lineRule="auto"/>
              <w:jc w:val="right"/>
              <w:rPr>
                <w:rFonts w:asciiTheme="minorHAnsi" w:hAnsiTheme="minorHAnsi"/>
                <w:sz w:val="18"/>
                <w:szCs w:val="18"/>
              </w:rPr>
            </w:pPr>
            <w:r w:rsidRPr="001B1F4D">
              <w:rPr>
                <w:rFonts w:asciiTheme="minorHAnsi" w:hAnsiTheme="minorHAnsi"/>
                <w:sz w:val="18"/>
                <w:szCs w:val="18"/>
              </w:rPr>
              <w:t xml:space="preserve"> 240</w:t>
            </w:r>
          </w:p>
        </w:tc>
        <w:tc>
          <w:tcPr>
            <w:tcW w:w="777" w:type="dxa"/>
            <w:shd w:val="clear" w:color="auto" w:fill="CCEAF9" w:themeFill="accent1" w:themeFillTint="33"/>
            <w:noWrap/>
            <w:tcMar>
              <w:top w:w="29" w:type="dxa"/>
              <w:left w:w="0" w:type="dxa"/>
              <w:bottom w:w="29" w:type="dxa"/>
              <w:right w:w="115" w:type="dxa"/>
            </w:tcMar>
            <w:vAlign w:val="center"/>
            <w:hideMark/>
          </w:tcPr>
          <w:p w14:paraId="2DD1C6E5"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8.0</w:t>
            </w:r>
          </w:p>
        </w:tc>
        <w:tc>
          <w:tcPr>
            <w:tcW w:w="776" w:type="dxa"/>
            <w:shd w:val="clear" w:color="auto" w:fill="CCEAF9" w:themeFill="accent1" w:themeFillTint="33"/>
            <w:noWrap/>
            <w:tcMar>
              <w:top w:w="29" w:type="dxa"/>
              <w:left w:w="0" w:type="dxa"/>
              <w:bottom w:w="29" w:type="dxa"/>
              <w:right w:w="115" w:type="dxa"/>
            </w:tcMar>
            <w:vAlign w:val="center"/>
            <w:hideMark/>
          </w:tcPr>
          <w:p w14:paraId="63C81C4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96</w:t>
            </w:r>
          </w:p>
        </w:tc>
        <w:tc>
          <w:tcPr>
            <w:tcW w:w="777" w:type="dxa"/>
            <w:shd w:val="clear" w:color="auto" w:fill="CCEAF9" w:themeFill="accent1" w:themeFillTint="33"/>
            <w:noWrap/>
            <w:tcMar>
              <w:top w:w="29" w:type="dxa"/>
              <w:left w:w="0" w:type="dxa"/>
              <w:bottom w:w="29" w:type="dxa"/>
              <w:right w:w="115" w:type="dxa"/>
            </w:tcMar>
            <w:vAlign w:val="center"/>
            <w:hideMark/>
          </w:tcPr>
          <w:p w14:paraId="0EF0B405"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197</w:t>
            </w:r>
          </w:p>
        </w:tc>
        <w:tc>
          <w:tcPr>
            <w:tcW w:w="777" w:type="dxa"/>
            <w:shd w:val="clear" w:color="auto" w:fill="CCEAF9" w:themeFill="accent1" w:themeFillTint="33"/>
            <w:noWrap/>
            <w:tcMar>
              <w:top w:w="29" w:type="dxa"/>
              <w:left w:w="0" w:type="dxa"/>
              <w:bottom w:w="29" w:type="dxa"/>
              <w:right w:w="115" w:type="dxa"/>
            </w:tcMar>
            <w:vAlign w:val="center"/>
            <w:hideMark/>
          </w:tcPr>
          <w:p w14:paraId="4336E574"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8.3</w:t>
            </w:r>
          </w:p>
        </w:tc>
      </w:tr>
      <w:tr w:rsidR="001B1F4D" w:rsidRPr="001B1F4D" w14:paraId="122C5369" w14:textId="77777777" w:rsidTr="00EB271B">
        <w:trPr>
          <w:trHeight w:val="312"/>
          <w:jc w:val="center"/>
        </w:trPr>
        <w:tc>
          <w:tcPr>
            <w:tcW w:w="1050" w:type="dxa"/>
            <w:noWrap/>
            <w:tcMar>
              <w:left w:w="115" w:type="dxa"/>
              <w:right w:w="0" w:type="dxa"/>
            </w:tcMar>
            <w:vAlign w:val="center"/>
            <w:hideMark/>
          </w:tcPr>
          <w:p w14:paraId="1AC72319"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14:paraId="649A3E63"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1,465</w:t>
            </w:r>
          </w:p>
        </w:tc>
        <w:tc>
          <w:tcPr>
            <w:tcW w:w="777" w:type="dxa"/>
            <w:noWrap/>
            <w:tcMar>
              <w:top w:w="29" w:type="dxa"/>
              <w:left w:w="0" w:type="dxa"/>
              <w:bottom w:w="29" w:type="dxa"/>
              <w:right w:w="115" w:type="dxa"/>
            </w:tcMar>
            <w:vAlign w:val="center"/>
            <w:hideMark/>
          </w:tcPr>
          <w:p w14:paraId="0C5840AC"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3,062</w:t>
            </w:r>
          </w:p>
        </w:tc>
        <w:tc>
          <w:tcPr>
            <w:tcW w:w="776" w:type="dxa"/>
            <w:noWrap/>
            <w:tcMar>
              <w:top w:w="29" w:type="dxa"/>
              <w:left w:w="0" w:type="dxa"/>
              <w:bottom w:w="29" w:type="dxa"/>
              <w:right w:w="115" w:type="dxa"/>
            </w:tcMar>
            <w:vAlign w:val="center"/>
            <w:hideMark/>
          </w:tcPr>
          <w:p w14:paraId="30B5BEC2"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14:paraId="4763DBC3"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241</w:t>
            </w:r>
          </w:p>
        </w:tc>
        <w:tc>
          <w:tcPr>
            <w:tcW w:w="776" w:type="dxa"/>
            <w:noWrap/>
            <w:tcMar>
              <w:top w:w="29" w:type="dxa"/>
              <w:left w:w="0" w:type="dxa"/>
              <w:bottom w:w="29" w:type="dxa"/>
              <w:right w:w="115" w:type="dxa"/>
            </w:tcMar>
            <w:vAlign w:val="center"/>
            <w:hideMark/>
          </w:tcPr>
          <w:p w14:paraId="5CF2A60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450</w:t>
            </w:r>
          </w:p>
        </w:tc>
        <w:tc>
          <w:tcPr>
            <w:tcW w:w="777" w:type="dxa"/>
            <w:noWrap/>
            <w:tcMar>
              <w:top w:w="29" w:type="dxa"/>
              <w:left w:w="0" w:type="dxa"/>
              <w:bottom w:w="29" w:type="dxa"/>
              <w:right w:w="115" w:type="dxa"/>
            </w:tcMar>
            <w:vAlign w:val="center"/>
            <w:hideMark/>
          </w:tcPr>
          <w:p w14:paraId="63D81A61"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7.2</w:t>
            </w:r>
          </w:p>
        </w:tc>
        <w:tc>
          <w:tcPr>
            <w:tcW w:w="776" w:type="dxa"/>
            <w:noWrap/>
            <w:tcMar>
              <w:top w:w="29" w:type="dxa"/>
              <w:left w:w="0" w:type="dxa"/>
              <w:bottom w:w="29" w:type="dxa"/>
              <w:right w:w="115" w:type="dxa"/>
            </w:tcMar>
            <w:vAlign w:val="center"/>
            <w:hideMark/>
          </w:tcPr>
          <w:p w14:paraId="7478F22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 221</w:t>
            </w:r>
          </w:p>
        </w:tc>
        <w:tc>
          <w:tcPr>
            <w:tcW w:w="777" w:type="dxa"/>
            <w:noWrap/>
            <w:tcMar>
              <w:top w:w="29" w:type="dxa"/>
              <w:left w:w="0" w:type="dxa"/>
              <w:bottom w:w="29" w:type="dxa"/>
              <w:right w:w="115" w:type="dxa"/>
            </w:tcMar>
            <w:vAlign w:val="center"/>
            <w:hideMark/>
          </w:tcPr>
          <w:p w14:paraId="5EEE7FC2"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428</w:t>
            </w:r>
          </w:p>
        </w:tc>
        <w:tc>
          <w:tcPr>
            <w:tcW w:w="777" w:type="dxa"/>
            <w:noWrap/>
            <w:tcMar>
              <w:top w:w="29" w:type="dxa"/>
              <w:left w:w="0" w:type="dxa"/>
              <w:bottom w:w="29" w:type="dxa"/>
              <w:right w:w="115" w:type="dxa"/>
            </w:tcMar>
            <w:vAlign w:val="center"/>
            <w:hideMark/>
          </w:tcPr>
          <w:p w14:paraId="7EA81B4D"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7.6</w:t>
            </w:r>
          </w:p>
        </w:tc>
      </w:tr>
      <w:tr w:rsidR="001B1F4D" w:rsidRPr="001B1F4D" w14:paraId="73FE1A4E"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49888F21" w14:textId="77777777" w:rsidR="001B1F4D" w:rsidRPr="001B1F4D" w:rsidRDefault="001B1F4D" w:rsidP="001B1F4D">
            <w:pPr>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14:paraId="16E7B05E"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857</w:t>
            </w:r>
          </w:p>
        </w:tc>
        <w:tc>
          <w:tcPr>
            <w:tcW w:w="777" w:type="dxa"/>
            <w:shd w:val="clear" w:color="auto" w:fill="CCEAF9" w:themeFill="accent1" w:themeFillTint="33"/>
            <w:noWrap/>
            <w:tcMar>
              <w:top w:w="29" w:type="dxa"/>
              <w:left w:w="0" w:type="dxa"/>
              <w:bottom w:w="29" w:type="dxa"/>
              <w:right w:w="115" w:type="dxa"/>
            </w:tcMar>
            <w:vAlign w:val="center"/>
            <w:hideMark/>
          </w:tcPr>
          <w:p w14:paraId="5165D5A6"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1,771</w:t>
            </w:r>
          </w:p>
        </w:tc>
        <w:tc>
          <w:tcPr>
            <w:tcW w:w="776" w:type="dxa"/>
            <w:shd w:val="clear" w:color="auto" w:fill="CCEAF9" w:themeFill="accent1" w:themeFillTint="33"/>
            <w:noWrap/>
            <w:tcMar>
              <w:top w:w="29" w:type="dxa"/>
              <w:left w:w="0" w:type="dxa"/>
              <w:bottom w:w="29" w:type="dxa"/>
              <w:right w:w="115" w:type="dxa"/>
            </w:tcMar>
            <w:vAlign w:val="center"/>
            <w:hideMark/>
          </w:tcPr>
          <w:p w14:paraId="4AC2106E"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shd w:val="clear" w:color="auto" w:fill="CCEAF9" w:themeFill="accent1" w:themeFillTint="33"/>
            <w:noWrap/>
            <w:tcMar>
              <w:top w:w="29" w:type="dxa"/>
              <w:left w:w="0" w:type="dxa"/>
              <w:bottom w:w="29" w:type="dxa"/>
              <w:right w:w="115" w:type="dxa"/>
            </w:tcMar>
            <w:vAlign w:val="center"/>
            <w:hideMark/>
          </w:tcPr>
          <w:p w14:paraId="11FD1E9C"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125</w:t>
            </w:r>
          </w:p>
        </w:tc>
        <w:tc>
          <w:tcPr>
            <w:tcW w:w="776" w:type="dxa"/>
            <w:shd w:val="clear" w:color="auto" w:fill="CCEAF9" w:themeFill="accent1" w:themeFillTint="33"/>
            <w:noWrap/>
            <w:tcMar>
              <w:top w:w="29" w:type="dxa"/>
              <w:left w:w="0" w:type="dxa"/>
              <w:bottom w:w="29" w:type="dxa"/>
              <w:right w:w="115" w:type="dxa"/>
            </w:tcMar>
            <w:vAlign w:val="center"/>
            <w:hideMark/>
          </w:tcPr>
          <w:p w14:paraId="368C0790"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226</w:t>
            </w:r>
          </w:p>
        </w:tc>
        <w:tc>
          <w:tcPr>
            <w:tcW w:w="777" w:type="dxa"/>
            <w:shd w:val="clear" w:color="auto" w:fill="CCEAF9" w:themeFill="accent1" w:themeFillTint="33"/>
            <w:noWrap/>
            <w:tcMar>
              <w:top w:w="29" w:type="dxa"/>
              <w:left w:w="0" w:type="dxa"/>
              <w:bottom w:w="29" w:type="dxa"/>
              <w:right w:w="115" w:type="dxa"/>
            </w:tcMar>
            <w:vAlign w:val="center"/>
            <w:hideMark/>
          </w:tcPr>
          <w:p w14:paraId="350ADE54"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6.8</w:t>
            </w:r>
          </w:p>
        </w:tc>
        <w:tc>
          <w:tcPr>
            <w:tcW w:w="776" w:type="dxa"/>
            <w:shd w:val="clear" w:color="auto" w:fill="CCEAF9" w:themeFill="accent1" w:themeFillTint="33"/>
            <w:noWrap/>
            <w:tcMar>
              <w:top w:w="29" w:type="dxa"/>
              <w:left w:w="0" w:type="dxa"/>
              <w:bottom w:w="29" w:type="dxa"/>
              <w:right w:w="115" w:type="dxa"/>
            </w:tcMar>
            <w:vAlign w:val="center"/>
            <w:hideMark/>
          </w:tcPr>
          <w:p w14:paraId="7D000D23"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 xml:space="preserve">143 </w:t>
            </w:r>
          </w:p>
        </w:tc>
        <w:tc>
          <w:tcPr>
            <w:tcW w:w="777" w:type="dxa"/>
            <w:shd w:val="clear" w:color="auto" w:fill="CCEAF9" w:themeFill="accent1" w:themeFillTint="33"/>
            <w:noWrap/>
            <w:tcMar>
              <w:top w:w="29" w:type="dxa"/>
              <w:left w:w="0" w:type="dxa"/>
              <w:bottom w:w="29" w:type="dxa"/>
              <w:right w:w="115" w:type="dxa"/>
            </w:tcMar>
            <w:vAlign w:val="center"/>
            <w:hideMark/>
          </w:tcPr>
          <w:p w14:paraId="0604E2A4"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242</w:t>
            </w:r>
          </w:p>
        </w:tc>
        <w:tc>
          <w:tcPr>
            <w:tcW w:w="777" w:type="dxa"/>
            <w:shd w:val="clear" w:color="auto" w:fill="CCEAF9" w:themeFill="accent1" w:themeFillTint="33"/>
            <w:noWrap/>
            <w:tcMar>
              <w:top w:w="29" w:type="dxa"/>
              <w:left w:w="0" w:type="dxa"/>
              <w:bottom w:w="29" w:type="dxa"/>
              <w:right w:w="115" w:type="dxa"/>
            </w:tcMar>
            <w:vAlign w:val="center"/>
            <w:hideMark/>
          </w:tcPr>
          <w:p w14:paraId="047768DA" w14:textId="77777777" w:rsidR="001B1F4D" w:rsidRPr="001B1F4D" w:rsidRDefault="001B1F4D" w:rsidP="001B1F4D">
            <w:pPr>
              <w:spacing w:after="0" w:line="240" w:lineRule="auto"/>
              <w:jc w:val="right"/>
              <w:rPr>
                <w:rFonts w:asciiTheme="minorHAnsi" w:hAnsiTheme="minorHAnsi"/>
                <w:sz w:val="18"/>
                <w:szCs w:val="18"/>
              </w:rPr>
            </w:pPr>
            <w:r w:rsidRPr="001B1F4D">
              <w:rPr>
                <w:rFonts w:asciiTheme="minorHAnsi" w:hAnsiTheme="minorHAnsi"/>
                <w:sz w:val="18"/>
                <w:szCs w:val="18"/>
              </w:rPr>
              <w:t>6.0</w:t>
            </w:r>
          </w:p>
        </w:tc>
      </w:tr>
      <w:tr w:rsidR="001B1F4D" w:rsidRPr="001B1F4D" w14:paraId="0AAC7723" w14:textId="77777777" w:rsidTr="00EB271B">
        <w:trPr>
          <w:trHeight w:val="312"/>
          <w:jc w:val="center"/>
        </w:trPr>
        <w:tc>
          <w:tcPr>
            <w:tcW w:w="1050" w:type="dxa"/>
            <w:shd w:val="clear" w:color="auto" w:fill="1795D2" w:themeFill="accent1"/>
            <w:noWrap/>
            <w:tcMar>
              <w:left w:w="115" w:type="dxa"/>
              <w:right w:w="0" w:type="dxa"/>
            </w:tcMar>
            <w:vAlign w:val="center"/>
            <w:hideMark/>
          </w:tcPr>
          <w:p w14:paraId="76441B7E" w14:textId="77777777" w:rsidR="001B1F4D" w:rsidRPr="001B1F4D" w:rsidRDefault="001B1F4D" w:rsidP="001B1F4D">
            <w:pPr>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14:paraId="2DDFA60A"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17,297</w:t>
            </w:r>
          </w:p>
        </w:tc>
        <w:tc>
          <w:tcPr>
            <w:tcW w:w="777" w:type="dxa"/>
            <w:shd w:val="clear" w:color="auto" w:fill="1795D2" w:themeFill="accent1"/>
            <w:noWrap/>
            <w:tcMar>
              <w:top w:w="29" w:type="dxa"/>
              <w:left w:w="0" w:type="dxa"/>
              <w:bottom w:w="29" w:type="dxa"/>
              <w:right w:w="115" w:type="dxa"/>
            </w:tcMar>
            <w:vAlign w:val="center"/>
            <w:hideMark/>
          </w:tcPr>
          <w:p w14:paraId="77F18B72"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34,754</w:t>
            </w:r>
          </w:p>
        </w:tc>
        <w:tc>
          <w:tcPr>
            <w:tcW w:w="776" w:type="dxa"/>
            <w:shd w:val="clear" w:color="auto" w:fill="1795D2" w:themeFill="accent1"/>
            <w:noWrap/>
            <w:tcMar>
              <w:top w:w="29" w:type="dxa"/>
              <w:left w:w="0" w:type="dxa"/>
              <w:bottom w:w="29" w:type="dxa"/>
              <w:right w:w="115" w:type="dxa"/>
            </w:tcMar>
            <w:vAlign w:val="center"/>
            <w:hideMark/>
          </w:tcPr>
          <w:p w14:paraId="087F8F00"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8.1</w:t>
            </w:r>
          </w:p>
        </w:tc>
        <w:tc>
          <w:tcPr>
            <w:tcW w:w="777" w:type="dxa"/>
            <w:shd w:val="clear" w:color="auto" w:fill="1795D2" w:themeFill="accent1"/>
            <w:noWrap/>
            <w:tcMar>
              <w:top w:w="29" w:type="dxa"/>
              <w:left w:w="0" w:type="dxa"/>
              <w:bottom w:w="29" w:type="dxa"/>
              <w:right w:w="115" w:type="dxa"/>
            </w:tcMar>
            <w:vAlign w:val="center"/>
            <w:hideMark/>
          </w:tcPr>
          <w:p w14:paraId="209DACC6"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2,913 </w:t>
            </w:r>
          </w:p>
        </w:tc>
        <w:tc>
          <w:tcPr>
            <w:tcW w:w="776" w:type="dxa"/>
            <w:shd w:val="clear" w:color="auto" w:fill="1795D2" w:themeFill="accent1"/>
            <w:noWrap/>
            <w:tcMar>
              <w:top w:w="29" w:type="dxa"/>
              <w:left w:w="0" w:type="dxa"/>
              <w:bottom w:w="29" w:type="dxa"/>
              <w:right w:w="115" w:type="dxa"/>
            </w:tcMar>
            <w:vAlign w:val="center"/>
            <w:hideMark/>
          </w:tcPr>
          <w:p w14:paraId="5BF9DD21"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5,372 </w:t>
            </w:r>
          </w:p>
        </w:tc>
        <w:tc>
          <w:tcPr>
            <w:tcW w:w="777" w:type="dxa"/>
            <w:shd w:val="clear" w:color="auto" w:fill="1795D2" w:themeFill="accent1"/>
            <w:noWrap/>
            <w:tcMar>
              <w:top w:w="29" w:type="dxa"/>
              <w:left w:w="0" w:type="dxa"/>
              <w:bottom w:w="29" w:type="dxa"/>
              <w:right w:w="115" w:type="dxa"/>
            </w:tcMar>
            <w:vAlign w:val="center"/>
            <w:hideMark/>
          </w:tcPr>
          <w:p w14:paraId="1BA5137B"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w:t>
            </w:r>
          </w:p>
        </w:tc>
        <w:tc>
          <w:tcPr>
            <w:tcW w:w="776" w:type="dxa"/>
            <w:shd w:val="clear" w:color="auto" w:fill="1795D2" w:themeFill="accent1"/>
            <w:noWrap/>
            <w:tcMar>
              <w:top w:w="29" w:type="dxa"/>
              <w:left w:w="0" w:type="dxa"/>
              <w:bottom w:w="29" w:type="dxa"/>
              <w:right w:w="115" w:type="dxa"/>
            </w:tcMar>
            <w:vAlign w:val="center"/>
            <w:hideMark/>
          </w:tcPr>
          <w:p w14:paraId="26E91D04"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2,668 </w:t>
            </w:r>
          </w:p>
        </w:tc>
        <w:tc>
          <w:tcPr>
            <w:tcW w:w="777" w:type="dxa"/>
            <w:shd w:val="clear" w:color="auto" w:fill="1795D2" w:themeFill="accent1"/>
            <w:noWrap/>
            <w:tcMar>
              <w:top w:w="29" w:type="dxa"/>
              <w:left w:w="0" w:type="dxa"/>
              <w:bottom w:w="29" w:type="dxa"/>
              <w:right w:w="115" w:type="dxa"/>
            </w:tcMar>
            <w:vAlign w:val="center"/>
            <w:hideMark/>
          </w:tcPr>
          <w:p w14:paraId="580AF94B"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 xml:space="preserve"> 5,008 </w:t>
            </w:r>
          </w:p>
        </w:tc>
        <w:tc>
          <w:tcPr>
            <w:tcW w:w="777" w:type="dxa"/>
            <w:shd w:val="clear" w:color="auto" w:fill="1795D2" w:themeFill="accent1"/>
            <w:noWrap/>
            <w:tcMar>
              <w:top w:w="29" w:type="dxa"/>
              <w:left w:w="0" w:type="dxa"/>
              <w:bottom w:w="29" w:type="dxa"/>
              <w:right w:w="115" w:type="dxa"/>
            </w:tcMar>
            <w:vAlign w:val="center"/>
            <w:hideMark/>
          </w:tcPr>
          <w:p w14:paraId="380AA017" w14:textId="77777777" w:rsidR="001B1F4D" w:rsidRPr="001B1F4D" w:rsidRDefault="001B1F4D" w:rsidP="001B1F4D">
            <w:pPr>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7.2</w:t>
            </w:r>
          </w:p>
        </w:tc>
      </w:tr>
    </w:tbl>
    <w:p w14:paraId="156338F5" w14:textId="77777777" w:rsidR="001B1F4D" w:rsidRPr="001B1F4D" w:rsidRDefault="001B1F4D" w:rsidP="00955D2D">
      <w:pPr>
        <w:numPr>
          <w:ilvl w:val="0"/>
          <w:numId w:val="39"/>
        </w:numPr>
        <w:tabs>
          <w:tab w:val="left" w:pos="-720"/>
        </w:tabs>
        <w:spacing w:before="120" w:line="240" w:lineRule="auto"/>
        <w:ind w:left="810" w:right="-806" w:hanging="270"/>
        <w:rPr>
          <w:rFonts w:ascii="Calibri" w:eastAsia="Times New Roman" w:hAnsi="Calibri"/>
          <w:sz w:val="16"/>
          <w:szCs w:val="16"/>
        </w:rPr>
      </w:pPr>
      <w:r w:rsidRPr="001B1F4D">
        <w:rPr>
          <w:rFonts w:ascii="Calibri" w:eastAsia="Times New Roman" w:hAnsi="Calibri"/>
          <w:sz w:val="16"/>
          <w:szCs w:val="16"/>
        </w:rPr>
        <w:t xml:space="preserve">“CAGR” stands for compound annual growth rate. </w:t>
      </w:r>
    </w:p>
    <w:p w14:paraId="1A8CCE2C" w14:textId="77777777" w:rsidR="001B1F4D" w:rsidRPr="001B1F4D" w:rsidRDefault="001B1F4D" w:rsidP="00B31FEF">
      <w:pPr>
        <w:pStyle w:val="Heading2"/>
      </w:pPr>
      <w:bookmarkStart w:id="248" w:name="_Ref387327878"/>
      <w:bookmarkStart w:id="249" w:name="_Toc396807613"/>
      <w:bookmarkStart w:id="250" w:name="_Toc484957892"/>
      <w:bookmarkStart w:id="251" w:name="_Ref485738114"/>
      <w:bookmarkStart w:id="252" w:name="_Toc490323017"/>
      <w:bookmarkStart w:id="253" w:name="_Ref11050602"/>
      <w:bookmarkStart w:id="254" w:name="_Ref11051059"/>
      <w:bookmarkStart w:id="255" w:name="_Ref11051335"/>
      <w:bookmarkStart w:id="256" w:name="_Ref11512489"/>
      <w:bookmarkStart w:id="257" w:name="_Ref11824812"/>
      <w:bookmarkStart w:id="258" w:name="_Ref12110983"/>
      <w:bookmarkStart w:id="259" w:name="_Ref12191561"/>
      <w:bookmarkStart w:id="260" w:name="_Toc12795159"/>
      <w:bookmarkStart w:id="261" w:name="_Ref16865213"/>
      <w:bookmarkStart w:id="262" w:name="_Toc365440990"/>
      <w:bookmarkEnd w:id="238"/>
      <w:bookmarkEnd w:id="239"/>
      <w:bookmarkEnd w:id="240"/>
      <w:bookmarkEnd w:id="241"/>
      <w:bookmarkEnd w:id="242"/>
      <w:bookmarkEnd w:id="243"/>
      <w:r w:rsidRPr="001B1F4D">
        <w:t>Distributed Photovoltaic</w:t>
      </w:r>
      <w:r w:rsidRPr="001B1F4D">
        <w:rPr>
          <w:szCs w:val="24"/>
        </w:rPr>
        <w:t xml:space="preserve"> Generation</w:t>
      </w:r>
      <w:r w:rsidRPr="001B1F4D">
        <w:t xml:space="preserve"> Forecast</w:t>
      </w:r>
      <w:bookmarkEnd w:id="248"/>
      <w:bookmarkEnd w:id="249"/>
      <w:r w:rsidRPr="001B1F4D">
        <w:t xml:space="preserve"> for New England</w:t>
      </w:r>
      <w:bookmarkEnd w:id="250"/>
      <w:bookmarkEnd w:id="251"/>
      <w:bookmarkEnd w:id="252"/>
      <w:bookmarkEnd w:id="253"/>
      <w:bookmarkEnd w:id="254"/>
      <w:bookmarkEnd w:id="255"/>
      <w:bookmarkEnd w:id="256"/>
      <w:bookmarkEnd w:id="257"/>
      <w:bookmarkEnd w:id="258"/>
      <w:bookmarkEnd w:id="259"/>
      <w:bookmarkEnd w:id="260"/>
      <w:bookmarkEnd w:id="261"/>
    </w:p>
    <w:p w14:paraId="26CE262F" w14:textId="77777777" w:rsidR="001B1F4D" w:rsidRPr="001B1F4D" w:rsidRDefault="001B1F4D" w:rsidP="001B1F4D">
      <w:pPr>
        <w:spacing w:after="200" w:line="276" w:lineRule="auto"/>
      </w:pPr>
      <w:r w:rsidRPr="001B1F4D">
        <w:t>Small-scale, distributed photovoltaic generation resources have been growing significantly in New England since 2012 and has already significantly altered the region’s seasonal load profiles. BTM PV distributed generation reduces regional annual energy use and summer peak demand, as accounted for in the ISO’s PV nameplate capacity forecast and PV energy forecast. As BTM PV penetrations increase, the need for resource ramping will also increase to serve the increasing fluctuations in net demand, as well as the more severe light-load conditions experienced in the shoulder seasons.</w:t>
      </w:r>
      <w:r w:rsidRPr="001B1F4D">
        <w:rPr>
          <w:vertAlign w:val="superscript"/>
        </w:rPr>
        <w:footnoteReference w:id="88"/>
      </w:r>
      <w:r w:rsidRPr="001B1F4D">
        <w:t xml:space="preserve"> Because PV facilities constitute the largest segment of DG resources throughout New England and have been growing rapidly in recent years, the ISO’s analysis of DG and the DG forecast focuses exclusively on the growth of </w:t>
      </w:r>
      <w:r w:rsidRPr="001B1F4D">
        <w:lastRenderedPageBreak/>
        <w:t>photovoltaics. However, the ISO continues to monitor the growth of non-PV DG, in</w:t>
      </w:r>
      <w:r w:rsidR="00F926A5">
        <w:t>cluding behind-the-meter energy-</w:t>
      </w:r>
      <w:r w:rsidRPr="001B1F4D">
        <w:t>storage facilities, to determine whether separate forecasts of these resources may be warranted.</w:t>
      </w:r>
    </w:p>
    <w:p w14:paraId="4D9B9564" w14:textId="77777777" w:rsidR="001B1F4D" w:rsidRPr="001B1F4D" w:rsidRDefault="001B1F4D" w:rsidP="008E7223">
      <w:pPr>
        <w:pStyle w:val="Heading3"/>
      </w:pPr>
      <w:bookmarkStart w:id="263" w:name="_Toc484957894"/>
      <w:bookmarkStart w:id="264" w:name="_Toc490323019"/>
      <w:bookmarkStart w:id="265" w:name="_Toc12795160"/>
      <w:r w:rsidRPr="001B1F4D">
        <w:t>PV Nameplate Capacity Forecast</w:t>
      </w:r>
      <w:bookmarkEnd w:id="263"/>
      <w:bookmarkEnd w:id="264"/>
      <w:bookmarkEnd w:id="265"/>
    </w:p>
    <w:p w14:paraId="64BEFFA2" w14:textId="514F170D" w:rsidR="001B1F4D" w:rsidRPr="001B1F4D" w:rsidRDefault="001727D5" w:rsidP="0025235E">
      <w:pPr>
        <w:rPr>
          <w:rFonts w:eastAsia="Times New Roman"/>
        </w:rPr>
      </w:pPr>
      <w:r>
        <w:rPr>
          <w:rFonts w:eastAsia="Times New Roman"/>
        </w:rPr>
        <w:t>T</w:t>
      </w:r>
      <w:r w:rsidR="001B1F4D" w:rsidRPr="001B1F4D">
        <w:rPr>
          <w:rFonts w:eastAsia="Times New Roman"/>
        </w:rPr>
        <w:t>he ISO</w:t>
      </w:r>
      <w:r>
        <w:rPr>
          <w:rFonts w:eastAsia="Times New Roman"/>
        </w:rPr>
        <w:t xml:space="preserve">’s RSP19 </w:t>
      </w:r>
      <w:r w:rsidR="001B1F4D" w:rsidRPr="001B1F4D">
        <w:rPr>
          <w:rFonts w:eastAsia="Times New Roman"/>
        </w:rPr>
        <w:t xml:space="preserve">nameplate PV forecast </w:t>
      </w:r>
      <w:r>
        <w:rPr>
          <w:rFonts w:eastAsia="Times New Roman"/>
        </w:rPr>
        <w:t xml:space="preserve">is </w:t>
      </w:r>
      <w:r w:rsidR="001B1F4D" w:rsidRPr="001B1F4D">
        <w:rPr>
          <w:rFonts w:eastAsia="Times New Roman"/>
        </w:rPr>
        <w:t>based on recent historical installation trends and updated state and federal policy information</w:t>
      </w:r>
      <w:r>
        <w:rPr>
          <w:rFonts w:eastAsia="Times New Roman"/>
        </w:rPr>
        <w:t xml:space="preserve"> and reflects PV participation in the wholesale markets</w:t>
      </w:r>
      <w:r w:rsidR="001B1F4D" w:rsidRPr="001B1F4D">
        <w:rPr>
          <w:rFonts w:eastAsia="Times New Roman"/>
        </w:rPr>
        <w:t>.</w:t>
      </w:r>
      <w:bookmarkStart w:id="266" w:name="_Ref422924403"/>
      <w:r w:rsidR="001B1F4D" w:rsidRPr="001B1F4D">
        <w:rPr>
          <w:rFonts w:eastAsia="Times New Roman"/>
          <w:vertAlign w:val="superscript"/>
        </w:rPr>
        <w:footnoteReference w:id="89"/>
      </w:r>
      <w:bookmarkEnd w:id="266"/>
      <w:r w:rsidR="001B1F4D" w:rsidRPr="001B1F4D">
        <w:rPr>
          <w:rFonts w:eastAsia="Times New Roman"/>
        </w:rPr>
        <w:t xml:space="preserve"> </w:t>
      </w:r>
      <w:r w:rsidR="001B1F4D" w:rsidRPr="001B1F4D">
        <w:rPr>
          <w:rFonts w:eastAsia="Times New Roman"/>
        </w:rPr>
        <w:fldChar w:fldCharType="begin"/>
      </w:r>
      <w:r w:rsidR="001B1F4D" w:rsidRPr="001B1F4D">
        <w:rPr>
          <w:rFonts w:eastAsia="Times New Roman"/>
        </w:rPr>
        <w:instrText xml:space="preserve"> REF _Ref485804685 \h  \* MERGEFORMAT </w:instrText>
      </w:r>
      <w:r w:rsidR="001B1F4D" w:rsidRPr="001B1F4D">
        <w:rPr>
          <w:rFonts w:eastAsia="Times New Roman"/>
        </w:rPr>
      </w:r>
      <w:r w:rsidR="001B1F4D" w:rsidRPr="001B1F4D">
        <w:rPr>
          <w:rFonts w:eastAsia="Times New Roman"/>
        </w:rPr>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3</w:t>
      </w:r>
      <w:r w:rsidR="001B1F4D" w:rsidRPr="001B1F4D">
        <w:rPr>
          <w:rFonts w:eastAsia="Times New Roman"/>
        </w:rPr>
        <w:fldChar w:fldCharType="end"/>
      </w:r>
      <w:r w:rsidR="001B1F4D" w:rsidRPr="001B1F4D">
        <w:rPr>
          <w:rFonts w:eastAsia="Times New Roman"/>
        </w:rPr>
        <w:t xml:space="preserve"> lists the state-by-state forecast of annual and cumulative PV nameplate capacities</w:t>
      </w:r>
      <w:r w:rsidR="0025235E">
        <w:rPr>
          <w:rFonts w:eastAsia="Times New Roman"/>
        </w:rPr>
        <w:t xml:space="preserve"> </w:t>
      </w:r>
      <w:r w:rsidR="0025235E" w:rsidRPr="0025235E">
        <w:rPr>
          <w:rFonts w:eastAsia="Times New Roman"/>
        </w:rPr>
        <w:t>(MW</w:t>
      </w:r>
      <w:r w:rsidR="0025235E" w:rsidRPr="0025235E">
        <w:rPr>
          <w:rFonts w:eastAsia="Times New Roman"/>
          <w:vertAlign w:val="subscript"/>
        </w:rPr>
        <w:t>AC</w:t>
      </w:r>
      <w:r w:rsidR="0025235E">
        <w:rPr>
          <w:rFonts w:eastAsia="Times New Roman"/>
        </w:rPr>
        <w:t xml:space="preserve"> [alternating current] ratings</w:t>
      </w:r>
      <w:r w:rsidR="0025235E" w:rsidRPr="0025235E">
        <w:rPr>
          <w:rFonts w:eastAsia="Times New Roman"/>
        </w:rPr>
        <w:t>)</w:t>
      </w:r>
      <w:r w:rsidR="001B1F4D" w:rsidRPr="001B1F4D">
        <w:rPr>
          <w:rFonts w:eastAsia="Times New Roman"/>
        </w:rPr>
        <w:t>, after applying discount factors, through the 10-year planning horizon. These projections include all existing and future PV in the FCM, as well as PV that does and does not participate in the ISO’s wholesale energy markets and that reduces the load the ISO observes.</w:t>
      </w:r>
      <w:r w:rsidR="001B1F4D" w:rsidRPr="001B1F4D">
        <w:rPr>
          <w:rFonts w:eastAsia="Times New Roman"/>
          <w:vertAlign w:val="superscript"/>
        </w:rPr>
        <w:footnoteReference w:id="90"/>
      </w:r>
      <w:r w:rsidR="001B1F4D" w:rsidRPr="001B1F4D">
        <w:rPr>
          <w:rFonts w:eastAsia="Times New Roman"/>
        </w:rPr>
        <w:t xml:space="preserve"> To ensure proper accounting, the ISO classifies the forecast into three different types of PV, each of which receives a different treatment in system planning studies: </w:t>
      </w:r>
    </w:p>
    <w:p w14:paraId="0E61CFAF" w14:textId="77777777" w:rsidR="001B1F4D" w:rsidRPr="001B1F4D" w:rsidRDefault="001B1F4D" w:rsidP="00955D2D">
      <w:pPr>
        <w:numPr>
          <w:ilvl w:val="0"/>
          <w:numId w:val="40"/>
        </w:numPr>
        <w:spacing w:after="120"/>
        <w:rPr>
          <w:color w:val="000000"/>
        </w:rPr>
      </w:pPr>
      <w:r w:rsidRPr="001B1F4D">
        <w:rPr>
          <w:color w:val="000000"/>
        </w:rPr>
        <w:t>FCM resources with capacity supply obligations</w:t>
      </w:r>
    </w:p>
    <w:p w14:paraId="59691A47" w14:textId="77777777" w:rsidR="001B1F4D" w:rsidRPr="001B1F4D" w:rsidRDefault="001B1F4D" w:rsidP="00955D2D">
      <w:pPr>
        <w:numPr>
          <w:ilvl w:val="0"/>
          <w:numId w:val="40"/>
        </w:numPr>
        <w:spacing w:after="120"/>
        <w:rPr>
          <w:color w:val="000000"/>
        </w:rPr>
      </w:pPr>
      <w:r w:rsidRPr="001B1F4D">
        <w:rPr>
          <w:i/>
          <w:color w:val="000000"/>
        </w:rPr>
        <w:t>Energy-only resources</w:t>
      </w:r>
      <w:r w:rsidRPr="001B1F4D">
        <w:rPr>
          <w:color w:val="000000"/>
        </w:rPr>
        <w:t xml:space="preserve"> (EORs), which are generation resources that participate in the wholesale energy markets and receive energy market revenues but choose to not participate in the FCM</w:t>
      </w:r>
      <w:r w:rsidRPr="001B1F4D">
        <w:rPr>
          <w:color w:val="000000"/>
          <w:vertAlign w:val="superscript"/>
        </w:rPr>
        <w:footnoteReference w:id="91"/>
      </w:r>
    </w:p>
    <w:p w14:paraId="30220E5B" w14:textId="77777777" w:rsidR="001B1F4D" w:rsidRPr="001B1F4D" w:rsidRDefault="001B1F4D" w:rsidP="00955D2D">
      <w:pPr>
        <w:numPr>
          <w:ilvl w:val="0"/>
          <w:numId w:val="40"/>
        </w:numPr>
        <w:autoSpaceDE w:val="0"/>
        <w:autoSpaceDN w:val="0"/>
        <w:adjustRightInd w:val="0"/>
        <w:spacing w:after="200" w:line="276" w:lineRule="auto"/>
        <w:rPr>
          <w:rFonts w:eastAsia="Times New Roman"/>
          <w:color w:val="000000"/>
          <w:szCs w:val="24"/>
        </w:rPr>
      </w:pPr>
      <w:r w:rsidRPr="001B1F4D">
        <w:rPr>
          <w:rFonts w:eastAsia="Times New Roman"/>
          <w:color w:val="000000"/>
          <w:szCs w:val="24"/>
        </w:rPr>
        <w:t xml:space="preserve">Behind-the-meter resources (BTM PV) </w:t>
      </w:r>
    </w:p>
    <w:p w14:paraId="258D7680" w14:textId="77777777" w:rsidR="001B1F4D" w:rsidRPr="001B1F4D" w:rsidRDefault="001B1F4D" w:rsidP="001B1F4D">
      <w:pPr>
        <w:autoSpaceDE w:val="0"/>
        <w:autoSpaceDN w:val="0"/>
        <w:adjustRightInd w:val="0"/>
        <w:spacing w:after="200" w:line="276" w:lineRule="auto"/>
      </w:pPr>
      <w:r w:rsidRPr="001B1F4D">
        <w:t>System planning studies treat PV resources participating in the ISO wholesale markets as resources with sizes and locations visible to the ISO. PV resources with FCM capacity supply obligations are considered either generators or demand resources. Energy-only resources are registered in the ISO’s Customer Asset Management System (CAMS) and collect energy payments, but they do not necessarily supply the ISO with generator characteristics. Both FCM and energy-only resources are market resources that do not reduce the gross demand forecast.</w:t>
      </w:r>
    </w:p>
    <w:p w14:paraId="3F07E43E" w14:textId="2CF7E5EA" w:rsidR="001B1F4D" w:rsidRPr="001B1F4D" w:rsidRDefault="001B1F4D" w:rsidP="001B1F4D">
      <w:pPr>
        <w:keepNext/>
        <w:keepLines/>
        <w:widowControl w:val="0"/>
        <w:spacing w:after="120" w:line="240" w:lineRule="auto"/>
        <w:jc w:val="center"/>
        <w:rPr>
          <w:rFonts w:ascii="Calibri" w:hAnsi="Calibri"/>
          <w:b/>
          <w:bCs/>
        </w:rPr>
      </w:pPr>
      <w:bookmarkStart w:id="267" w:name="_Ref485804685"/>
      <w:bookmarkStart w:id="268" w:name="_Toc484164908"/>
      <w:bookmarkStart w:id="269" w:name="_Toc491243999"/>
      <w:bookmarkStart w:id="270" w:name="_Toc12795326"/>
      <w:r w:rsidRPr="001B1F4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267"/>
      <w:r w:rsidRPr="001B1F4D">
        <w:rPr>
          <w:rFonts w:ascii="Calibri" w:hAnsi="Calibri"/>
          <w:b/>
          <w:bCs/>
          <w:szCs w:val="18"/>
        </w:rPr>
        <w:br/>
        <w:t>New England States’ Annual and Cumulative PV Nameplate Capacities, 2019 to 2028 (MW</w:t>
      </w:r>
      <w:r w:rsidRPr="001B1F4D">
        <w:rPr>
          <w:rFonts w:ascii="Calibri" w:hAnsi="Calibri"/>
          <w:b/>
          <w:bCs/>
          <w:szCs w:val="18"/>
          <w:vertAlign w:val="subscript"/>
        </w:rPr>
        <w:t>AC</w:t>
      </w:r>
      <w:r w:rsidRPr="001B1F4D">
        <w:rPr>
          <w:rFonts w:ascii="Calibri" w:hAnsi="Calibri"/>
          <w:b/>
          <w:bCs/>
          <w:szCs w:val="18"/>
        </w:rPr>
        <w:t>)</w:t>
      </w:r>
      <w:bookmarkEnd w:id="268"/>
      <w:bookmarkEnd w:id="269"/>
      <w:bookmarkEnd w:id="270"/>
    </w:p>
    <w:tbl>
      <w:tblPr>
        <w:tblW w:w="8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69"/>
        <w:gridCol w:w="962"/>
        <w:gridCol w:w="18"/>
        <w:gridCol w:w="965"/>
        <w:gridCol w:w="16"/>
        <w:gridCol w:w="966"/>
        <w:gridCol w:w="16"/>
        <w:gridCol w:w="981"/>
        <w:gridCol w:w="982"/>
        <w:gridCol w:w="982"/>
        <w:gridCol w:w="983"/>
      </w:tblGrid>
      <w:tr w:rsidR="001B1F4D" w:rsidRPr="001B1F4D" w14:paraId="283CCE65" w14:textId="77777777" w:rsidTr="00EB271B">
        <w:trPr>
          <w:trHeight w:val="600"/>
          <w:jc w:val="center"/>
        </w:trPr>
        <w:tc>
          <w:tcPr>
            <w:tcW w:w="1469" w:type="dxa"/>
            <w:vMerge w:val="restart"/>
            <w:shd w:val="clear" w:color="auto" w:fill="1795D2" w:themeFill="accent1"/>
            <w:noWrap/>
            <w:tcMar>
              <w:top w:w="0" w:type="dxa"/>
              <w:left w:w="108" w:type="dxa"/>
              <w:bottom w:w="0" w:type="dxa"/>
              <w:right w:w="108" w:type="dxa"/>
            </w:tcMar>
            <w:vAlign w:val="center"/>
            <w:hideMark/>
          </w:tcPr>
          <w:p w14:paraId="2CCBECE6"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Year</w:t>
            </w:r>
          </w:p>
        </w:tc>
        <w:tc>
          <w:tcPr>
            <w:tcW w:w="962" w:type="dxa"/>
            <w:vMerge w:val="restart"/>
            <w:shd w:val="clear" w:color="auto" w:fill="1795D2" w:themeFill="accent1"/>
            <w:tcMar>
              <w:top w:w="0" w:type="dxa"/>
              <w:left w:w="108" w:type="dxa"/>
              <w:bottom w:w="0" w:type="dxa"/>
              <w:right w:w="108" w:type="dxa"/>
            </w:tcMar>
            <w:vAlign w:val="center"/>
            <w:hideMark/>
          </w:tcPr>
          <w:p w14:paraId="264C0D3F"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Sum of States</w:t>
            </w:r>
          </w:p>
        </w:tc>
        <w:tc>
          <w:tcPr>
            <w:tcW w:w="5909" w:type="dxa"/>
            <w:gridSpan w:val="9"/>
            <w:shd w:val="clear" w:color="auto" w:fill="1795D2" w:themeFill="accent1"/>
            <w:noWrap/>
            <w:tcMar>
              <w:top w:w="0" w:type="dxa"/>
              <w:left w:w="108" w:type="dxa"/>
              <w:bottom w:w="0" w:type="dxa"/>
              <w:right w:w="108" w:type="dxa"/>
            </w:tcMar>
            <w:vAlign w:val="center"/>
            <w:hideMark/>
          </w:tcPr>
          <w:p w14:paraId="4EA4ED9F" w14:textId="6821F02F" w:rsidR="001B1F4D" w:rsidRPr="001B1F4D" w:rsidRDefault="001B1F4D" w:rsidP="0025235E">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Total Capacities</w:t>
            </w:r>
            <w:r w:rsidR="0025235E">
              <w:rPr>
                <w:rFonts w:asciiTheme="minorHAnsi" w:hAnsiTheme="minorHAnsi"/>
                <w:b/>
                <w:bCs/>
                <w:color w:val="FFFFFF" w:themeColor="background1"/>
                <w:sz w:val="18"/>
                <w:szCs w:val="18"/>
              </w:rPr>
              <w:t xml:space="preserve"> </w:t>
            </w:r>
            <w:r w:rsidR="0025235E" w:rsidRPr="0025235E">
              <w:rPr>
                <w:rFonts w:ascii="Calibri" w:hAnsi="Calibri"/>
                <w:b/>
                <w:bCs/>
                <w:color w:val="FFFFFF" w:themeColor="background1"/>
                <w:szCs w:val="18"/>
              </w:rPr>
              <w:t>(MW</w:t>
            </w:r>
            <w:r w:rsidR="0025235E" w:rsidRPr="0025235E">
              <w:rPr>
                <w:rFonts w:ascii="Calibri" w:hAnsi="Calibri"/>
                <w:b/>
                <w:bCs/>
                <w:color w:val="FFFFFF" w:themeColor="background1"/>
                <w:szCs w:val="18"/>
                <w:vertAlign w:val="subscript"/>
              </w:rPr>
              <w:t xml:space="preserve">AC </w:t>
            </w:r>
            <w:r w:rsidR="0025235E" w:rsidRPr="0025235E">
              <w:rPr>
                <w:rFonts w:ascii="Calibri" w:hAnsi="Calibri"/>
                <w:b/>
                <w:bCs/>
                <w:color w:val="FFFFFF" w:themeColor="background1"/>
                <w:szCs w:val="18"/>
              </w:rPr>
              <w:t>nameplate ratings)</w:t>
            </w:r>
          </w:p>
        </w:tc>
      </w:tr>
      <w:tr w:rsidR="001B1F4D" w:rsidRPr="001B1F4D" w14:paraId="411FCF50" w14:textId="77777777" w:rsidTr="00EB271B">
        <w:trPr>
          <w:trHeight w:val="300"/>
          <w:jc w:val="center"/>
        </w:trPr>
        <w:tc>
          <w:tcPr>
            <w:tcW w:w="1469" w:type="dxa"/>
            <w:vMerge/>
            <w:shd w:val="clear" w:color="auto" w:fill="1795D2" w:themeFill="accent1"/>
            <w:tcMar>
              <w:top w:w="0" w:type="dxa"/>
              <w:bottom w:w="0" w:type="dxa"/>
            </w:tcMar>
            <w:vAlign w:val="center"/>
            <w:hideMark/>
          </w:tcPr>
          <w:p w14:paraId="3FC6C62B" w14:textId="77777777"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62" w:type="dxa"/>
            <w:vMerge/>
            <w:shd w:val="clear" w:color="auto" w:fill="1795D2" w:themeFill="accent1"/>
            <w:tcMar>
              <w:top w:w="0" w:type="dxa"/>
              <w:bottom w:w="0" w:type="dxa"/>
            </w:tcMar>
            <w:vAlign w:val="center"/>
            <w:hideMark/>
          </w:tcPr>
          <w:p w14:paraId="47AD326B" w14:textId="77777777" w:rsidR="001B1F4D" w:rsidRPr="001B1F4D" w:rsidRDefault="001B1F4D" w:rsidP="001B1F4D">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1795D2" w:themeFill="accent1"/>
            <w:noWrap/>
            <w:tcMar>
              <w:top w:w="0" w:type="dxa"/>
              <w:left w:w="108" w:type="dxa"/>
              <w:bottom w:w="0" w:type="dxa"/>
              <w:right w:w="108" w:type="dxa"/>
            </w:tcMar>
            <w:vAlign w:val="center"/>
            <w:hideMark/>
          </w:tcPr>
          <w:p w14:paraId="5A7401B2"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CT</w:t>
            </w:r>
          </w:p>
        </w:tc>
        <w:tc>
          <w:tcPr>
            <w:tcW w:w="982" w:type="dxa"/>
            <w:gridSpan w:val="2"/>
            <w:shd w:val="clear" w:color="auto" w:fill="1795D2" w:themeFill="accent1"/>
            <w:noWrap/>
            <w:tcMar>
              <w:top w:w="0" w:type="dxa"/>
              <w:left w:w="108" w:type="dxa"/>
              <w:bottom w:w="0" w:type="dxa"/>
              <w:right w:w="108" w:type="dxa"/>
            </w:tcMar>
            <w:vAlign w:val="center"/>
            <w:hideMark/>
          </w:tcPr>
          <w:p w14:paraId="2F71E6CD"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MA</w:t>
            </w:r>
          </w:p>
        </w:tc>
        <w:tc>
          <w:tcPr>
            <w:tcW w:w="997" w:type="dxa"/>
            <w:gridSpan w:val="2"/>
            <w:shd w:val="clear" w:color="auto" w:fill="1795D2" w:themeFill="accent1"/>
            <w:noWrap/>
            <w:tcMar>
              <w:top w:w="0" w:type="dxa"/>
              <w:left w:w="108" w:type="dxa"/>
              <w:bottom w:w="0" w:type="dxa"/>
              <w:right w:w="108" w:type="dxa"/>
            </w:tcMar>
            <w:vAlign w:val="center"/>
            <w:hideMark/>
          </w:tcPr>
          <w:p w14:paraId="3FB017D8"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ME</w:t>
            </w:r>
          </w:p>
        </w:tc>
        <w:tc>
          <w:tcPr>
            <w:tcW w:w="982" w:type="dxa"/>
            <w:shd w:val="clear" w:color="auto" w:fill="1795D2" w:themeFill="accent1"/>
            <w:noWrap/>
            <w:tcMar>
              <w:top w:w="0" w:type="dxa"/>
              <w:left w:w="108" w:type="dxa"/>
              <w:bottom w:w="0" w:type="dxa"/>
              <w:right w:w="108" w:type="dxa"/>
            </w:tcMar>
            <w:vAlign w:val="center"/>
            <w:hideMark/>
          </w:tcPr>
          <w:p w14:paraId="618F9D59"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NH</w:t>
            </w:r>
          </w:p>
        </w:tc>
        <w:tc>
          <w:tcPr>
            <w:tcW w:w="982" w:type="dxa"/>
            <w:shd w:val="clear" w:color="auto" w:fill="1795D2" w:themeFill="accent1"/>
            <w:noWrap/>
            <w:tcMar>
              <w:top w:w="0" w:type="dxa"/>
              <w:left w:w="108" w:type="dxa"/>
              <w:bottom w:w="0" w:type="dxa"/>
              <w:right w:w="108" w:type="dxa"/>
            </w:tcMar>
            <w:vAlign w:val="center"/>
            <w:hideMark/>
          </w:tcPr>
          <w:p w14:paraId="5D943E0A"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RI</w:t>
            </w:r>
          </w:p>
        </w:tc>
        <w:tc>
          <w:tcPr>
            <w:tcW w:w="983" w:type="dxa"/>
            <w:shd w:val="clear" w:color="auto" w:fill="1795D2" w:themeFill="accent1"/>
            <w:noWrap/>
            <w:tcMar>
              <w:top w:w="0" w:type="dxa"/>
              <w:left w:w="108" w:type="dxa"/>
              <w:bottom w:w="0" w:type="dxa"/>
              <w:right w:w="108" w:type="dxa"/>
            </w:tcMar>
            <w:vAlign w:val="center"/>
            <w:hideMark/>
          </w:tcPr>
          <w:p w14:paraId="1B1CF641"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VT</w:t>
            </w:r>
          </w:p>
        </w:tc>
      </w:tr>
      <w:tr w:rsidR="001B1F4D" w:rsidRPr="001B1F4D" w14:paraId="1F6C8056"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7C6116A3"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Through 2018</w:t>
            </w:r>
          </w:p>
        </w:tc>
        <w:tc>
          <w:tcPr>
            <w:tcW w:w="980" w:type="dxa"/>
            <w:gridSpan w:val="2"/>
            <w:shd w:val="clear" w:color="auto" w:fill="auto"/>
            <w:tcMar>
              <w:top w:w="0" w:type="dxa"/>
              <w:left w:w="0" w:type="dxa"/>
              <w:bottom w:w="0" w:type="dxa"/>
              <w:right w:w="115" w:type="dxa"/>
            </w:tcMar>
            <w:vAlign w:val="center"/>
          </w:tcPr>
          <w:p w14:paraId="33AE5E9B"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2,883.8</w:t>
            </w:r>
          </w:p>
        </w:tc>
        <w:tc>
          <w:tcPr>
            <w:tcW w:w="981" w:type="dxa"/>
            <w:gridSpan w:val="2"/>
            <w:shd w:val="clear" w:color="auto" w:fill="auto"/>
            <w:noWrap/>
            <w:tcMar>
              <w:top w:w="0" w:type="dxa"/>
              <w:left w:w="0" w:type="dxa"/>
              <w:bottom w:w="0" w:type="dxa"/>
              <w:right w:w="115" w:type="dxa"/>
            </w:tcMar>
            <w:vAlign w:val="center"/>
          </w:tcPr>
          <w:p w14:paraId="43702FA8"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464.3</w:t>
            </w:r>
          </w:p>
        </w:tc>
        <w:tc>
          <w:tcPr>
            <w:tcW w:w="982" w:type="dxa"/>
            <w:gridSpan w:val="2"/>
            <w:shd w:val="clear" w:color="auto" w:fill="auto"/>
            <w:noWrap/>
            <w:tcMar>
              <w:top w:w="0" w:type="dxa"/>
              <w:left w:w="0" w:type="dxa"/>
              <w:bottom w:w="0" w:type="dxa"/>
              <w:right w:w="115" w:type="dxa"/>
            </w:tcMar>
            <w:vAlign w:val="center"/>
          </w:tcPr>
          <w:p w14:paraId="41E12795"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1871.3</w:t>
            </w:r>
          </w:p>
        </w:tc>
        <w:tc>
          <w:tcPr>
            <w:tcW w:w="981" w:type="dxa"/>
            <w:shd w:val="clear" w:color="auto" w:fill="auto"/>
            <w:noWrap/>
            <w:tcMar>
              <w:top w:w="0" w:type="dxa"/>
              <w:left w:w="0" w:type="dxa"/>
              <w:bottom w:w="0" w:type="dxa"/>
              <w:right w:w="115" w:type="dxa"/>
            </w:tcMar>
            <w:vAlign w:val="center"/>
          </w:tcPr>
          <w:p w14:paraId="75B85A04"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41.4</w:t>
            </w:r>
          </w:p>
        </w:tc>
        <w:tc>
          <w:tcPr>
            <w:tcW w:w="982" w:type="dxa"/>
            <w:shd w:val="clear" w:color="auto" w:fill="auto"/>
            <w:noWrap/>
            <w:tcMar>
              <w:top w:w="0" w:type="dxa"/>
              <w:left w:w="0" w:type="dxa"/>
              <w:bottom w:w="0" w:type="dxa"/>
              <w:right w:w="115" w:type="dxa"/>
            </w:tcMar>
            <w:vAlign w:val="center"/>
          </w:tcPr>
          <w:p w14:paraId="3C6231F5"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83.8</w:t>
            </w:r>
          </w:p>
        </w:tc>
        <w:tc>
          <w:tcPr>
            <w:tcW w:w="982" w:type="dxa"/>
            <w:shd w:val="clear" w:color="auto" w:fill="auto"/>
            <w:noWrap/>
            <w:tcMar>
              <w:top w:w="0" w:type="dxa"/>
              <w:left w:w="0" w:type="dxa"/>
              <w:bottom w:w="0" w:type="dxa"/>
              <w:right w:w="115" w:type="dxa"/>
            </w:tcMar>
            <w:vAlign w:val="center"/>
          </w:tcPr>
          <w:p w14:paraId="1E234A10"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116.7</w:t>
            </w:r>
          </w:p>
        </w:tc>
        <w:tc>
          <w:tcPr>
            <w:tcW w:w="983" w:type="dxa"/>
            <w:shd w:val="clear" w:color="auto" w:fill="auto"/>
            <w:noWrap/>
            <w:tcMar>
              <w:top w:w="0" w:type="dxa"/>
              <w:left w:w="0" w:type="dxa"/>
              <w:bottom w:w="0" w:type="dxa"/>
              <w:right w:w="115" w:type="dxa"/>
            </w:tcMar>
            <w:vAlign w:val="center"/>
          </w:tcPr>
          <w:p w14:paraId="4ADD1B48"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306.3</w:t>
            </w:r>
          </w:p>
        </w:tc>
      </w:tr>
      <w:tr w:rsidR="001B1F4D" w:rsidRPr="001B1F4D" w14:paraId="50630FE3" w14:textId="77777777"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14:paraId="20841B4A"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2019</w:t>
            </w:r>
          </w:p>
        </w:tc>
        <w:tc>
          <w:tcPr>
            <w:tcW w:w="980" w:type="dxa"/>
            <w:gridSpan w:val="2"/>
            <w:shd w:val="clear" w:color="auto" w:fill="CCEAF9" w:themeFill="accent1" w:themeFillTint="33"/>
            <w:noWrap/>
            <w:tcMar>
              <w:top w:w="0" w:type="dxa"/>
              <w:left w:w="0" w:type="dxa"/>
              <w:bottom w:w="0" w:type="dxa"/>
              <w:right w:w="115" w:type="dxa"/>
            </w:tcMar>
            <w:vAlign w:val="center"/>
          </w:tcPr>
          <w:p w14:paraId="0717BAA1"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463.1</w:t>
            </w:r>
          </w:p>
        </w:tc>
        <w:tc>
          <w:tcPr>
            <w:tcW w:w="981" w:type="dxa"/>
            <w:gridSpan w:val="2"/>
            <w:shd w:val="clear" w:color="auto" w:fill="CCEAF9" w:themeFill="accent1" w:themeFillTint="33"/>
            <w:noWrap/>
            <w:tcMar>
              <w:top w:w="0" w:type="dxa"/>
              <w:left w:w="0" w:type="dxa"/>
              <w:bottom w:w="0" w:type="dxa"/>
              <w:right w:w="115" w:type="dxa"/>
            </w:tcMar>
            <w:vAlign w:val="center"/>
          </w:tcPr>
          <w:p w14:paraId="345F76A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68.4</w:t>
            </w:r>
          </w:p>
        </w:tc>
        <w:tc>
          <w:tcPr>
            <w:tcW w:w="982" w:type="dxa"/>
            <w:gridSpan w:val="2"/>
            <w:shd w:val="clear" w:color="auto" w:fill="CCEAF9" w:themeFill="accent1" w:themeFillTint="33"/>
            <w:noWrap/>
            <w:tcMar>
              <w:top w:w="0" w:type="dxa"/>
              <w:left w:w="0" w:type="dxa"/>
              <w:bottom w:w="0" w:type="dxa"/>
              <w:right w:w="115" w:type="dxa"/>
            </w:tcMar>
            <w:vAlign w:val="center"/>
          </w:tcPr>
          <w:p w14:paraId="4D588990"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292.0</w:t>
            </w:r>
          </w:p>
        </w:tc>
        <w:tc>
          <w:tcPr>
            <w:tcW w:w="981" w:type="dxa"/>
            <w:shd w:val="clear" w:color="auto" w:fill="CCEAF9" w:themeFill="accent1" w:themeFillTint="33"/>
            <w:noWrap/>
            <w:tcMar>
              <w:top w:w="0" w:type="dxa"/>
              <w:left w:w="0" w:type="dxa"/>
              <w:bottom w:w="0" w:type="dxa"/>
              <w:right w:w="115" w:type="dxa"/>
            </w:tcMar>
            <w:vAlign w:val="center"/>
          </w:tcPr>
          <w:p w14:paraId="58A2346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CCEAF9" w:themeFill="accent1" w:themeFillTint="33"/>
            <w:noWrap/>
            <w:tcMar>
              <w:top w:w="0" w:type="dxa"/>
              <w:left w:w="0" w:type="dxa"/>
              <w:bottom w:w="0" w:type="dxa"/>
              <w:right w:w="115" w:type="dxa"/>
            </w:tcMar>
            <w:vAlign w:val="center"/>
          </w:tcPr>
          <w:p w14:paraId="61C20EA4"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CCEAF9" w:themeFill="accent1" w:themeFillTint="33"/>
            <w:noWrap/>
            <w:tcMar>
              <w:top w:w="0" w:type="dxa"/>
              <w:left w:w="0" w:type="dxa"/>
              <w:bottom w:w="0" w:type="dxa"/>
              <w:right w:w="115" w:type="dxa"/>
            </w:tcMar>
            <w:vAlign w:val="center"/>
          </w:tcPr>
          <w:p w14:paraId="6CB889A2"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CCEAF9" w:themeFill="accent1" w:themeFillTint="33"/>
            <w:noWrap/>
            <w:tcMar>
              <w:top w:w="0" w:type="dxa"/>
              <w:left w:w="0" w:type="dxa"/>
              <w:bottom w:w="0" w:type="dxa"/>
              <w:right w:w="115" w:type="dxa"/>
            </w:tcMar>
            <w:vAlign w:val="center"/>
          </w:tcPr>
          <w:p w14:paraId="7E8506CE"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31.5</w:t>
            </w:r>
          </w:p>
        </w:tc>
      </w:tr>
      <w:tr w:rsidR="001B1F4D" w:rsidRPr="001B1F4D" w14:paraId="47669129"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03654578"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2020</w:t>
            </w:r>
          </w:p>
        </w:tc>
        <w:tc>
          <w:tcPr>
            <w:tcW w:w="980" w:type="dxa"/>
            <w:gridSpan w:val="2"/>
            <w:shd w:val="clear" w:color="auto" w:fill="auto"/>
            <w:noWrap/>
            <w:tcMar>
              <w:top w:w="0" w:type="dxa"/>
              <w:left w:w="0" w:type="dxa"/>
              <w:bottom w:w="0" w:type="dxa"/>
              <w:right w:w="115" w:type="dxa"/>
            </w:tcMar>
            <w:vAlign w:val="center"/>
          </w:tcPr>
          <w:p w14:paraId="5F26C371"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472.8</w:t>
            </w:r>
          </w:p>
        </w:tc>
        <w:tc>
          <w:tcPr>
            <w:tcW w:w="981" w:type="dxa"/>
            <w:gridSpan w:val="2"/>
            <w:shd w:val="clear" w:color="auto" w:fill="auto"/>
            <w:noWrap/>
            <w:tcMar>
              <w:top w:w="0" w:type="dxa"/>
              <w:left w:w="0" w:type="dxa"/>
              <w:bottom w:w="0" w:type="dxa"/>
              <w:right w:w="115" w:type="dxa"/>
            </w:tcMar>
            <w:vAlign w:val="center"/>
          </w:tcPr>
          <w:p w14:paraId="6D249E64"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91.1</w:t>
            </w:r>
          </w:p>
        </w:tc>
        <w:tc>
          <w:tcPr>
            <w:tcW w:w="982" w:type="dxa"/>
            <w:gridSpan w:val="2"/>
            <w:shd w:val="clear" w:color="auto" w:fill="auto"/>
            <w:noWrap/>
            <w:tcMar>
              <w:top w:w="0" w:type="dxa"/>
              <w:left w:w="0" w:type="dxa"/>
              <w:bottom w:w="0" w:type="dxa"/>
              <w:right w:w="115" w:type="dxa"/>
            </w:tcMar>
            <w:vAlign w:val="center"/>
          </w:tcPr>
          <w:p w14:paraId="30DD4216"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288.0</w:t>
            </w:r>
          </w:p>
        </w:tc>
        <w:tc>
          <w:tcPr>
            <w:tcW w:w="981" w:type="dxa"/>
            <w:shd w:val="clear" w:color="auto" w:fill="auto"/>
            <w:noWrap/>
            <w:tcMar>
              <w:top w:w="0" w:type="dxa"/>
              <w:left w:w="0" w:type="dxa"/>
              <w:bottom w:w="0" w:type="dxa"/>
              <w:right w:w="115" w:type="dxa"/>
            </w:tcMar>
            <w:vAlign w:val="center"/>
          </w:tcPr>
          <w:p w14:paraId="333D253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w:t>
            </w:r>
          </w:p>
        </w:tc>
        <w:tc>
          <w:tcPr>
            <w:tcW w:w="982" w:type="dxa"/>
            <w:shd w:val="clear" w:color="auto" w:fill="auto"/>
            <w:noWrap/>
            <w:tcMar>
              <w:top w:w="0" w:type="dxa"/>
              <w:left w:w="0" w:type="dxa"/>
              <w:bottom w:w="0" w:type="dxa"/>
              <w:right w:w="115" w:type="dxa"/>
            </w:tcMar>
            <w:vAlign w:val="center"/>
          </w:tcPr>
          <w:p w14:paraId="4BC9F6B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12.7</w:t>
            </w:r>
          </w:p>
        </w:tc>
        <w:tc>
          <w:tcPr>
            <w:tcW w:w="982" w:type="dxa"/>
            <w:shd w:val="clear" w:color="auto" w:fill="auto"/>
            <w:noWrap/>
            <w:tcMar>
              <w:top w:w="0" w:type="dxa"/>
              <w:left w:w="0" w:type="dxa"/>
              <w:bottom w:w="0" w:type="dxa"/>
              <w:right w:w="115" w:type="dxa"/>
            </w:tcMar>
            <w:vAlign w:val="center"/>
          </w:tcPr>
          <w:p w14:paraId="1E0B943E"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51.3</w:t>
            </w:r>
          </w:p>
        </w:tc>
        <w:tc>
          <w:tcPr>
            <w:tcW w:w="983" w:type="dxa"/>
            <w:shd w:val="clear" w:color="auto" w:fill="auto"/>
            <w:noWrap/>
            <w:tcMar>
              <w:top w:w="0" w:type="dxa"/>
              <w:left w:w="0" w:type="dxa"/>
              <w:bottom w:w="0" w:type="dxa"/>
              <w:right w:w="115" w:type="dxa"/>
            </w:tcMar>
            <w:vAlign w:val="center"/>
          </w:tcPr>
          <w:p w14:paraId="3D42D15C"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22.5</w:t>
            </w:r>
          </w:p>
        </w:tc>
      </w:tr>
      <w:tr w:rsidR="001B1F4D" w:rsidRPr="001B1F4D" w14:paraId="75E1C380" w14:textId="77777777"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14:paraId="44DBAA76"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2021</w:t>
            </w:r>
          </w:p>
        </w:tc>
        <w:tc>
          <w:tcPr>
            <w:tcW w:w="980" w:type="dxa"/>
            <w:gridSpan w:val="2"/>
            <w:shd w:val="clear" w:color="auto" w:fill="CCEAF9" w:themeFill="accent1" w:themeFillTint="33"/>
            <w:noWrap/>
            <w:tcMar>
              <w:top w:w="0" w:type="dxa"/>
              <w:left w:w="0" w:type="dxa"/>
              <w:bottom w:w="0" w:type="dxa"/>
              <w:right w:w="115" w:type="dxa"/>
            </w:tcMar>
            <w:vAlign w:val="center"/>
          </w:tcPr>
          <w:p w14:paraId="3A273F2B"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458.0</w:t>
            </w:r>
          </w:p>
        </w:tc>
        <w:tc>
          <w:tcPr>
            <w:tcW w:w="981" w:type="dxa"/>
            <w:gridSpan w:val="2"/>
            <w:shd w:val="clear" w:color="auto" w:fill="CCEAF9" w:themeFill="accent1" w:themeFillTint="33"/>
            <w:noWrap/>
            <w:tcMar>
              <w:top w:w="0" w:type="dxa"/>
              <w:left w:w="0" w:type="dxa"/>
              <w:bottom w:w="0" w:type="dxa"/>
              <w:right w:w="115" w:type="dxa"/>
            </w:tcMar>
            <w:vAlign w:val="center"/>
          </w:tcPr>
          <w:p w14:paraId="0EAF2758"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CCEAF9" w:themeFill="accent1" w:themeFillTint="33"/>
            <w:noWrap/>
            <w:tcMar>
              <w:top w:w="0" w:type="dxa"/>
              <w:left w:w="0" w:type="dxa"/>
              <w:bottom w:w="0" w:type="dxa"/>
              <w:right w:w="115" w:type="dxa"/>
            </w:tcMar>
            <w:vAlign w:val="center"/>
          </w:tcPr>
          <w:p w14:paraId="708522D3"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14:paraId="3E95D9E9"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14:paraId="15D590CB"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14:paraId="3D208AB9"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48.5</w:t>
            </w:r>
          </w:p>
        </w:tc>
        <w:tc>
          <w:tcPr>
            <w:tcW w:w="983" w:type="dxa"/>
            <w:shd w:val="clear" w:color="auto" w:fill="CCEAF9" w:themeFill="accent1" w:themeFillTint="33"/>
            <w:noWrap/>
            <w:tcMar>
              <w:top w:w="0" w:type="dxa"/>
              <w:left w:w="0" w:type="dxa"/>
              <w:bottom w:w="0" w:type="dxa"/>
              <w:right w:w="115" w:type="dxa"/>
            </w:tcMar>
            <w:vAlign w:val="center"/>
          </w:tcPr>
          <w:p w14:paraId="24769FEB"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72489502"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7115EA20"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2022</w:t>
            </w:r>
          </w:p>
        </w:tc>
        <w:tc>
          <w:tcPr>
            <w:tcW w:w="980" w:type="dxa"/>
            <w:gridSpan w:val="2"/>
            <w:shd w:val="clear" w:color="auto" w:fill="auto"/>
            <w:noWrap/>
            <w:tcMar>
              <w:top w:w="0" w:type="dxa"/>
              <w:left w:w="0" w:type="dxa"/>
              <w:bottom w:w="0" w:type="dxa"/>
              <w:right w:w="115" w:type="dxa"/>
            </w:tcMar>
            <w:vAlign w:val="center"/>
          </w:tcPr>
          <w:p w14:paraId="70C3CBBA"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451.9</w:t>
            </w:r>
          </w:p>
        </w:tc>
        <w:tc>
          <w:tcPr>
            <w:tcW w:w="981" w:type="dxa"/>
            <w:gridSpan w:val="2"/>
            <w:shd w:val="clear" w:color="auto" w:fill="auto"/>
            <w:noWrap/>
            <w:tcMar>
              <w:top w:w="0" w:type="dxa"/>
              <w:left w:w="0" w:type="dxa"/>
              <w:bottom w:w="0" w:type="dxa"/>
              <w:right w:w="115" w:type="dxa"/>
            </w:tcMar>
            <w:vAlign w:val="center"/>
          </w:tcPr>
          <w:p w14:paraId="226B9363"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97.5</w:t>
            </w:r>
          </w:p>
        </w:tc>
        <w:tc>
          <w:tcPr>
            <w:tcW w:w="982" w:type="dxa"/>
            <w:gridSpan w:val="2"/>
            <w:shd w:val="clear" w:color="auto" w:fill="auto"/>
            <w:noWrap/>
            <w:tcMar>
              <w:top w:w="0" w:type="dxa"/>
              <w:left w:w="0" w:type="dxa"/>
              <w:bottom w:w="0" w:type="dxa"/>
              <w:right w:w="115" w:type="dxa"/>
            </w:tcMar>
            <w:vAlign w:val="center"/>
          </w:tcPr>
          <w:p w14:paraId="1401F756"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auto"/>
            <w:noWrap/>
            <w:tcMar>
              <w:top w:w="0" w:type="dxa"/>
              <w:left w:w="0" w:type="dxa"/>
              <w:bottom w:w="0" w:type="dxa"/>
              <w:right w:w="115" w:type="dxa"/>
            </w:tcMar>
            <w:vAlign w:val="center"/>
          </w:tcPr>
          <w:p w14:paraId="2A7A64D4"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14:paraId="347AD08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14:paraId="669F0876"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14:paraId="7E1477E5"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77842D41" w14:textId="77777777"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14:paraId="658961A3"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2023</w:t>
            </w:r>
          </w:p>
        </w:tc>
        <w:tc>
          <w:tcPr>
            <w:tcW w:w="980" w:type="dxa"/>
            <w:gridSpan w:val="2"/>
            <w:shd w:val="clear" w:color="auto" w:fill="CCEAF9" w:themeFill="accent1" w:themeFillTint="33"/>
            <w:noWrap/>
            <w:tcMar>
              <w:top w:w="0" w:type="dxa"/>
              <w:left w:w="0" w:type="dxa"/>
              <w:bottom w:w="0" w:type="dxa"/>
              <w:right w:w="115" w:type="dxa"/>
            </w:tcMar>
            <w:vAlign w:val="center"/>
          </w:tcPr>
          <w:p w14:paraId="6273AA6A"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426.0</w:t>
            </w:r>
          </w:p>
        </w:tc>
        <w:tc>
          <w:tcPr>
            <w:tcW w:w="981" w:type="dxa"/>
            <w:gridSpan w:val="2"/>
            <w:shd w:val="clear" w:color="auto" w:fill="CCEAF9" w:themeFill="accent1" w:themeFillTint="33"/>
            <w:noWrap/>
            <w:tcMar>
              <w:top w:w="0" w:type="dxa"/>
              <w:left w:w="0" w:type="dxa"/>
              <w:bottom w:w="0" w:type="dxa"/>
              <w:right w:w="115" w:type="dxa"/>
            </w:tcMar>
            <w:vAlign w:val="center"/>
          </w:tcPr>
          <w:p w14:paraId="0A5D9C8C"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14:paraId="444B59E3"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272.0</w:t>
            </w:r>
          </w:p>
        </w:tc>
        <w:tc>
          <w:tcPr>
            <w:tcW w:w="981" w:type="dxa"/>
            <w:shd w:val="clear" w:color="auto" w:fill="CCEAF9" w:themeFill="accent1" w:themeFillTint="33"/>
            <w:noWrap/>
            <w:tcMar>
              <w:top w:w="0" w:type="dxa"/>
              <w:left w:w="0" w:type="dxa"/>
              <w:bottom w:w="0" w:type="dxa"/>
              <w:right w:w="115" w:type="dxa"/>
            </w:tcMar>
            <w:vAlign w:val="center"/>
          </w:tcPr>
          <w:p w14:paraId="19C427B1"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14:paraId="15337D0E"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14:paraId="73514E0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14:paraId="112C9CB3"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7ED8AC62"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24C91997"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2024</w:t>
            </w:r>
          </w:p>
        </w:tc>
        <w:tc>
          <w:tcPr>
            <w:tcW w:w="980" w:type="dxa"/>
            <w:gridSpan w:val="2"/>
            <w:shd w:val="clear" w:color="auto" w:fill="auto"/>
            <w:noWrap/>
            <w:tcMar>
              <w:top w:w="0" w:type="dxa"/>
              <w:left w:w="0" w:type="dxa"/>
              <w:bottom w:w="0" w:type="dxa"/>
              <w:right w:w="115" w:type="dxa"/>
            </w:tcMar>
            <w:vAlign w:val="center"/>
          </w:tcPr>
          <w:p w14:paraId="51E77CD0"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358.0</w:t>
            </w:r>
          </w:p>
        </w:tc>
        <w:tc>
          <w:tcPr>
            <w:tcW w:w="981" w:type="dxa"/>
            <w:gridSpan w:val="2"/>
            <w:shd w:val="clear" w:color="auto" w:fill="auto"/>
            <w:noWrap/>
            <w:tcMar>
              <w:top w:w="0" w:type="dxa"/>
              <w:left w:w="0" w:type="dxa"/>
              <w:bottom w:w="0" w:type="dxa"/>
              <w:right w:w="115" w:type="dxa"/>
            </w:tcMar>
            <w:vAlign w:val="center"/>
          </w:tcPr>
          <w:p w14:paraId="38AC11E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14:paraId="3C388D2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204.0</w:t>
            </w:r>
          </w:p>
        </w:tc>
        <w:tc>
          <w:tcPr>
            <w:tcW w:w="981" w:type="dxa"/>
            <w:shd w:val="clear" w:color="auto" w:fill="auto"/>
            <w:noWrap/>
            <w:tcMar>
              <w:top w:w="0" w:type="dxa"/>
              <w:left w:w="0" w:type="dxa"/>
              <w:bottom w:w="0" w:type="dxa"/>
              <w:right w:w="115" w:type="dxa"/>
            </w:tcMar>
            <w:vAlign w:val="center"/>
          </w:tcPr>
          <w:p w14:paraId="608D26F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14:paraId="221D3C09"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14:paraId="5694D85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14:paraId="273D89B5"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1BDEC01C" w14:textId="77777777"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14:paraId="595A1E51"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2025</w:t>
            </w:r>
          </w:p>
        </w:tc>
        <w:tc>
          <w:tcPr>
            <w:tcW w:w="980" w:type="dxa"/>
            <w:gridSpan w:val="2"/>
            <w:shd w:val="clear" w:color="auto" w:fill="CCEAF9" w:themeFill="accent1" w:themeFillTint="33"/>
            <w:noWrap/>
            <w:tcMar>
              <w:top w:w="0" w:type="dxa"/>
              <w:left w:w="0" w:type="dxa"/>
              <w:bottom w:w="0" w:type="dxa"/>
              <w:right w:w="115" w:type="dxa"/>
            </w:tcMar>
            <w:vAlign w:val="center"/>
          </w:tcPr>
          <w:p w14:paraId="7149E6DC"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330.0</w:t>
            </w:r>
          </w:p>
        </w:tc>
        <w:tc>
          <w:tcPr>
            <w:tcW w:w="981" w:type="dxa"/>
            <w:gridSpan w:val="2"/>
            <w:shd w:val="clear" w:color="auto" w:fill="CCEAF9" w:themeFill="accent1" w:themeFillTint="33"/>
            <w:noWrap/>
            <w:tcMar>
              <w:top w:w="0" w:type="dxa"/>
              <w:left w:w="0" w:type="dxa"/>
              <w:bottom w:w="0" w:type="dxa"/>
              <w:right w:w="115" w:type="dxa"/>
            </w:tcMar>
            <w:vAlign w:val="center"/>
          </w:tcPr>
          <w:p w14:paraId="3B2A732B"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CCEAF9" w:themeFill="accent1" w:themeFillTint="33"/>
            <w:noWrap/>
            <w:tcMar>
              <w:top w:w="0" w:type="dxa"/>
              <w:left w:w="0" w:type="dxa"/>
              <w:bottom w:w="0" w:type="dxa"/>
              <w:right w:w="115" w:type="dxa"/>
            </w:tcMar>
            <w:vAlign w:val="center"/>
          </w:tcPr>
          <w:p w14:paraId="66910C2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176.0</w:t>
            </w:r>
          </w:p>
        </w:tc>
        <w:tc>
          <w:tcPr>
            <w:tcW w:w="981" w:type="dxa"/>
            <w:shd w:val="clear" w:color="auto" w:fill="CCEAF9" w:themeFill="accent1" w:themeFillTint="33"/>
            <w:noWrap/>
            <w:tcMar>
              <w:top w:w="0" w:type="dxa"/>
              <w:left w:w="0" w:type="dxa"/>
              <w:bottom w:w="0" w:type="dxa"/>
              <w:right w:w="115" w:type="dxa"/>
            </w:tcMar>
            <w:vAlign w:val="center"/>
          </w:tcPr>
          <w:p w14:paraId="658C9567"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14:paraId="5D4C6AB5"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14:paraId="57A676D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14:paraId="282B300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4326B555"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4B7CA8CB"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2026</w:t>
            </w:r>
          </w:p>
        </w:tc>
        <w:tc>
          <w:tcPr>
            <w:tcW w:w="980" w:type="dxa"/>
            <w:gridSpan w:val="2"/>
            <w:shd w:val="clear" w:color="auto" w:fill="auto"/>
            <w:noWrap/>
            <w:tcMar>
              <w:top w:w="0" w:type="dxa"/>
              <w:left w:w="0" w:type="dxa"/>
              <w:bottom w:w="0" w:type="dxa"/>
              <w:right w:w="115" w:type="dxa"/>
            </w:tcMar>
            <w:vAlign w:val="center"/>
          </w:tcPr>
          <w:p w14:paraId="08645D8C"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324.7</w:t>
            </w:r>
          </w:p>
        </w:tc>
        <w:tc>
          <w:tcPr>
            <w:tcW w:w="981" w:type="dxa"/>
            <w:gridSpan w:val="2"/>
            <w:shd w:val="clear" w:color="auto" w:fill="auto"/>
            <w:noWrap/>
            <w:tcMar>
              <w:top w:w="0" w:type="dxa"/>
              <w:left w:w="0" w:type="dxa"/>
              <w:bottom w:w="0" w:type="dxa"/>
              <w:right w:w="115" w:type="dxa"/>
            </w:tcMar>
            <w:vAlign w:val="center"/>
          </w:tcPr>
          <w:p w14:paraId="0D65899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71.6</w:t>
            </w:r>
          </w:p>
        </w:tc>
        <w:tc>
          <w:tcPr>
            <w:tcW w:w="982" w:type="dxa"/>
            <w:gridSpan w:val="2"/>
            <w:shd w:val="clear" w:color="auto" w:fill="auto"/>
            <w:noWrap/>
            <w:tcMar>
              <w:top w:w="0" w:type="dxa"/>
              <w:left w:w="0" w:type="dxa"/>
              <w:bottom w:w="0" w:type="dxa"/>
              <w:right w:w="115" w:type="dxa"/>
            </w:tcMar>
            <w:vAlign w:val="center"/>
          </w:tcPr>
          <w:p w14:paraId="0B5D505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170.7</w:t>
            </w:r>
          </w:p>
        </w:tc>
        <w:tc>
          <w:tcPr>
            <w:tcW w:w="981" w:type="dxa"/>
            <w:shd w:val="clear" w:color="auto" w:fill="auto"/>
            <w:noWrap/>
            <w:tcMar>
              <w:top w:w="0" w:type="dxa"/>
              <w:left w:w="0" w:type="dxa"/>
              <w:bottom w:w="0" w:type="dxa"/>
              <w:right w:w="115" w:type="dxa"/>
            </w:tcMar>
            <w:vAlign w:val="center"/>
          </w:tcPr>
          <w:p w14:paraId="15E0AAB9"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14:paraId="670231C1"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14:paraId="5A3B9BF1"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14:paraId="3BDA5CCB"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30F7C1EE" w14:textId="77777777" w:rsidTr="00EB271B">
        <w:trPr>
          <w:trHeight w:val="300"/>
          <w:jc w:val="center"/>
        </w:trPr>
        <w:tc>
          <w:tcPr>
            <w:tcW w:w="1469" w:type="dxa"/>
            <w:shd w:val="clear" w:color="auto" w:fill="CCEAF9" w:themeFill="accent1" w:themeFillTint="33"/>
            <w:noWrap/>
            <w:tcMar>
              <w:top w:w="0" w:type="dxa"/>
              <w:left w:w="115" w:type="dxa"/>
              <w:bottom w:w="0" w:type="dxa"/>
              <w:right w:w="115" w:type="dxa"/>
            </w:tcMar>
            <w:vAlign w:val="center"/>
            <w:hideMark/>
          </w:tcPr>
          <w:p w14:paraId="3F0752B3"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2027</w:t>
            </w:r>
          </w:p>
        </w:tc>
        <w:tc>
          <w:tcPr>
            <w:tcW w:w="980" w:type="dxa"/>
            <w:gridSpan w:val="2"/>
            <w:shd w:val="clear" w:color="auto" w:fill="CCEAF9" w:themeFill="accent1" w:themeFillTint="33"/>
            <w:noWrap/>
            <w:tcMar>
              <w:top w:w="0" w:type="dxa"/>
              <w:left w:w="0" w:type="dxa"/>
              <w:bottom w:w="0" w:type="dxa"/>
              <w:right w:w="115" w:type="dxa"/>
            </w:tcMar>
            <w:vAlign w:val="center"/>
          </w:tcPr>
          <w:p w14:paraId="16FC682F"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291.3</w:t>
            </w:r>
          </w:p>
        </w:tc>
        <w:tc>
          <w:tcPr>
            <w:tcW w:w="981" w:type="dxa"/>
            <w:gridSpan w:val="2"/>
            <w:shd w:val="clear" w:color="auto" w:fill="CCEAF9" w:themeFill="accent1" w:themeFillTint="33"/>
            <w:noWrap/>
            <w:tcMar>
              <w:top w:w="0" w:type="dxa"/>
              <w:left w:w="0" w:type="dxa"/>
              <w:bottom w:w="0" w:type="dxa"/>
              <w:right w:w="115" w:type="dxa"/>
            </w:tcMar>
            <w:vAlign w:val="center"/>
          </w:tcPr>
          <w:p w14:paraId="6C358DAA"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43.5</w:t>
            </w:r>
          </w:p>
        </w:tc>
        <w:tc>
          <w:tcPr>
            <w:tcW w:w="982" w:type="dxa"/>
            <w:gridSpan w:val="2"/>
            <w:shd w:val="clear" w:color="auto" w:fill="CCEAF9" w:themeFill="accent1" w:themeFillTint="33"/>
            <w:noWrap/>
            <w:tcMar>
              <w:top w:w="0" w:type="dxa"/>
              <w:left w:w="0" w:type="dxa"/>
              <w:bottom w:w="0" w:type="dxa"/>
              <w:right w:w="115" w:type="dxa"/>
            </w:tcMar>
            <w:vAlign w:val="center"/>
          </w:tcPr>
          <w:p w14:paraId="5D88B49B"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165.3</w:t>
            </w:r>
          </w:p>
        </w:tc>
        <w:tc>
          <w:tcPr>
            <w:tcW w:w="981" w:type="dxa"/>
            <w:shd w:val="clear" w:color="auto" w:fill="CCEAF9" w:themeFill="accent1" w:themeFillTint="33"/>
            <w:noWrap/>
            <w:tcMar>
              <w:top w:w="0" w:type="dxa"/>
              <w:left w:w="0" w:type="dxa"/>
              <w:bottom w:w="0" w:type="dxa"/>
              <w:right w:w="115" w:type="dxa"/>
            </w:tcMar>
            <w:vAlign w:val="center"/>
          </w:tcPr>
          <w:p w14:paraId="60859644"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CCEAF9" w:themeFill="accent1" w:themeFillTint="33"/>
            <w:noWrap/>
            <w:tcMar>
              <w:top w:w="0" w:type="dxa"/>
              <w:left w:w="0" w:type="dxa"/>
              <w:bottom w:w="0" w:type="dxa"/>
              <w:right w:w="115" w:type="dxa"/>
            </w:tcMar>
            <w:vAlign w:val="center"/>
          </w:tcPr>
          <w:p w14:paraId="7FE2A77C"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CCEAF9" w:themeFill="accent1" w:themeFillTint="33"/>
            <w:noWrap/>
            <w:tcMar>
              <w:top w:w="0" w:type="dxa"/>
              <w:left w:w="0" w:type="dxa"/>
              <w:bottom w:w="0" w:type="dxa"/>
              <w:right w:w="115" w:type="dxa"/>
            </w:tcMar>
            <w:vAlign w:val="center"/>
          </w:tcPr>
          <w:p w14:paraId="354038C2"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14:paraId="7BCE35E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30653D7A" w14:textId="77777777" w:rsidTr="00EB271B">
        <w:trPr>
          <w:trHeight w:val="300"/>
          <w:jc w:val="center"/>
        </w:trPr>
        <w:tc>
          <w:tcPr>
            <w:tcW w:w="1469" w:type="dxa"/>
            <w:shd w:val="clear" w:color="auto" w:fill="auto"/>
            <w:noWrap/>
            <w:tcMar>
              <w:top w:w="0" w:type="dxa"/>
              <w:left w:w="115" w:type="dxa"/>
              <w:bottom w:w="0" w:type="dxa"/>
              <w:right w:w="115" w:type="dxa"/>
            </w:tcMar>
            <w:vAlign w:val="center"/>
            <w:hideMark/>
          </w:tcPr>
          <w:p w14:paraId="2BD7929E" w14:textId="77777777" w:rsidR="001B1F4D" w:rsidRPr="001B1F4D" w:rsidRDefault="001B1F4D" w:rsidP="001B1F4D">
            <w:pPr>
              <w:keepNext/>
              <w:keepLines/>
              <w:spacing w:after="0" w:line="240" w:lineRule="auto"/>
              <w:rPr>
                <w:rFonts w:asciiTheme="minorHAnsi" w:hAnsiTheme="minorHAnsi"/>
                <w:b/>
                <w:bCs/>
                <w:color w:val="000000"/>
                <w:sz w:val="18"/>
                <w:szCs w:val="18"/>
              </w:rPr>
            </w:pPr>
            <w:r w:rsidRPr="001B1F4D">
              <w:rPr>
                <w:rFonts w:asciiTheme="minorHAnsi" w:hAnsiTheme="minorHAnsi"/>
                <w:b/>
                <w:sz w:val="18"/>
                <w:szCs w:val="18"/>
              </w:rPr>
              <w:t>2028</w:t>
            </w:r>
          </w:p>
        </w:tc>
        <w:tc>
          <w:tcPr>
            <w:tcW w:w="980" w:type="dxa"/>
            <w:gridSpan w:val="2"/>
            <w:shd w:val="clear" w:color="auto" w:fill="auto"/>
            <w:noWrap/>
            <w:tcMar>
              <w:top w:w="0" w:type="dxa"/>
              <w:left w:w="0" w:type="dxa"/>
              <w:bottom w:w="0" w:type="dxa"/>
              <w:right w:w="115" w:type="dxa"/>
            </w:tcMar>
            <w:vAlign w:val="center"/>
          </w:tcPr>
          <w:p w14:paraId="082071FF" w14:textId="77777777" w:rsidR="001B1F4D" w:rsidRPr="001B1F4D" w:rsidRDefault="001B1F4D" w:rsidP="001B1F4D">
            <w:pPr>
              <w:keepNext/>
              <w:keepLines/>
              <w:spacing w:after="0" w:line="240" w:lineRule="auto"/>
              <w:jc w:val="right"/>
              <w:rPr>
                <w:rFonts w:asciiTheme="minorHAnsi" w:hAnsiTheme="minorHAnsi"/>
                <w:b/>
                <w:bCs/>
                <w:color w:val="000000"/>
                <w:sz w:val="18"/>
                <w:szCs w:val="18"/>
              </w:rPr>
            </w:pPr>
            <w:r w:rsidRPr="001B1F4D">
              <w:rPr>
                <w:rFonts w:asciiTheme="minorHAnsi" w:hAnsiTheme="minorHAnsi"/>
                <w:sz w:val="18"/>
                <w:szCs w:val="18"/>
              </w:rPr>
              <w:t>284.6</w:t>
            </w:r>
          </w:p>
        </w:tc>
        <w:tc>
          <w:tcPr>
            <w:tcW w:w="981" w:type="dxa"/>
            <w:gridSpan w:val="2"/>
            <w:shd w:val="clear" w:color="auto" w:fill="auto"/>
            <w:noWrap/>
            <w:tcMar>
              <w:top w:w="0" w:type="dxa"/>
              <w:left w:w="0" w:type="dxa"/>
              <w:bottom w:w="0" w:type="dxa"/>
              <w:right w:w="115" w:type="dxa"/>
            </w:tcMar>
            <w:vAlign w:val="center"/>
          </w:tcPr>
          <w:p w14:paraId="5FC1F8C2"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42.1</w:t>
            </w:r>
          </w:p>
        </w:tc>
        <w:tc>
          <w:tcPr>
            <w:tcW w:w="982" w:type="dxa"/>
            <w:gridSpan w:val="2"/>
            <w:shd w:val="clear" w:color="auto" w:fill="auto"/>
            <w:noWrap/>
            <w:tcMar>
              <w:top w:w="0" w:type="dxa"/>
              <w:left w:w="0" w:type="dxa"/>
              <w:bottom w:w="0" w:type="dxa"/>
              <w:right w:w="115" w:type="dxa"/>
            </w:tcMar>
            <w:vAlign w:val="center"/>
          </w:tcPr>
          <w:p w14:paraId="2F71225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160.0</w:t>
            </w:r>
          </w:p>
        </w:tc>
        <w:tc>
          <w:tcPr>
            <w:tcW w:w="981" w:type="dxa"/>
            <w:shd w:val="clear" w:color="auto" w:fill="auto"/>
            <w:noWrap/>
            <w:tcMar>
              <w:top w:w="0" w:type="dxa"/>
              <w:left w:w="0" w:type="dxa"/>
              <w:bottom w:w="0" w:type="dxa"/>
              <w:right w:w="115" w:type="dxa"/>
            </w:tcMar>
            <w:vAlign w:val="center"/>
          </w:tcPr>
          <w:p w14:paraId="2240153D"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6.7</w:t>
            </w:r>
          </w:p>
        </w:tc>
        <w:tc>
          <w:tcPr>
            <w:tcW w:w="982" w:type="dxa"/>
            <w:shd w:val="clear" w:color="auto" w:fill="auto"/>
            <w:noWrap/>
            <w:tcMar>
              <w:top w:w="0" w:type="dxa"/>
              <w:left w:w="0" w:type="dxa"/>
              <w:bottom w:w="0" w:type="dxa"/>
              <w:right w:w="115" w:type="dxa"/>
            </w:tcMar>
            <w:vAlign w:val="center"/>
          </w:tcPr>
          <w:p w14:paraId="0F7B9BA1"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12.0</w:t>
            </w:r>
          </w:p>
        </w:tc>
        <w:tc>
          <w:tcPr>
            <w:tcW w:w="982" w:type="dxa"/>
            <w:shd w:val="clear" w:color="auto" w:fill="auto"/>
            <w:noWrap/>
            <w:tcMar>
              <w:top w:w="0" w:type="dxa"/>
              <w:left w:w="0" w:type="dxa"/>
              <w:bottom w:w="0" w:type="dxa"/>
              <w:right w:w="115" w:type="dxa"/>
            </w:tcMar>
            <w:vAlign w:val="center"/>
          </w:tcPr>
          <w:p w14:paraId="140E3A7F"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42.4</w:t>
            </w:r>
          </w:p>
        </w:tc>
        <w:tc>
          <w:tcPr>
            <w:tcW w:w="983" w:type="dxa"/>
            <w:shd w:val="clear" w:color="auto" w:fill="auto"/>
            <w:noWrap/>
            <w:tcMar>
              <w:top w:w="0" w:type="dxa"/>
              <w:left w:w="0" w:type="dxa"/>
              <w:bottom w:w="0" w:type="dxa"/>
              <w:right w:w="115" w:type="dxa"/>
            </w:tcMar>
            <w:vAlign w:val="center"/>
          </w:tcPr>
          <w:p w14:paraId="00E6C6CC" w14:textId="77777777" w:rsidR="001B1F4D" w:rsidRPr="001B1F4D" w:rsidRDefault="001B1F4D" w:rsidP="001B1F4D">
            <w:pPr>
              <w:keepNext/>
              <w:keepLines/>
              <w:spacing w:after="0" w:line="240" w:lineRule="auto"/>
              <w:jc w:val="right"/>
              <w:rPr>
                <w:rFonts w:asciiTheme="minorHAnsi" w:hAnsiTheme="minorHAnsi"/>
                <w:color w:val="000000"/>
                <w:sz w:val="18"/>
                <w:szCs w:val="18"/>
              </w:rPr>
            </w:pPr>
            <w:r w:rsidRPr="001B1F4D">
              <w:rPr>
                <w:rFonts w:asciiTheme="minorHAnsi" w:hAnsiTheme="minorHAnsi"/>
                <w:sz w:val="18"/>
                <w:szCs w:val="18"/>
              </w:rPr>
              <w:t>21.3</w:t>
            </w:r>
          </w:p>
        </w:tc>
      </w:tr>
      <w:tr w:rsidR="001B1F4D" w:rsidRPr="001B1F4D" w14:paraId="30E19386" w14:textId="77777777" w:rsidTr="00EB271B">
        <w:trPr>
          <w:trHeight w:val="300"/>
          <w:jc w:val="center"/>
        </w:trPr>
        <w:tc>
          <w:tcPr>
            <w:tcW w:w="1469" w:type="dxa"/>
            <w:shd w:val="clear" w:color="auto" w:fill="1795D2" w:themeFill="accent1"/>
            <w:noWrap/>
            <w:tcMar>
              <w:top w:w="0" w:type="dxa"/>
              <w:left w:w="108" w:type="dxa"/>
              <w:bottom w:w="0" w:type="dxa"/>
              <w:right w:w="108" w:type="dxa"/>
            </w:tcMar>
            <w:vAlign w:val="center"/>
            <w:hideMark/>
          </w:tcPr>
          <w:p w14:paraId="36F44218" w14:textId="77777777" w:rsidR="001B1F4D" w:rsidRPr="001B1F4D" w:rsidRDefault="001B1F4D" w:rsidP="001B1F4D">
            <w:pPr>
              <w:keepNext/>
              <w:keepLines/>
              <w:spacing w:after="0" w:line="240" w:lineRule="auto"/>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Total</w:t>
            </w:r>
          </w:p>
        </w:tc>
        <w:tc>
          <w:tcPr>
            <w:tcW w:w="980" w:type="dxa"/>
            <w:gridSpan w:val="2"/>
            <w:shd w:val="clear" w:color="auto" w:fill="1795D2" w:themeFill="accent1"/>
            <w:tcMar>
              <w:top w:w="0" w:type="dxa"/>
              <w:bottom w:w="0" w:type="dxa"/>
              <w:right w:w="115" w:type="dxa"/>
            </w:tcMar>
            <w:vAlign w:val="center"/>
          </w:tcPr>
          <w:p w14:paraId="539870B7"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6,744.4</w:t>
            </w:r>
          </w:p>
        </w:tc>
        <w:tc>
          <w:tcPr>
            <w:tcW w:w="981" w:type="dxa"/>
            <w:gridSpan w:val="2"/>
            <w:shd w:val="clear" w:color="auto" w:fill="1795D2" w:themeFill="accent1"/>
            <w:noWrap/>
            <w:tcMar>
              <w:top w:w="0" w:type="dxa"/>
              <w:left w:w="0" w:type="dxa"/>
              <w:bottom w:w="0" w:type="dxa"/>
              <w:right w:w="115" w:type="dxa"/>
            </w:tcMar>
            <w:vAlign w:val="center"/>
          </w:tcPr>
          <w:p w14:paraId="1A29047C"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1,190.9</w:t>
            </w:r>
          </w:p>
        </w:tc>
        <w:tc>
          <w:tcPr>
            <w:tcW w:w="982" w:type="dxa"/>
            <w:gridSpan w:val="2"/>
            <w:shd w:val="clear" w:color="auto" w:fill="1795D2" w:themeFill="accent1"/>
            <w:noWrap/>
            <w:tcMar>
              <w:top w:w="0" w:type="dxa"/>
              <w:left w:w="0" w:type="dxa"/>
              <w:bottom w:w="0" w:type="dxa"/>
              <w:right w:w="115" w:type="dxa"/>
            </w:tcMar>
            <w:vAlign w:val="center"/>
          </w:tcPr>
          <w:p w14:paraId="329DC105"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4,143.2</w:t>
            </w:r>
          </w:p>
        </w:tc>
        <w:tc>
          <w:tcPr>
            <w:tcW w:w="981" w:type="dxa"/>
            <w:shd w:val="clear" w:color="auto" w:fill="1795D2" w:themeFill="accent1"/>
            <w:noWrap/>
            <w:tcMar>
              <w:top w:w="0" w:type="dxa"/>
              <w:left w:w="0" w:type="dxa"/>
              <w:bottom w:w="0" w:type="dxa"/>
              <w:right w:w="115" w:type="dxa"/>
            </w:tcMar>
            <w:vAlign w:val="center"/>
          </w:tcPr>
          <w:p w14:paraId="6902AA97"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109.7</w:t>
            </w:r>
          </w:p>
        </w:tc>
        <w:tc>
          <w:tcPr>
            <w:tcW w:w="982" w:type="dxa"/>
            <w:shd w:val="clear" w:color="auto" w:fill="1795D2" w:themeFill="accent1"/>
            <w:noWrap/>
            <w:tcMar>
              <w:top w:w="0" w:type="dxa"/>
              <w:left w:w="0" w:type="dxa"/>
              <w:bottom w:w="0" w:type="dxa"/>
              <w:right w:w="115" w:type="dxa"/>
            </w:tcMar>
            <w:vAlign w:val="center"/>
          </w:tcPr>
          <w:p w14:paraId="26575187"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205.6</w:t>
            </w:r>
          </w:p>
        </w:tc>
        <w:tc>
          <w:tcPr>
            <w:tcW w:w="982" w:type="dxa"/>
            <w:shd w:val="clear" w:color="auto" w:fill="1795D2" w:themeFill="accent1"/>
            <w:noWrap/>
            <w:tcMar>
              <w:top w:w="0" w:type="dxa"/>
              <w:left w:w="0" w:type="dxa"/>
              <w:bottom w:w="0" w:type="dxa"/>
              <w:right w:w="115" w:type="dxa"/>
            </w:tcMar>
            <w:vAlign w:val="center"/>
          </w:tcPr>
          <w:p w14:paraId="7EDF6661"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564.6</w:t>
            </w:r>
          </w:p>
        </w:tc>
        <w:tc>
          <w:tcPr>
            <w:tcW w:w="983" w:type="dxa"/>
            <w:shd w:val="clear" w:color="auto" w:fill="1795D2" w:themeFill="accent1"/>
            <w:noWrap/>
            <w:tcMar>
              <w:top w:w="0" w:type="dxa"/>
              <w:left w:w="0" w:type="dxa"/>
              <w:bottom w:w="0" w:type="dxa"/>
              <w:right w:w="115" w:type="dxa"/>
            </w:tcMar>
            <w:vAlign w:val="center"/>
          </w:tcPr>
          <w:p w14:paraId="5B679C3C" w14:textId="77777777" w:rsidR="001B1F4D" w:rsidRPr="001B1F4D" w:rsidRDefault="001B1F4D" w:rsidP="001B1F4D">
            <w:pPr>
              <w:keepNext/>
              <w:keepLines/>
              <w:spacing w:after="0" w:line="240" w:lineRule="auto"/>
              <w:jc w:val="right"/>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530.3</w:t>
            </w:r>
          </w:p>
        </w:tc>
      </w:tr>
    </w:tbl>
    <w:p w14:paraId="58E53A78" w14:textId="77777777" w:rsidR="001B1F4D" w:rsidRPr="001B1F4D" w:rsidRDefault="001B1F4D" w:rsidP="001B1F4D">
      <w:pPr>
        <w:spacing w:after="120" w:line="240" w:lineRule="auto"/>
        <w:rPr>
          <w:rFonts w:eastAsia="Times New Roman"/>
        </w:rPr>
      </w:pPr>
    </w:p>
    <w:p w14:paraId="6D00EFAC" w14:textId="6137EFDE" w:rsidR="001B1F4D" w:rsidRPr="001B1F4D" w:rsidRDefault="001B1F4D" w:rsidP="001B1F4D">
      <w:pPr>
        <w:spacing w:after="200" w:line="276" w:lineRule="auto"/>
      </w:pPr>
      <w:r w:rsidRPr="001B1F4D">
        <w:t xml:space="preserve">System planning studies, including Installed Capacity Requirement (ICR) calculations (see Section </w:t>
      </w:r>
      <w:r w:rsidR="00CB0E26">
        <w:fldChar w:fldCharType="begin"/>
      </w:r>
      <w:r w:rsidR="00CB0E26">
        <w:instrText xml:space="preserve"> REF _Ref387673339 \n \h </w:instrText>
      </w:r>
      <w:r w:rsidR="00CB0E26">
        <w:fldChar w:fldCharType="separate"/>
      </w:r>
      <w:r w:rsidR="005D0B73">
        <w:t>4.1.1</w:t>
      </w:r>
      <w:r w:rsidR="00CB0E26">
        <w:fldChar w:fldCharType="end"/>
      </w:r>
      <w:r w:rsidRPr="001B1F4D">
        <w:t xml:space="preserve">), consider behind-the-meter PV as part of the demand forecast. </w:t>
      </w:r>
      <w:r w:rsidR="00254AC6" w:rsidRPr="00254AC6">
        <w:fldChar w:fldCharType="begin"/>
      </w:r>
      <w:r w:rsidR="00254AC6" w:rsidRPr="00254AC6">
        <w:instrText xml:space="preserve"> REF _Ref11514997 \h  \* MERGEFORMAT </w:instrText>
      </w:r>
      <w:r w:rsidR="00254AC6" w:rsidRPr="00254AC6">
        <w:fldChar w:fldCharType="separate"/>
      </w:r>
      <w:r w:rsidR="005D0B73" w:rsidRPr="005D0B73">
        <w:rPr>
          <w:rFonts w:eastAsia="Times New Roman"/>
          <w:bCs/>
          <w:szCs w:val="18"/>
        </w:rPr>
        <w:t xml:space="preserve">Figure </w:t>
      </w:r>
      <w:r w:rsidR="005D0B73" w:rsidRPr="005D0B73">
        <w:rPr>
          <w:rFonts w:eastAsia="Times New Roman"/>
          <w:bCs/>
          <w:noProof/>
          <w:szCs w:val="18"/>
        </w:rPr>
        <w:t>3</w:t>
      </w:r>
      <w:r w:rsidR="005D0B73" w:rsidRPr="005D0B73">
        <w:rPr>
          <w:rFonts w:eastAsia="Times New Roman"/>
          <w:bCs/>
          <w:noProof/>
          <w:szCs w:val="18"/>
        </w:rPr>
        <w:noBreakHyphen/>
        <w:t>2</w:t>
      </w:r>
      <w:r w:rsidR="00254AC6" w:rsidRPr="00254AC6">
        <w:fldChar w:fldCharType="end"/>
      </w:r>
      <w:r w:rsidRPr="001B1F4D">
        <w:t xml:space="preserve"> illustrates the classification of the 2019 PV forecast into FCM, non-FCM energy-only resources, and BTM PV. </w:t>
      </w:r>
      <w:r w:rsidRPr="001B1F4D">
        <w:fldChar w:fldCharType="begin"/>
      </w:r>
      <w:r w:rsidRPr="001B1F4D">
        <w:instrText xml:space="preserve"> REF _Ref491176226 \h  \* MERGEFORMAT </w:instrText>
      </w:r>
      <w:r w:rsidRPr="001B1F4D">
        <w:fldChar w:fldCharType="separate"/>
      </w:r>
      <w:r w:rsidR="005D0B73" w:rsidRPr="005D0B73">
        <w:t xml:space="preserve">Table </w:t>
      </w:r>
      <w:r w:rsidR="005D0B73" w:rsidRPr="005D0B73">
        <w:rPr>
          <w:noProof/>
        </w:rPr>
        <w:t>3</w:t>
      </w:r>
      <w:r w:rsidR="005D0B73" w:rsidRPr="005D0B73">
        <w:rPr>
          <w:noProof/>
        </w:rPr>
        <w:noBreakHyphen/>
        <w:t>4</w:t>
      </w:r>
      <w:r w:rsidRPr="001B1F4D">
        <w:fldChar w:fldCharType="end"/>
      </w:r>
      <w:r w:rsidRPr="001B1F4D">
        <w:t xml:space="preserve"> shows the data for this figure.</w:t>
      </w:r>
    </w:p>
    <w:p w14:paraId="57F790C5" w14:textId="77777777" w:rsidR="001B1F4D" w:rsidRPr="001B1F4D" w:rsidRDefault="001B1F4D" w:rsidP="001B1F4D">
      <w:pPr>
        <w:keepNext/>
        <w:keepLines/>
        <w:tabs>
          <w:tab w:val="num" w:pos="1440"/>
          <w:tab w:val="num" w:pos="2160"/>
        </w:tabs>
        <w:autoSpaceDE w:val="0"/>
        <w:autoSpaceDN w:val="0"/>
        <w:adjustRightInd w:val="0"/>
        <w:spacing w:after="0" w:line="240" w:lineRule="auto"/>
        <w:jc w:val="center"/>
      </w:pPr>
      <w:bookmarkStart w:id="271" w:name="_Toc396807618"/>
      <w:r w:rsidRPr="001B1F4D">
        <w:rPr>
          <w:noProof/>
        </w:rPr>
        <w:drawing>
          <wp:inline distT="0" distB="0" distL="0" distR="0" wp14:anchorId="0E83CBB6" wp14:editId="712AB00C">
            <wp:extent cx="5024138" cy="297180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25713" cy="2972732"/>
                    </a:xfrm>
                    <a:prstGeom prst="rect">
                      <a:avLst/>
                    </a:prstGeom>
                    <a:noFill/>
                    <a:ln w="3175">
                      <a:solidFill>
                        <a:srgbClr val="000000"/>
                      </a:solidFill>
                    </a:ln>
                  </pic:spPr>
                </pic:pic>
              </a:graphicData>
            </a:graphic>
          </wp:inline>
        </w:drawing>
      </w:r>
    </w:p>
    <w:p w14:paraId="4F79B600" w14:textId="27FB1EE0" w:rsidR="001B1F4D" w:rsidRPr="001B1F4D" w:rsidRDefault="001B1F4D" w:rsidP="001B1F4D">
      <w:pPr>
        <w:keepNext/>
        <w:keepLines/>
        <w:spacing w:before="120" w:after="80" w:line="240" w:lineRule="auto"/>
        <w:ind w:left="540" w:right="360"/>
        <w:rPr>
          <w:rFonts w:ascii="Calibri" w:eastAsia="Times New Roman" w:hAnsi="Calibri"/>
          <w:b/>
          <w:bCs/>
          <w:szCs w:val="18"/>
        </w:rPr>
      </w:pPr>
      <w:bookmarkStart w:id="272" w:name="_Ref11514997"/>
      <w:bookmarkStart w:id="273" w:name="_Ref417898643"/>
      <w:bookmarkStart w:id="274" w:name="_Toc484957693"/>
      <w:bookmarkStart w:id="275" w:name="_Toc486233200"/>
      <w:bookmarkStart w:id="276" w:name="_Toc17709744"/>
      <w:r w:rsidRPr="001B1F4D">
        <w:rPr>
          <w:rFonts w:ascii="Calibri" w:eastAsia="Times New Roman" w:hAnsi="Calibri"/>
          <w:b/>
          <w:bCs/>
          <w:szCs w:val="18"/>
        </w:rPr>
        <w:t xml:space="preserve">Figure </w:t>
      </w:r>
      <w:r w:rsidR="008E7223">
        <w:rPr>
          <w:rFonts w:ascii="Calibri" w:eastAsia="Times New Roman" w:hAnsi="Calibri"/>
          <w:b/>
          <w:bCs/>
          <w:szCs w:val="18"/>
        </w:rPr>
        <w:fldChar w:fldCharType="begin"/>
      </w:r>
      <w:r w:rsidR="008E7223">
        <w:rPr>
          <w:rFonts w:ascii="Calibri" w:eastAsia="Times New Roman" w:hAnsi="Calibri"/>
          <w:b/>
          <w:bCs/>
          <w:szCs w:val="18"/>
        </w:rPr>
        <w:instrText xml:space="preserve"> STYLEREF 1 \s </w:instrText>
      </w:r>
      <w:r w:rsidR="008E7223">
        <w:rPr>
          <w:rFonts w:ascii="Calibri" w:eastAsia="Times New Roman" w:hAnsi="Calibri"/>
          <w:b/>
          <w:bCs/>
          <w:szCs w:val="18"/>
        </w:rPr>
        <w:fldChar w:fldCharType="separate"/>
      </w:r>
      <w:r w:rsidR="008E7223">
        <w:rPr>
          <w:rFonts w:ascii="Calibri" w:eastAsia="Times New Roman" w:hAnsi="Calibri"/>
          <w:b/>
          <w:bCs/>
          <w:noProof/>
          <w:szCs w:val="18"/>
        </w:rPr>
        <w:t>3</w:t>
      </w:r>
      <w:r w:rsidR="008E7223">
        <w:rPr>
          <w:rFonts w:ascii="Calibri" w:eastAsia="Times New Roman" w:hAnsi="Calibri"/>
          <w:b/>
          <w:bCs/>
          <w:szCs w:val="18"/>
        </w:rPr>
        <w:fldChar w:fldCharType="end"/>
      </w:r>
      <w:r w:rsidR="008E7223">
        <w:rPr>
          <w:rFonts w:ascii="Calibri" w:eastAsia="Times New Roman" w:hAnsi="Calibri"/>
          <w:b/>
          <w:bCs/>
          <w:szCs w:val="18"/>
        </w:rPr>
        <w:noBreakHyphen/>
      </w:r>
      <w:r w:rsidR="008E7223">
        <w:rPr>
          <w:rFonts w:ascii="Calibri" w:eastAsia="Times New Roman" w:hAnsi="Calibri"/>
          <w:b/>
          <w:bCs/>
          <w:szCs w:val="18"/>
        </w:rPr>
        <w:fldChar w:fldCharType="begin"/>
      </w:r>
      <w:r w:rsidR="008E7223">
        <w:rPr>
          <w:rFonts w:ascii="Calibri" w:eastAsia="Times New Roman" w:hAnsi="Calibri"/>
          <w:b/>
          <w:bCs/>
          <w:szCs w:val="18"/>
        </w:rPr>
        <w:instrText xml:space="preserve"> SEQ Figure \* ARABIC \s 1 </w:instrText>
      </w:r>
      <w:r w:rsidR="008E7223">
        <w:rPr>
          <w:rFonts w:ascii="Calibri" w:eastAsia="Times New Roman" w:hAnsi="Calibri"/>
          <w:b/>
          <w:bCs/>
          <w:szCs w:val="18"/>
        </w:rPr>
        <w:fldChar w:fldCharType="separate"/>
      </w:r>
      <w:r w:rsidR="008E7223">
        <w:rPr>
          <w:rFonts w:ascii="Calibri" w:eastAsia="Times New Roman" w:hAnsi="Calibri"/>
          <w:b/>
          <w:bCs/>
          <w:noProof/>
          <w:szCs w:val="18"/>
        </w:rPr>
        <w:t>2</w:t>
      </w:r>
      <w:r w:rsidR="008E7223">
        <w:rPr>
          <w:rFonts w:ascii="Calibri" w:eastAsia="Times New Roman" w:hAnsi="Calibri"/>
          <w:b/>
          <w:bCs/>
          <w:szCs w:val="18"/>
        </w:rPr>
        <w:fldChar w:fldCharType="end"/>
      </w:r>
      <w:bookmarkEnd w:id="272"/>
      <w:bookmarkEnd w:id="273"/>
      <w:r w:rsidRPr="001B1F4D">
        <w:rPr>
          <w:rFonts w:ascii="Calibri" w:eastAsia="Times New Roman" w:hAnsi="Calibri"/>
          <w:b/>
          <w:bCs/>
          <w:szCs w:val="18"/>
        </w:rPr>
        <w:t>: Cumulative New England PV forecast for each classification of PV, 2019 to 2028 (MW).</w:t>
      </w:r>
      <w:bookmarkEnd w:id="274"/>
      <w:bookmarkEnd w:id="275"/>
      <w:bookmarkEnd w:id="276"/>
    </w:p>
    <w:p w14:paraId="0B47EF13" w14:textId="47F97452" w:rsidR="001B1F4D" w:rsidRPr="001B1F4D" w:rsidRDefault="001B1F4D" w:rsidP="001B1F4D">
      <w:pPr>
        <w:spacing w:line="240" w:lineRule="auto"/>
        <w:ind w:left="540" w:right="450"/>
        <w:rPr>
          <w:rFonts w:ascii="Calibri" w:eastAsia="Times New Roman" w:hAnsi="Calibri" w:cs="Arial"/>
          <w:sz w:val="16"/>
          <w:szCs w:val="16"/>
        </w:rPr>
      </w:pPr>
      <w:r w:rsidRPr="001B1F4D">
        <w:rPr>
          <w:rFonts w:ascii="Calibri" w:eastAsia="Times New Roman" w:hAnsi="Calibri" w:cs="Arial"/>
          <w:b/>
          <w:sz w:val="16"/>
          <w:szCs w:val="16"/>
        </w:rPr>
        <w:t>Notes:</w:t>
      </w:r>
      <w:r w:rsidRPr="001B1F4D">
        <w:rPr>
          <w:rFonts w:ascii="Calibri" w:eastAsia="Times New Roman" w:hAnsi="Calibri" w:cs="Arial"/>
          <w:sz w:val="16"/>
          <w:szCs w:val="16"/>
        </w:rPr>
        <w:t xml:space="preserve"> The FCM category reflects the PV nameplate of all or portions of the FCM-qualified resources. The FCM value is held constant fo</w:t>
      </w:r>
      <w:r w:rsidRPr="00DB5598">
        <w:rPr>
          <w:rFonts w:ascii="Calibri" w:eastAsia="Times New Roman" w:hAnsi="Calibri" w:cs="Arial"/>
          <w:sz w:val="16"/>
          <w:szCs w:val="16"/>
        </w:rPr>
        <w:t xml:space="preserve">r </w:t>
      </w:r>
      <w:r w:rsidR="00254AC6" w:rsidRPr="00DB5598">
        <w:rPr>
          <w:rFonts w:ascii="Calibri" w:eastAsia="Times New Roman" w:hAnsi="Calibri" w:cs="Arial"/>
          <w:sz w:val="16"/>
          <w:szCs w:val="16"/>
        </w:rPr>
        <w:t>the</w:t>
      </w:r>
      <w:r w:rsidRPr="00DB5598">
        <w:rPr>
          <w:rFonts w:ascii="Calibri" w:eastAsia="Times New Roman" w:hAnsi="Calibri" w:cs="Arial"/>
          <w:sz w:val="16"/>
          <w:szCs w:val="16"/>
        </w:rPr>
        <w:t xml:space="preserve"> </w:t>
      </w:r>
      <w:r w:rsidR="00E64775" w:rsidRPr="00DB5598">
        <w:rPr>
          <w:rFonts w:ascii="Calibri" w:eastAsia="Times New Roman" w:hAnsi="Calibri" w:cs="Arial"/>
          <w:sz w:val="16"/>
          <w:szCs w:val="16"/>
        </w:rPr>
        <w:t xml:space="preserve">summer of 2022 </w:t>
      </w:r>
      <w:r w:rsidR="00254AC6" w:rsidRPr="00DB5598">
        <w:rPr>
          <w:rFonts w:ascii="Calibri" w:eastAsia="Times New Roman" w:hAnsi="Calibri" w:cs="Arial"/>
          <w:sz w:val="16"/>
          <w:szCs w:val="16"/>
        </w:rPr>
        <w:t>and beyond</w:t>
      </w:r>
      <w:r w:rsidR="00E64775" w:rsidRPr="00DB5598">
        <w:rPr>
          <w:rFonts w:ascii="Calibri" w:eastAsia="Times New Roman" w:hAnsi="Calibri" w:cs="Arial"/>
          <w:sz w:val="16"/>
          <w:szCs w:val="16"/>
        </w:rPr>
        <w:t xml:space="preserve">. PV has no value in the FCM during the winter months; </w:t>
      </w:r>
      <w:r w:rsidR="00254AC6" w:rsidRPr="00DB5598">
        <w:rPr>
          <w:rFonts w:ascii="Calibri" w:eastAsia="Times New Roman" w:hAnsi="Calibri" w:cs="Arial"/>
          <w:sz w:val="16"/>
          <w:szCs w:val="16"/>
        </w:rPr>
        <w:t xml:space="preserve">see Section </w:t>
      </w:r>
      <w:r w:rsidR="00254AC6" w:rsidRPr="00DB5598">
        <w:rPr>
          <w:rFonts w:ascii="Calibri" w:eastAsia="Times New Roman" w:hAnsi="Calibri" w:cs="Arial"/>
          <w:sz w:val="16"/>
          <w:szCs w:val="16"/>
        </w:rPr>
        <w:fldChar w:fldCharType="begin"/>
      </w:r>
      <w:r w:rsidR="00254AC6" w:rsidRPr="00DB5598">
        <w:rPr>
          <w:rFonts w:ascii="Calibri" w:eastAsia="Times New Roman" w:hAnsi="Calibri" w:cs="Arial"/>
          <w:sz w:val="16"/>
          <w:szCs w:val="16"/>
        </w:rPr>
        <w:instrText xml:space="preserve"> REF _Ref11515320 \r \h  \* MERGEFORMAT </w:instrText>
      </w:r>
      <w:r w:rsidR="00254AC6" w:rsidRPr="00DB5598">
        <w:rPr>
          <w:rFonts w:ascii="Calibri" w:eastAsia="Times New Roman" w:hAnsi="Calibri" w:cs="Arial"/>
          <w:sz w:val="16"/>
          <w:szCs w:val="16"/>
        </w:rPr>
      </w:r>
      <w:r w:rsidR="00254AC6" w:rsidRPr="00DB5598">
        <w:rPr>
          <w:rFonts w:ascii="Calibri" w:eastAsia="Times New Roman" w:hAnsi="Calibri" w:cs="Arial"/>
          <w:sz w:val="16"/>
          <w:szCs w:val="16"/>
        </w:rPr>
        <w:fldChar w:fldCharType="separate"/>
      </w:r>
      <w:r w:rsidR="005D0B73">
        <w:rPr>
          <w:rFonts w:ascii="Calibri" w:eastAsia="Times New Roman" w:hAnsi="Calibri" w:cs="Arial"/>
          <w:sz w:val="16"/>
          <w:szCs w:val="16"/>
        </w:rPr>
        <w:t>4.1.3</w:t>
      </w:r>
      <w:r w:rsidR="00254AC6" w:rsidRPr="00DB5598">
        <w:rPr>
          <w:rFonts w:ascii="Calibri" w:eastAsia="Times New Roman" w:hAnsi="Calibri" w:cs="Arial"/>
          <w:sz w:val="16"/>
          <w:szCs w:val="16"/>
        </w:rPr>
        <w:fldChar w:fldCharType="end"/>
      </w:r>
      <w:r w:rsidRPr="00DB5598">
        <w:rPr>
          <w:rFonts w:ascii="Calibri" w:eastAsia="Times New Roman" w:hAnsi="Calibri" w:cs="Arial"/>
          <w:sz w:val="16"/>
          <w:szCs w:val="16"/>
        </w:rPr>
        <w:t>. The net lo</w:t>
      </w:r>
      <w:r w:rsidRPr="001B1F4D">
        <w:rPr>
          <w:rFonts w:ascii="Calibri" w:eastAsia="Times New Roman" w:hAnsi="Calibri" w:cs="Arial"/>
          <w:sz w:val="16"/>
          <w:szCs w:val="16"/>
        </w:rPr>
        <w:t>ad forecast reflects reductions of BTM PV.</w:t>
      </w:r>
    </w:p>
    <w:p w14:paraId="61AB73E8" w14:textId="6C1F0372" w:rsidR="001B1F4D" w:rsidRPr="001B1F4D" w:rsidRDefault="001B1F4D" w:rsidP="001B1F4D">
      <w:pPr>
        <w:keepNext/>
        <w:keepLines/>
        <w:spacing w:after="120" w:line="240" w:lineRule="auto"/>
        <w:jc w:val="center"/>
        <w:rPr>
          <w:rFonts w:ascii="Calibri" w:hAnsi="Calibri"/>
          <w:b/>
          <w:bCs/>
          <w:szCs w:val="18"/>
        </w:rPr>
      </w:pPr>
      <w:bookmarkStart w:id="277" w:name="_Ref491176226"/>
      <w:bookmarkStart w:id="278" w:name="_Toc491244000"/>
      <w:bookmarkStart w:id="279" w:name="_Toc12795327"/>
      <w:r w:rsidRPr="001B1F4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277"/>
      <w:r w:rsidRPr="001B1F4D">
        <w:rPr>
          <w:rFonts w:ascii="Calibri" w:hAnsi="Calibri"/>
          <w:b/>
          <w:bCs/>
          <w:szCs w:val="18"/>
        </w:rPr>
        <w:br/>
        <w:t>Cumulative New England PV Forecast for Each Classification of PV, 2019 to 2028 (MW)</w:t>
      </w:r>
      <w:bookmarkEnd w:id="278"/>
      <w:bookmarkEnd w:id="279"/>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4"/>
        <w:gridCol w:w="701"/>
        <w:gridCol w:w="701"/>
        <w:gridCol w:w="702"/>
        <w:gridCol w:w="702"/>
        <w:gridCol w:w="702"/>
        <w:gridCol w:w="702"/>
        <w:gridCol w:w="702"/>
        <w:gridCol w:w="702"/>
        <w:gridCol w:w="702"/>
        <w:gridCol w:w="702"/>
        <w:gridCol w:w="702"/>
      </w:tblGrid>
      <w:tr w:rsidR="001B1F4D" w:rsidRPr="001B1F4D" w14:paraId="34E1AC04" w14:textId="77777777" w:rsidTr="00EB271B">
        <w:trPr>
          <w:jc w:val="center"/>
        </w:trPr>
        <w:tc>
          <w:tcPr>
            <w:tcW w:w="1421" w:type="dxa"/>
            <w:shd w:val="clear" w:color="auto" w:fill="1795D2" w:themeFill="accent1"/>
            <w:tcMar>
              <w:left w:w="58" w:type="dxa"/>
              <w:right w:w="58" w:type="dxa"/>
            </w:tcMar>
            <w:vAlign w:val="center"/>
          </w:tcPr>
          <w:p w14:paraId="098A7A7A"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PV Category</w:t>
            </w:r>
          </w:p>
        </w:tc>
        <w:tc>
          <w:tcPr>
            <w:tcW w:w="713" w:type="dxa"/>
            <w:shd w:val="clear" w:color="auto" w:fill="1795D2" w:themeFill="accent1"/>
            <w:tcMar>
              <w:left w:w="58" w:type="dxa"/>
              <w:right w:w="58" w:type="dxa"/>
            </w:tcMar>
            <w:vAlign w:val="center"/>
          </w:tcPr>
          <w:p w14:paraId="20896314"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2018</w:t>
            </w:r>
          </w:p>
        </w:tc>
        <w:tc>
          <w:tcPr>
            <w:tcW w:w="713" w:type="dxa"/>
            <w:shd w:val="clear" w:color="auto" w:fill="1795D2" w:themeFill="accent1"/>
            <w:tcMar>
              <w:left w:w="58" w:type="dxa"/>
              <w:right w:w="58" w:type="dxa"/>
            </w:tcMar>
            <w:vAlign w:val="center"/>
          </w:tcPr>
          <w:p w14:paraId="51AAB80D"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2019</w:t>
            </w:r>
          </w:p>
        </w:tc>
        <w:tc>
          <w:tcPr>
            <w:tcW w:w="713" w:type="dxa"/>
            <w:shd w:val="clear" w:color="auto" w:fill="1795D2" w:themeFill="accent1"/>
            <w:tcMar>
              <w:left w:w="58" w:type="dxa"/>
              <w:right w:w="58" w:type="dxa"/>
            </w:tcMar>
            <w:vAlign w:val="center"/>
          </w:tcPr>
          <w:p w14:paraId="1D63B6FF"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2020</w:t>
            </w:r>
          </w:p>
        </w:tc>
        <w:tc>
          <w:tcPr>
            <w:tcW w:w="714" w:type="dxa"/>
            <w:shd w:val="clear" w:color="auto" w:fill="1795D2" w:themeFill="accent1"/>
            <w:tcMar>
              <w:left w:w="58" w:type="dxa"/>
              <w:right w:w="58" w:type="dxa"/>
            </w:tcMar>
            <w:vAlign w:val="center"/>
          </w:tcPr>
          <w:p w14:paraId="15701A2C"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2021</w:t>
            </w:r>
          </w:p>
        </w:tc>
        <w:tc>
          <w:tcPr>
            <w:tcW w:w="713" w:type="dxa"/>
            <w:shd w:val="clear" w:color="auto" w:fill="1795D2" w:themeFill="accent1"/>
            <w:tcMar>
              <w:left w:w="58" w:type="dxa"/>
              <w:right w:w="58" w:type="dxa"/>
            </w:tcMar>
            <w:vAlign w:val="center"/>
          </w:tcPr>
          <w:p w14:paraId="08A8D30B"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2022</w:t>
            </w:r>
          </w:p>
        </w:tc>
        <w:tc>
          <w:tcPr>
            <w:tcW w:w="713" w:type="dxa"/>
            <w:shd w:val="clear" w:color="auto" w:fill="1795D2" w:themeFill="accent1"/>
            <w:tcMar>
              <w:left w:w="58" w:type="dxa"/>
              <w:right w:w="58" w:type="dxa"/>
            </w:tcMar>
            <w:vAlign w:val="center"/>
          </w:tcPr>
          <w:p w14:paraId="4FB5044B"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2023</w:t>
            </w:r>
          </w:p>
        </w:tc>
        <w:tc>
          <w:tcPr>
            <w:tcW w:w="713" w:type="dxa"/>
            <w:shd w:val="clear" w:color="auto" w:fill="1795D2" w:themeFill="accent1"/>
            <w:tcMar>
              <w:left w:w="58" w:type="dxa"/>
              <w:right w:w="58" w:type="dxa"/>
            </w:tcMar>
            <w:vAlign w:val="center"/>
          </w:tcPr>
          <w:p w14:paraId="6E728D08"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2024</w:t>
            </w:r>
          </w:p>
        </w:tc>
        <w:tc>
          <w:tcPr>
            <w:tcW w:w="714" w:type="dxa"/>
            <w:shd w:val="clear" w:color="auto" w:fill="1795D2" w:themeFill="accent1"/>
            <w:tcMar>
              <w:left w:w="58" w:type="dxa"/>
              <w:right w:w="58" w:type="dxa"/>
            </w:tcMar>
            <w:vAlign w:val="center"/>
          </w:tcPr>
          <w:p w14:paraId="3B99594D"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2025</w:t>
            </w:r>
          </w:p>
        </w:tc>
        <w:tc>
          <w:tcPr>
            <w:tcW w:w="713" w:type="dxa"/>
            <w:shd w:val="clear" w:color="auto" w:fill="1795D2" w:themeFill="accent1"/>
            <w:tcMar>
              <w:left w:w="58" w:type="dxa"/>
              <w:right w:w="58" w:type="dxa"/>
            </w:tcMar>
            <w:vAlign w:val="center"/>
          </w:tcPr>
          <w:p w14:paraId="0503C04F"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2026</w:t>
            </w:r>
          </w:p>
        </w:tc>
        <w:tc>
          <w:tcPr>
            <w:tcW w:w="713" w:type="dxa"/>
            <w:shd w:val="clear" w:color="auto" w:fill="1795D2" w:themeFill="accent1"/>
            <w:tcMar>
              <w:left w:w="58" w:type="dxa"/>
              <w:right w:w="58" w:type="dxa"/>
            </w:tcMar>
            <w:vAlign w:val="center"/>
          </w:tcPr>
          <w:p w14:paraId="7BF5484C"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2027</w:t>
            </w:r>
          </w:p>
        </w:tc>
        <w:tc>
          <w:tcPr>
            <w:tcW w:w="714" w:type="dxa"/>
            <w:shd w:val="clear" w:color="auto" w:fill="1795D2" w:themeFill="accent1"/>
            <w:tcMar>
              <w:left w:w="58" w:type="dxa"/>
              <w:right w:w="58" w:type="dxa"/>
            </w:tcMar>
            <w:vAlign w:val="center"/>
          </w:tcPr>
          <w:p w14:paraId="0BE39542" w14:textId="77777777" w:rsidR="001B1F4D" w:rsidRPr="001B1F4D" w:rsidRDefault="001B1F4D" w:rsidP="001B1F4D">
            <w:pPr>
              <w:keepNext/>
              <w:keepLines/>
              <w:spacing w:before="40" w:after="4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2028</w:t>
            </w:r>
          </w:p>
        </w:tc>
      </w:tr>
      <w:tr w:rsidR="001B1F4D" w:rsidRPr="001B1F4D" w14:paraId="1B2B0AEA" w14:textId="77777777" w:rsidTr="00EB271B">
        <w:trPr>
          <w:jc w:val="center"/>
        </w:trPr>
        <w:tc>
          <w:tcPr>
            <w:tcW w:w="1421" w:type="dxa"/>
            <w:tcMar>
              <w:left w:w="58" w:type="dxa"/>
              <w:right w:w="58" w:type="dxa"/>
            </w:tcMar>
            <w:vAlign w:val="center"/>
          </w:tcPr>
          <w:p w14:paraId="5090E148" w14:textId="77777777"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FCM PV</w:t>
            </w:r>
          </w:p>
        </w:tc>
        <w:tc>
          <w:tcPr>
            <w:tcW w:w="713" w:type="dxa"/>
            <w:tcMar>
              <w:left w:w="58" w:type="dxa"/>
              <w:right w:w="58" w:type="dxa"/>
            </w:tcMar>
            <w:vAlign w:val="center"/>
          </w:tcPr>
          <w:p w14:paraId="611F5A1A"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92.4</w:t>
            </w:r>
          </w:p>
        </w:tc>
        <w:tc>
          <w:tcPr>
            <w:tcW w:w="713" w:type="dxa"/>
            <w:tcMar>
              <w:left w:w="58" w:type="dxa"/>
              <w:right w:w="58" w:type="dxa"/>
            </w:tcMar>
            <w:vAlign w:val="center"/>
          </w:tcPr>
          <w:p w14:paraId="0AD07436"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3" w:type="dxa"/>
            <w:tcMar>
              <w:left w:w="58" w:type="dxa"/>
              <w:right w:w="58" w:type="dxa"/>
            </w:tcMar>
            <w:vAlign w:val="center"/>
          </w:tcPr>
          <w:p w14:paraId="7A06EA25"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264.4</w:t>
            </w:r>
          </w:p>
        </w:tc>
        <w:tc>
          <w:tcPr>
            <w:tcW w:w="714" w:type="dxa"/>
            <w:tcMar>
              <w:left w:w="58" w:type="dxa"/>
              <w:right w:w="58" w:type="dxa"/>
            </w:tcMar>
            <w:vAlign w:val="center"/>
          </w:tcPr>
          <w:p w14:paraId="765185EC"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331.1</w:t>
            </w:r>
          </w:p>
        </w:tc>
        <w:tc>
          <w:tcPr>
            <w:tcW w:w="713" w:type="dxa"/>
            <w:tcMar>
              <w:left w:w="58" w:type="dxa"/>
              <w:right w:w="58" w:type="dxa"/>
            </w:tcMar>
            <w:vAlign w:val="center"/>
          </w:tcPr>
          <w:p w14:paraId="308BB1EF"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14:paraId="7A35F9C2"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14:paraId="03BB82D0"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14:paraId="4B961870"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14:paraId="58346757"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3" w:type="dxa"/>
            <w:tcMar>
              <w:left w:w="58" w:type="dxa"/>
              <w:right w:w="58" w:type="dxa"/>
            </w:tcMar>
            <w:vAlign w:val="center"/>
          </w:tcPr>
          <w:p w14:paraId="6D6D4899"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c>
          <w:tcPr>
            <w:tcW w:w="714" w:type="dxa"/>
            <w:tcMar>
              <w:left w:w="58" w:type="dxa"/>
              <w:right w:w="58" w:type="dxa"/>
            </w:tcMar>
            <w:vAlign w:val="center"/>
          </w:tcPr>
          <w:p w14:paraId="1487072D"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452.9</w:t>
            </w:r>
          </w:p>
        </w:tc>
      </w:tr>
      <w:tr w:rsidR="001B1F4D" w:rsidRPr="001B1F4D" w14:paraId="00EDB433" w14:textId="77777777" w:rsidTr="00EB271B">
        <w:trPr>
          <w:jc w:val="center"/>
        </w:trPr>
        <w:tc>
          <w:tcPr>
            <w:tcW w:w="1421" w:type="dxa"/>
            <w:shd w:val="clear" w:color="auto" w:fill="CCEAF9" w:themeFill="accent1" w:themeFillTint="33"/>
            <w:tcMar>
              <w:left w:w="58" w:type="dxa"/>
              <w:right w:w="58" w:type="dxa"/>
            </w:tcMar>
            <w:vAlign w:val="center"/>
          </w:tcPr>
          <w:p w14:paraId="5D4E6402" w14:textId="77777777"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Non-FCM, Energy-Only PV</w:t>
            </w:r>
          </w:p>
        </w:tc>
        <w:tc>
          <w:tcPr>
            <w:tcW w:w="713" w:type="dxa"/>
            <w:shd w:val="clear" w:color="auto" w:fill="CCEAF9" w:themeFill="accent1" w:themeFillTint="33"/>
            <w:tcMar>
              <w:left w:w="58" w:type="dxa"/>
              <w:right w:w="58" w:type="dxa"/>
            </w:tcMar>
            <w:vAlign w:val="center"/>
          </w:tcPr>
          <w:p w14:paraId="235F98FD"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1,003.1</w:t>
            </w:r>
          </w:p>
        </w:tc>
        <w:tc>
          <w:tcPr>
            <w:tcW w:w="713" w:type="dxa"/>
            <w:shd w:val="clear" w:color="auto" w:fill="CCEAF9" w:themeFill="accent1" w:themeFillTint="33"/>
            <w:tcMar>
              <w:left w:w="58" w:type="dxa"/>
              <w:right w:w="58" w:type="dxa"/>
            </w:tcMar>
            <w:vAlign w:val="center"/>
          </w:tcPr>
          <w:p w14:paraId="257CE9D8"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1,034.8</w:t>
            </w:r>
          </w:p>
        </w:tc>
        <w:tc>
          <w:tcPr>
            <w:tcW w:w="713" w:type="dxa"/>
            <w:shd w:val="clear" w:color="auto" w:fill="CCEAF9" w:themeFill="accent1" w:themeFillTint="33"/>
            <w:tcMar>
              <w:left w:w="58" w:type="dxa"/>
              <w:right w:w="58" w:type="dxa"/>
            </w:tcMar>
            <w:vAlign w:val="center"/>
          </w:tcPr>
          <w:p w14:paraId="4423C555"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1,210.6</w:t>
            </w:r>
          </w:p>
        </w:tc>
        <w:tc>
          <w:tcPr>
            <w:tcW w:w="714" w:type="dxa"/>
            <w:shd w:val="clear" w:color="auto" w:fill="CCEAF9" w:themeFill="accent1" w:themeFillTint="33"/>
            <w:tcMar>
              <w:left w:w="58" w:type="dxa"/>
              <w:right w:w="58" w:type="dxa"/>
            </w:tcMar>
            <w:vAlign w:val="center"/>
          </w:tcPr>
          <w:p w14:paraId="2B561AC2"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1,340.0</w:t>
            </w:r>
          </w:p>
        </w:tc>
        <w:tc>
          <w:tcPr>
            <w:tcW w:w="713" w:type="dxa"/>
            <w:shd w:val="clear" w:color="auto" w:fill="CCEAF9" w:themeFill="accent1" w:themeFillTint="33"/>
            <w:tcMar>
              <w:left w:w="58" w:type="dxa"/>
              <w:right w:w="58" w:type="dxa"/>
            </w:tcMar>
            <w:vAlign w:val="center"/>
          </w:tcPr>
          <w:p w14:paraId="214D45E4"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1,409.3</w:t>
            </w:r>
          </w:p>
        </w:tc>
        <w:tc>
          <w:tcPr>
            <w:tcW w:w="713" w:type="dxa"/>
            <w:shd w:val="clear" w:color="auto" w:fill="CCEAF9" w:themeFill="accent1" w:themeFillTint="33"/>
            <w:tcMar>
              <w:left w:w="58" w:type="dxa"/>
              <w:right w:w="58" w:type="dxa"/>
            </w:tcMar>
            <w:vAlign w:val="center"/>
          </w:tcPr>
          <w:p w14:paraId="2C7F0542"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1,571.6</w:t>
            </w:r>
          </w:p>
        </w:tc>
        <w:tc>
          <w:tcPr>
            <w:tcW w:w="713" w:type="dxa"/>
            <w:shd w:val="clear" w:color="auto" w:fill="CCEAF9" w:themeFill="accent1" w:themeFillTint="33"/>
            <w:tcMar>
              <w:left w:w="58" w:type="dxa"/>
              <w:right w:w="58" w:type="dxa"/>
            </w:tcMar>
            <w:vAlign w:val="center"/>
          </w:tcPr>
          <w:p w14:paraId="1FF98F1E"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1,700.0</w:t>
            </w:r>
          </w:p>
        </w:tc>
        <w:tc>
          <w:tcPr>
            <w:tcW w:w="714" w:type="dxa"/>
            <w:shd w:val="clear" w:color="auto" w:fill="CCEAF9" w:themeFill="accent1" w:themeFillTint="33"/>
            <w:tcMar>
              <w:left w:w="58" w:type="dxa"/>
              <w:right w:w="58" w:type="dxa"/>
            </w:tcMar>
            <w:vAlign w:val="center"/>
          </w:tcPr>
          <w:p w14:paraId="43F43915"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1,814.4</w:t>
            </w:r>
          </w:p>
        </w:tc>
        <w:tc>
          <w:tcPr>
            <w:tcW w:w="713" w:type="dxa"/>
            <w:shd w:val="clear" w:color="auto" w:fill="CCEAF9" w:themeFill="accent1" w:themeFillTint="33"/>
            <w:tcMar>
              <w:left w:w="58" w:type="dxa"/>
              <w:right w:w="58" w:type="dxa"/>
            </w:tcMar>
            <w:vAlign w:val="center"/>
          </w:tcPr>
          <w:p w14:paraId="0B3EA38A"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1,926.1</w:t>
            </w:r>
          </w:p>
        </w:tc>
        <w:tc>
          <w:tcPr>
            <w:tcW w:w="713" w:type="dxa"/>
            <w:shd w:val="clear" w:color="auto" w:fill="CCEAF9" w:themeFill="accent1" w:themeFillTint="33"/>
            <w:tcMar>
              <w:left w:w="58" w:type="dxa"/>
              <w:right w:w="58" w:type="dxa"/>
            </w:tcMar>
            <w:vAlign w:val="center"/>
          </w:tcPr>
          <w:p w14:paraId="7D148E7D"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2,035.1</w:t>
            </w:r>
          </w:p>
        </w:tc>
        <w:tc>
          <w:tcPr>
            <w:tcW w:w="714" w:type="dxa"/>
            <w:shd w:val="clear" w:color="auto" w:fill="CCEAF9" w:themeFill="accent1" w:themeFillTint="33"/>
            <w:tcMar>
              <w:left w:w="58" w:type="dxa"/>
              <w:right w:w="58" w:type="dxa"/>
            </w:tcMar>
            <w:vAlign w:val="center"/>
          </w:tcPr>
          <w:p w14:paraId="18AB5BCE"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2,141.3</w:t>
            </w:r>
          </w:p>
        </w:tc>
      </w:tr>
      <w:tr w:rsidR="001B1F4D" w:rsidRPr="001B1F4D" w14:paraId="4BA0198D" w14:textId="77777777" w:rsidTr="00EB271B">
        <w:trPr>
          <w:jc w:val="center"/>
        </w:trPr>
        <w:tc>
          <w:tcPr>
            <w:tcW w:w="1421" w:type="dxa"/>
            <w:tcMar>
              <w:left w:w="58" w:type="dxa"/>
              <w:right w:w="58" w:type="dxa"/>
            </w:tcMar>
            <w:vAlign w:val="center"/>
          </w:tcPr>
          <w:p w14:paraId="3A26AB25" w14:textId="77777777" w:rsidR="001B1F4D" w:rsidRPr="001B1F4D" w:rsidRDefault="001B1F4D" w:rsidP="001B1F4D">
            <w:pPr>
              <w:spacing w:before="40" w:after="40" w:line="240" w:lineRule="auto"/>
              <w:rPr>
                <w:rFonts w:asciiTheme="minorHAnsi" w:hAnsiTheme="minorHAnsi"/>
                <w:sz w:val="18"/>
                <w:szCs w:val="18"/>
              </w:rPr>
            </w:pPr>
            <w:r w:rsidRPr="001B1F4D">
              <w:rPr>
                <w:rFonts w:asciiTheme="minorHAnsi" w:hAnsiTheme="minorHAnsi"/>
                <w:b/>
                <w:sz w:val="18"/>
                <w:szCs w:val="18"/>
              </w:rPr>
              <w:t>Behind-the Meter PV</w:t>
            </w:r>
          </w:p>
        </w:tc>
        <w:tc>
          <w:tcPr>
            <w:tcW w:w="713" w:type="dxa"/>
            <w:tcMar>
              <w:left w:w="58" w:type="dxa"/>
              <w:right w:w="58" w:type="dxa"/>
            </w:tcMar>
            <w:vAlign w:val="center"/>
          </w:tcPr>
          <w:p w14:paraId="78808122"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1,788.3</w:t>
            </w:r>
          </w:p>
        </w:tc>
        <w:tc>
          <w:tcPr>
            <w:tcW w:w="713" w:type="dxa"/>
            <w:tcMar>
              <w:left w:w="58" w:type="dxa"/>
              <w:right w:w="58" w:type="dxa"/>
            </w:tcMar>
            <w:vAlign w:val="center"/>
          </w:tcPr>
          <w:p w14:paraId="74E6E0B9"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2,047.7</w:t>
            </w:r>
          </w:p>
        </w:tc>
        <w:tc>
          <w:tcPr>
            <w:tcW w:w="713" w:type="dxa"/>
            <w:tcMar>
              <w:left w:w="58" w:type="dxa"/>
              <w:right w:w="58" w:type="dxa"/>
            </w:tcMar>
            <w:vAlign w:val="center"/>
          </w:tcPr>
          <w:p w14:paraId="5847FE49"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2,344.8</w:t>
            </w:r>
          </w:p>
        </w:tc>
        <w:tc>
          <w:tcPr>
            <w:tcW w:w="714" w:type="dxa"/>
            <w:tcMar>
              <w:left w:w="58" w:type="dxa"/>
              <w:right w:w="58" w:type="dxa"/>
            </w:tcMar>
            <w:vAlign w:val="center"/>
          </w:tcPr>
          <w:p w14:paraId="5CF311B5"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2,606.6</w:t>
            </w:r>
          </w:p>
        </w:tc>
        <w:tc>
          <w:tcPr>
            <w:tcW w:w="713" w:type="dxa"/>
            <w:tcMar>
              <w:left w:w="58" w:type="dxa"/>
              <w:right w:w="58" w:type="dxa"/>
            </w:tcMar>
            <w:vAlign w:val="center"/>
          </w:tcPr>
          <w:p w14:paraId="73FB28C3"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2,867.5</w:t>
            </w:r>
          </w:p>
        </w:tc>
        <w:tc>
          <w:tcPr>
            <w:tcW w:w="713" w:type="dxa"/>
            <w:tcMar>
              <w:left w:w="58" w:type="dxa"/>
              <w:right w:w="58" w:type="dxa"/>
            </w:tcMar>
            <w:vAlign w:val="center"/>
          </w:tcPr>
          <w:p w14:paraId="0557C325"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3,131.2</w:t>
            </w:r>
          </w:p>
        </w:tc>
        <w:tc>
          <w:tcPr>
            <w:tcW w:w="713" w:type="dxa"/>
            <w:tcMar>
              <w:left w:w="58" w:type="dxa"/>
              <w:right w:w="58" w:type="dxa"/>
            </w:tcMar>
            <w:vAlign w:val="center"/>
          </w:tcPr>
          <w:p w14:paraId="12E61120"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3,360.9</w:t>
            </w:r>
          </w:p>
        </w:tc>
        <w:tc>
          <w:tcPr>
            <w:tcW w:w="714" w:type="dxa"/>
            <w:tcMar>
              <w:left w:w="58" w:type="dxa"/>
              <w:right w:w="58" w:type="dxa"/>
            </w:tcMar>
            <w:vAlign w:val="center"/>
          </w:tcPr>
          <w:p w14:paraId="1F2BB252"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3,576.5</w:t>
            </w:r>
          </w:p>
        </w:tc>
        <w:tc>
          <w:tcPr>
            <w:tcW w:w="713" w:type="dxa"/>
            <w:tcMar>
              <w:left w:w="58" w:type="dxa"/>
              <w:right w:w="58" w:type="dxa"/>
            </w:tcMar>
            <w:vAlign w:val="center"/>
          </w:tcPr>
          <w:p w14:paraId="6A64C861"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3,789.5</w:t>
            </w:r>
          </w:p>
        </w:tc>
        <w:tc>
          <w:tcPr>
            <w:tcW w:w="713" w:type="dxa"/>
            <w:tcMar>
              <w:left w:w="58" w:type="dxa"/>
              <w:right w:w="58" w:type="dxa"/>
            </w:tcMar>
            <w:vAlign w:val="center"/>
          </w:tcPr>
          <w:p w14:paraId="37683437"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3,971.9</w:t>
            </w:r>
          </w:p>
        </w:tc>
        <w:tc>
          <w:tcPr>
            <w:tcW w:w="714" w:type="dxa"/>
            <w:tcMar>
              <w:left w:w="58" w:type="dxa"/>
              <w:right w:w="58" w:type="dxa"/>
            </w:tcMar>
            <w:vAlign w:val="center"/>
          </w:tcPr>
          <w:p w14:paraId="33A7E8F0" w14:textId="77777777" w:rsidR="001B1F4D" w:rsidRPr="001B1F4D" w:rsidRDefault="001B1F4D" w:rsidP="001B1F4D">
            <w:pPr>
              <w:spacing w:before="40" w:after="40" w:line="240" w:lineRule="auto"/>
              <w:jc w:val="right"/>
              <w:rPr>
                <w:rFonts w:asciiTheme="minorHAnsi" w:hAnsiTheme="minorHAnsi"/>
                <w:sz w:val="18"/>
                <w:szCs w:val="18"/>
              </w:rPr>
            </w:pPr>
            <w:r w:rsidRPr="001B1F4D">
              <w:rPr>
                <w:rFonts w:asciiTheme="minorHAnsi" w:hAnsiTheme="minorHAnsi"/>
                <w:sz w:val="18"/>
              </w:rPr>
              <w:t>4,150.2</w:t>
            </w:r>
          </w:p>
        </w:tc>
      </w:tr>
    </w:tbl>
    <w:p w14:paraId="5801124F" w14:textId="77777777" w:rsidR="001B1F4D" w:rsidRPr="001B1F4D" w:rsidRDefault="001B1F4D" w:rsidP="001B1F4D">
      <w:pPr>
        <w:spacing w:after="0" w:line="240" w:lineRule="auto"/>
        <w:rPr>
          <w:rFonts w:eastAsia="Times New Roman"/>
        </w:rPr>
      </w:pPr>
    </w:p>
    <w:p w14:paraId="3C28439B" w14:textId="77777777" w:rsidR="001B1F4D" w:rsidRPr="001B1F4D" w:rsidRDefault="001B1F4D" w:rsidP="008E7223">
      <w:pPr>
        <w:pStyle w:val="Heading3"/>
      </w:pPr>
      <w:bookmarkStart w:id="280" w:name="_Toc484957895"/>
      <w:bookmarkStart w:id="281" w:name="_Ref485727402"/>
      <w:bookmarkStart w:id="282" w:name="_Toc490323020"/>
      <w:bookmarkStart w:id="283" w:name="_Toc12795161"/>
      <w:r w:rsidRPr="001B1F4D">
        <w:t>PV Energy Forecast</w:t>
      </w:r>
      <w:bookmarkEnd w:id="280"/>
      <w:bookmarkEnd w:id="281"/>
      <w:bookmarkEnd w:id="282"/>
      <w:bookmarkEnd w:id="283"/>
    </w:p>
    <w:p w14:paraId="6FB66227" w14:textId="59B79CA5" w:rsidR="001B1F4D" w:rsidRPr="001B1F4D" w:rsidRDefault="001B1F4D" w:rsidP="001B1F4D">
      <w:pPr>
        <w:spacing w:after="200" w:line="276" w:lineRule="auto"/>
      </w:pPr>
      <w:r w:rsidRPr="001B1F4D">
        <w:t>Using the nameplate PV forecast, historical installation rates, and performance based on a statistical sample of PV production data, the ISO estimates a PV energy forecast. Beginning with the 2019 nameplate forecast, the ISO has estimated BTM PV’s summer peak load reductions along with the growth of PV penetrations. Higher PV penetrations account for diminishing PV production overall because they cause peak loads to occur later in the afternoon when PV is less effective at reducing the load.</w:t>
      </w:r>
      <w:r w:rsidRPr="001B1F4D">
        <w:rPr>
          <w:vertAlign w:val="superscript"/>
        </w:rPr>
        <w:footnoteReference w:id="92"/>
      </w:r>
      <w:r w:rsidRPr="001B1F4D">
        <w:t xml:space="preserve"> </w:t>
      </w:r>
      <w:r w:rsidRPr="0080457A">
        <w:fldChar w:fldCharType="begin"/>
      </w:r>
      <w:r w:rsidRPr="007F5A3E">
        <w:instrText xml:space="preserve"> REF _Ref491176513 \h </w:instrText>
      </w:r>
      <w:r w:rsidR="007F5A3E" w:rsidRPr="007F5A3E">
        <w:instrText xml:space="preserve"> \* MERGEFORMAT </w:instrText>
      </w:r>
      <w:r w:rsidRPr="0080457A">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5</w:t>
      </w:r>
      <w:r w:rsidRPr="0080457A">
        <w:fldChar w:fldCharType="end"/>
      </w:r>
      <w:r w:rsidRPr="007F5A3E">
        <w:t xml:space="preserve"> s</w:t>
      </w:r>
      <w:r w:rsidRPr="001B1F4D">
        <w:t>hows the values of regional annual energy savings and summer peak demand reductions from the 2019 forecast of BTM PV.</w:t>
      </w:r>
      <w:r w:rsidRPr="001B1F4D">
        <w:rPr>
          <w:rFonts w:ascii="Arial Narrow" w:eastAsia="Times New Roman" w:hAnsi="Arial Narrow" w:cs="Arial"/>
          <w:spacing w:val="-5"/>
        </w:rPr>
        <w:t xml:space="preserve"> </w:t>
      </w:r>
    </w:p>
    <w:p w14:paraId="42E071FF" w14:textId="1E57CD35" w:rsidR="001B1F4D" w:rsidRPr="001B1F4D" w:rsidRDefault="001B1F4D" w:rsidP="001B1F4D">
      <w:pPr>
        <w:spacing w:after="120" w:line="240" w:lineRule="auto"/>
        <w:jc w:val="center"/>
        <w:rPr>
          <w:rFonts w:ascii="Calibri" w:hAnsi="Calibri"/>
          <w:szCs w:val="18"/>
        </w:rPr>
      </w:pPr>
      <w:bookmarkStart w:id="284" w:name="_Ref491176513"/>
      <w:bookmarkStart w:id="285" w:name="_Toc491244001"/>
      <w:bookmarkStart w:id="286" w:name="_Toc12795328"/>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bookmarkEnd w:id="284"/>
      <w:r w:rsidRPr="001B1F4D">
        <w:rPr>
          <w:rFonts w:ascii="Calibri" w:hAnsi="Calibri"/>
          <w:szCs w:val="18"/>
        </w:rPr>
        <w:br/>
      </w:r>
      <w:r w:rsidRPr="001B1F4D">
        <w:rPr>
          <w:rFonts w:ascii="Calibri" w:hAnsi="Calibri"/>
          <w:b/>
          <w:szCs w:val="18"/>
        </w:rPr>
        <w:t>Summary of BTM PV Forecast Annual Electric Energy Savings and Peak Demand Reductions</w:t>
      </w:r>
      <w:r w:rsidR="00B40D5D">
        <w:rPr>
          <w:rFonts w:ascii="Calibri" w:hAnsi="Calibri"/>
          <w:b/>
          <w:szCs w:val="18"/>
        </w:rPr>
        <w:br/>
      </w:r>
      <w:r w:rsidRPr="001B1F4D">
        <w:rPr>
          <w:rFonts w:ascii="Calibri" w:hAnsi="Calibri"/>
          <w:b/>
          <w:szCs w:val="18"/>
        </w:rPr>
        <w:t>for New England and the States, 2019 and 2028 (GWh, MW)</w:t>
      </w:r>
      <w:bookmarkEnd w:id="285"/>
      <w:bookmarkEnd w:id="286"/>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tblGrid>
      <w:tr w:rsidR="001B1F4D" w:rsidRPr="001B1F4D" w14:paraId="596B3F91" w14:textId="77777777" w:rsidTr="00EB271B">
        <w:trPr>
          <w:trHeight w:val="829"/>
          <w:jc w:val="center"/>
        </w:trPr>
        <w:tc>
          <w:tcPr>
            <w:tcW w:w="1050" w:type="dxa"/>
            <w:vMerge w:val="restart"/>
            <w:shd w:val="clear" w:color="auto" w:fill="1795D2" w:themeFill="accent1"/>
            <w:noWrap/>
            <w:tcMar>
              <w:left w:w="29" w:type="dxa"/>
              <w:right w:w="29" w:type="dxa"/>
            </w:tcMar>
            <w:vAlign w:val="center"/>
            <w:hideMark/>
          </w:tcPr>
          <w:p w14:paraId="378218FB" w14:textId="77777777" w:rsidR="001B1F4D" w:rsidRPr="001B1F4D" w:rsidRDefault="001B1F4D" w:rsidP="001B1F4D">
            <w:pPr>
              <w:keepNext/>
              <w:keepLines/>
              <w:spacing w:after="0" w:line="240" w:lineRule="auto"/>
              <w:jc w:val="center"/>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State</w:t>
            </w:r>
          </w:p>
        </w:tc>
        <w:tc>
          <w:tcPr>
            <w:tcW w:w="2329" w:type="dxa"/>
            <w:gridSpan w:val="3"/>
            <w:shd w:val="clear" w:color="auto" w:fill="1795D2" w:themeFill="accent1"/>
            <w:noWrap/>
            <w:tcMar>
              <w:left w:w="29" w:type="dxa"/>
              <w:right w:w="29" w:type="dxa"/>
            </w:tcMar>
            <w:vAlign w:val="center"/>
            <w:hideMark/>
          </w:tcPr>
          <w:p w14:paraId="15052AC1"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Annual Energy Savings</w:t>
            </w:r>
          </w:p>
          <w:p w14:paraId="0245F23A"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(GWh)</w:t>
            </w:r>
          </w:p>
        </w:tc>
        <w:tc>
          <w:tcPr>
            <w:tcW w:w="2330" w:type="dxa"/>
            <w:gridSpan w:val="3"/>
            <w:shd w:val="clear" w:color="auto" w:fill="1795D2" w:themeFill="accent1"/>
            <w:noWrap/>
            <w:tcMar>
              <w:left w:w="29" w:type="dxa"/>
              <w:right w:w="29" w:type="dxa"/>
            </w:tcMar>
            <w:vAlign w:val="center"/>
            <w:hideMark/>
          </w:tcPr>
          <w:p w14:paraId="506A52D1"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Summer Peak Demand Reductions</w:t>
            </w:r>
          </w:p>
          <w:p w14:paraId="19F7FB2A"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(MW)</w:t>
            </w:r>
          </w:p>
        </w:tc>
      </w:tr>
      <w:tr w:rsidR="001B1F4D" w:rsidRPr="001B1F4D" w14:paraId="6348C910" w14:textId="77777777" w:rsidTr="00EB271B">
        <w:trPr>
          <w:trHeight w:val="312"/>
          <w:jc w:val="center"/>
        </w:trPr>
        <w:tc>
          <w:tcPr>
            <w:tcW w:w="1050" w:type="dxa"/>
            <w:vMerge/>
            <w:shd w:val="clear" w:color="auto" w:fill="1795D2" w:themeFill="accent1"/>
            <w:noWrap/>
            <w:tcMar>
              <w:left w:w="29" w:type="dxa"/>
              <w:right w:w="29" w:type="dxa"/>
            </w:tcMar>
            <w:vAlign w:val="center"/>
            <w:hideMark/>
          </w:tcPr>
          <w:p w14:paraId="02727831" w14:textId="77777777" w:rsidR="001B1F4D" w:rsidRPr="001B1F4D" w:rsidRDefault="001B1F4D" w:rsidP="001B1F4D">
            <w:pPr>
              <w:keepNext/>
              <w:keepLines/>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14:paraId="7C79B375"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7" w:type="dxa"/>
            <w:shd w:val="clear" w:color="auto" w:fill="1795D2" w:themeFill="accent1"/>
            <w:noWrap/>
            <w:tcMar>
              <w:left w:w="29" w:type="dxa"/>
              <w:right w:w="29" w:type="dxa"/>
            </w:tcMar>
            <w:vAlign w:val="center"/>
            <w:hideMark/>
          </w:tcPr>
          <w:p w14:paraId="63E69088"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6" w:type="dxa"/>
            <w:shd w:val="clear" w:color="auto" w:fill="1795D2" w:themeFill="accent1"/>
            <w:noWrap/>
            <w:tcMar>
              <w:left w:w="29" w:type="dxa"/>
              <w:right w:w="29" w:type="dxa"/>
            </w:tcMar>
            <w:vAlign w:val="center"/>
            <w:hideMark/>
          </w:tcPr>
          <w:p w14:paraId="1F439A15"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14:paraId="7F7AE7F3"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2019</w:t>
            </w:r>
          </w:p>
        </w:tc>
        <w:tc>
          <w:tcPr>
            <w:tcW w:w="776" w:type="dxa"/>
            <w:shd w:val="clear" w:color="auto" w:fill="1795D2" w:themeFill="accent1"/>
            <w:noWrap/>
            <w:tcMar>
              <w:left w:w="29" w:type="dxa"/>
              <w:right w:w="29" w:type="dxa"/>
            </w:tcMar>
            <w:vAlign w:val="center"/>
            <w:hideMark/>
          </w:tcPr>
          <w:p w14:paraId="29214AB1"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2028</w:t>
            </w:r>
          </w:p>
        </w:tc>
        <w:tc>
          <w:tcPr>
            <w:tcW w:w="777" w:type="dxa"/>
            <w:shd w:val="clear" w:color="auto" w:fill="1795D2" w:themeFill="accent1"/>
            <w:noWrap/>
            <w:tcMar>
              <w:left w:w="29" w:type="dxa"/>
              <w:right w:w="29" w:type="dxa"/>
            </w:tcMar>
            <w:vAlign w:val="center"/>
            <w:hideMark/>
          </w:tcPr>
          <w:p w14:paraId="7D3B340D" w14:textId="77777777" w:rsidR="001B1F4D" w:rsidRPr="001B1F4D" w:rsidRDefault="001B1F4D" w:rsidP="001B1F4D">
            <w:pPr>
              <w:keepNext/>
              <w:keepLines/>
              <w:spacing w:after="0" w:line="240" w:lineRule="auto"/>
              <w:jc w:val="center"/>
              <w:rPr>
                <w:rFonts w:asciiTheme="minorHAnsi" w:hAnsiTheme="minorHAnsi"/>
                <w:b/>
                <w:bCs/>
                <w:color w:val="FFFFFF" w:themeColor="background1"/>
                <w:sz w:val="18"/>
                <w:szCs w:val="18"/>
              </w:rPr>
            </w:pPr>
            <w:r w:rsidRPr="001B1F4D">
              <w:rPr>
                <w:rFonts w:asciiTheme="minorHAnsi" w:hAnsiTheme="minorHAnsi"/>
                <w:b/>
                <w:bCs/>
                <w:color w:val="FFFFFF" w:themeColor="background1"/>
                <w:sz w:val="18"/>
                <w:szCs w:val="18"/>
              </w:rPr>
              <w:t>CAGR</w:t>
            </w:r>
            <w:r w:rsidRPr="001B1F4D">
              <w:rPr>
                <w:rFonts w:asciiTheme="minorHAnsi" w:hAnsiTheme="minorHAnsi"/>
                <w:b/>
                <w:bCs/>
                <w:color w:val="FFFFFF" w:themeColor="background1"/>
                <w:sz w:val="18"/>
                <w:szCs w:val="18"/>
                <w:vertAlign w:val="superscript"/>
              </w:rPr>
              <w:t>(a)</w:t>
            </w:r>
          </w:p>
        </w:tc>
      </w:tr>
      <w:tr w:rsidR="001B1F4D" w:rsidRPr="001B1F4D" w14:paraId="4B60B689" w14:textId="77777777" w:rsidTr="00EB271B">
        <w:trPr>
          <w:trHeight w:val="312"/>
          <w:jc w:val="center"/>
        </w:trPr>
        <w:tc>
          <w:tcPr>
            <w:tcW w:w="1050" w:type="dxa"/>
            <w:noWrap/>
            <w:tcMar>
              <w:left w:w="115" w:type="dxa"/>
              <w:right w:w="0" w:type="dxa"/>
            </w:tcMar>
            <w:vAlign w:val="center"/>
            <w:hideMark/>
          </w:tcPr>
          <w:p w14:paraId="7A564BD7"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14:paraId="5BA87FEC"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623</w:t>
            </w:r>
          </w:p>
        </w:tc>
        <w:tc>
          <w:tcPr>
            <w:tcW w:w="777" w:type="dxa"/>
            <w:noWrap/>
            <w:tcMar>
              <w:top w:w="29" w:type="dxa"/>
              <w:left w:w="0" w:type="dxa"/>
              <w:bottom w:w="29" w:type="dxa"/>
              <w:right w:w="115" w:type="dxa"/>
            </w:tcMar>
            <w:vAlign w:val="center"/>
            <w:hideMark/>
          </w:tcPr>
          <w:p w14:paraId="6A4074A5"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1,441</w:t>
            </w:r>
          </w:p>
        </w:tc>
        <w:tc>
          <w:tcPr>
            <w:tcW w:w="776" w:type="dxa"/>
            <w:noWrap/>
            <w:tcMar>
              <w:top w:w="29" w:type="dxa"/>
              <w:left w:w="0" w:type="dxa"/>
              <w:bottom w:w="29" w:type="dxa"/>
              <w:right w:w="115" w:type="dxa"/>
            </w:tcMar>
            <w:vAlign w:val="center"/>
            <w:hideMark/>
          </w:tcPr>
          <w:p w14:paraId="45C7DE12"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9.8</w:t>
            </w:r>
          </w:p>
        </w:tc>
        <w:tc>
          <w:tcPr>
            <w:tcW w:w="777" w:type="dxa"/>
            <w:noWrap/>
            <w:tcMar>
              <w:top w:w="29" w:type="dxa"/>
              <w:left w:w="0" w:type="dxa"/>
              <w:bottom w:w="29" w:type="dxa"/>
              <w:right w:w="115" w:type="dxa"/>
            </w:tcMar>
            <w:vAlign w:val="center"/>
            <w:hideMark/>
          </w:tcPr>
          <w:p w14:paraId="1F9F233F"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173</w:t>
            </w:r>
          </w:p>
        </w:tc>
        <w:tc>
          <w:tcPr>
            <w:tcW w:w="776" w:type="dxa"/>
            <w:noWrap/>
            <w:tcMar>
              <w:top w:w="29" w:type="dxa"/>
              <w:left w:w="0" w:type="dxa"/>
              <w:bottom w:w="29" w:type="dxa"/>
              <w:right w:w="115" w:type="dxa"/>
            </w:tcMar>
            <w:vAlign w:val="center"/>
            <w:hideMark/>
          </w:tcPr>
          <w:p w14:paraId="3717DF09"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285</w:t>
            </w:r>
          </w:p>
        </w:tc>
        <w:tc>
          <w:tcPr>
            <w:tcW w:w="777" w:type="dxa"/>
            <w:noWrap/>
            <w:tcMar>
              <w:top w:w="29" w:type="dxa"/>
              <w:left w:w="0" w:type="dxa"/>
              <w:bottom w:w="29" w:type="dxa"/>
              <w:right w:w="115" w:type="dxa"/>
            </w:tcMar>
            <w:vAlign w:val="center"/>
            <w:hideMark/>
          </w:tcPr>
          <w:p w14:paraId="29D42A1F"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r>
      <w:tr w:rsidR="001B1F4D" w:rsidRPr="001B1F4D" w14:paraId="5C4A34B0"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5847865A"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14:paraId="4AFA09B4"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57</w:t>
            </w:r>
          </w:p>
        </w:tc>
        <w:tc>
          <w:tcPr>
            <w:tcW w:w="777" w:type="dxa"/>
            <w:shd w:val="clear" w:color="auto" w:fill="CCEAF9" w:themeFill="accent1" w:themeFillTint="33"/>
            <w:noWrap/>
            <w:tcMar>
              <w:top w:w="29" w:type="dxa"/>
              <w:left w:w="0" w:type="dxa"/>
              <w:bottom w:w="29" w:type="dxa"/>
              <w:right w:w="115" w:type="dxa"/>
            </w:tcMar>
            <w:vAlign w:val="center"/>
            <w:hideMark/>
          </w:tcPr>
          <w:p w14:paraId="75532484"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6" w:type="dxa"/>
            <w:shd w:val="clear" w:color="auto" w:fill="CCEAF9" w:themeFill="accent1" w:themeFillTint="33"/>
            <w:noWrap/>
            <w:tcMar>
              <w:top w:w="29" w:type="dxa"/>
              <w:left w:w="0" w:type="dxa"/>
              <w:bottom w:w="29" w:type="dxa"/>
              <w:right w:w="115" w:type="dxa"/>
            </w:tcMar>
            <w:vAlign w:val="center"/>
            <w:hideMark/>
          </w:tcPr>
          <w:p w14:paraId="11ACCBE6"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9.9</w:t>
            </w:r>
          </w:p>
        </w:tc>
        <w:tc>
          <w:tcPr>
            <w:tcW w:w="777" w:type="dxa"/>
            <w:shd w:val="clear" w:color="auto" w:fill="CCEAF9" w:themeFill="accent1" w:themeFillTint="33"/>
            <w:noWrap/>
            <w:tcMar>
              <w:top w:w="29" w:type="dxa"/>
              <w:left w:w="0" w:type="dxa"/>
              <w:bottom w:w="29" w:type="dxa"/>
              <w:right w:w="115" w:type="dxa"/>
            </w:tcMar>
            <w:vAlign w:val="center"/>
            <w:hideMark/>
          </w:tcPr>
          <w:p w14:paraId="2D16F86B"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16</w:t>
            </w:r>
          </w:p>
        </w:tc>
        <w:tc>
          <w:tcPr>
            <w:tcW w:w="776" w:type="dxa"/>
            <w:shd w:val="clear" w:color="auto" w:fill="CCEAF9" w:themeFill="accent1" w:themeFillTint="33"/>
            <w:noWrap/>
            <w:tcMar>
              <w:top w:w="29" w:type="dxa"/>
              <w:left w:w="0" w:type="dxa"/>
              <w:bottom w:w="29" w:type="dxa"/>
              <w:right w:w="115" w:type="dxa"/>
            </w:tcMar>
            <w:vAlign w:val="center"/>
            <w:hideMark/>
          </w:tcPr>
          <w:p w14:paraId="6544EDBF"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27</w:t>
            </w:r>
          </w:p>
        </w:tc>
        <w:tc>
          <w:tcPr>
            <w:tcW w:w="777" w:type="dxa"/>
            <w:shd w:val="clear" w:color="auto" w:fill="CCEAF9" w:themeFill="accent1" w:themeFillTint="33"/>
            <w:noWrap/>
            <w:tcMar>
              <w:top w:w="29" w:type="dxa"/>
              <w:left w:w="0" w:type="dxa"/>
              <w:bottom w:w="29" w:type="dxa"/>
              <w:right w:w="115" w:type="dxa"/>
            </w:tcMar>
            <w:vAlign w:val="center"/>
            <w:hideMark/>
          </w:tcPr>
          <w:p w14:paraId="2061A02A"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5.8</w:t>
            </w:r>
          </w:p>
        </w:tc>
      </w:tr>
      <w:tr w:rsidR="001B1F4D" w:rsidRPr="001B1F4D" w14:paraId="5845BB6C" w14:textId="77777777" w:rsidTr="00EB271B">
        <w:trPr>
          <w:trHeight w:val="312"/>
          <w:jc w:val="center"/>
        </w:trPr>
        <w:tc>
          <w:tcPr>
            <w:tcW w:w="1050" w:type="dxa"/>
            <w:noWrap/>
            <w:tcMar>
              <w:left w:w="115" w:type="dxa"/>
              <w:right w:w="0" w:type="dxa"/>
            </w:tcMar>
            <w:vAlign w:val="center"/>
            <w:hideMark/>
          </w:tcPr>
          <w:p w14:paraId="25D41E14"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14:paraId="5592AC72"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1,218</w:t>
            </w:r>
          </w:p>
        </w:tc>
        <w:tc>
          <w:tcPr>
            <w:tcW w:w="777" w:type="dxa"/>
            <w:noWrap/>
            <w:tcMar>
              <w:top w:w="29" w:type="dxa"/>
              <w:left w:w="0" w:type="dxa"/>
              <w:bottom w:w="29" w:type="dxa"/>
              <w:right w:w="115" w:type="dxa"/>
            </w:tcMar>
            <w:vAlign w:val="center"/>
            <w:hideMark/>
          </w:tcPr>
          <w:p w14:paraId="76EE80AE"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2,538</w:t>
            </w:r>
          </w:p>
        </w:tc>
        <w:tc>
          <w:tcPr>
            <w:tcW w:w="776" w:type="dxa"/>
            <w:noWrap/>
            <w:tcMar>
              <w:top w:w="29" w:type="dxa"/>
              <w:left w:w="0" w:type="dxa"/>
              <w:bottom w:w="29" w:type="dxa"/>
              <w:right w:w="115" w:type="dxa"/>
            </w:tcMar>
            <w:vAlign w:val="center"/>
            <w:hideMark/>
          </w:tcPr>
          <w:p w14:paraId="36CB894C"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8.5</w:t>
            </w:r>
          </w:p>
        </w:tc>
        <w:tc>
          <w:tcPr>
            <w:tcW w:w="777" w:type="dxa"/>
            <w:noWrap/>
            <w:tcMar>
              <w:top w:w="29" w:type="dxa"/>
              <w:left w:w="0" w:type="dxa"/>
              <w:bottom w:w="29" w:type="dxa"/>
              <w:right w:w="115" w:type="dxa"/>
            </w:tcMar>
            <w:vAlign w:val="center"/>
            <w:hideMark/>
          </w:tcPr>
          <w:p w14:paraId="395F0CA4"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345</w:t>
            </w:r>
          </w:p>
        </w:tc>
        <w:tc>
          <w:tcPr>
            <w:tcW w:w="776" w:type="dxa"/>
            <w:noWrap/>
            <w:tcMar>
              <w:top w:w="29" w:type="dxa"/>
              <w:left w:w="0" w:type="dxa"/>
              <w:bottom w:w="29" w:type="dxa"/>
              <w:right w:w="115" w:type="dxa"/>
            </w:tcMar>
            <w:vAlign w:val="center"/>
            <w:hideMark/>
          </w:tcPr>
          <w:p w14:paraId="0E74B5DD"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509</w:t>
            </w:r>
          </w:p>
        </w:tc>
        <w:tc>
          <w:tcPr>
            <w:tcW w:w="777" w:type="dxa"/>
            <w:noWrap/>
            <w:tcMar>
              <w:top w:w="29" w:type="dxa"/>
              <w:left w:w="0" w:type="dxa"/>
              <w:bottom w:w="29" w:type="dxa"/>
              <w:right w:w="115" w:type="dxa"/>
            </w:tcMar>
            <w:vAlign w:val="center"/>
            <w:hideMark/>
          </w:tcPr>
          <w:p w14:paraId="2E71A14C"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4.4</w:t>
            </w:r>
          </w:p>
        </w:tc>
      </w:tr>
      <w:tr w:rsidR="001B1F4D" w:rsidRPr="001B1F4D" w14:paraId="42E8BA1F"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0633FDC6"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14:paraId="139B38C0"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107</w:t>
            </w:r>
          </w:p>
        </w:tc>
        <w:tc>
          <w:tcPr>
            <w:tcW w:w="777" w:type="dxa"/>
            <w:shd w:val="clear" w:color="auto" w:fill="CCEAF9" w:themeFill="accent1" w:themeFillTint="33"/>
            <w:noWrap/>
            <w:tcMar>
              <w:top w:w="29" w:type="dxa"/>
              <w:left w:w="0" w:type="dxa"/>
              <w:bottom w:w="29" w:type="dxa"/>
              <w:right w:w="115" w:type="dxa"/>
            </w:tcMar>
            <w:vAlign w:val="center"/>
            <w:hideMark/>
          </w:tcPr>
          <w:p w14:paraId="44DCCA7B"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229</w:t>
            </w:r>
          </w:p>
        </w:tc>
        <w:tc>
          <w:tcPr>
            <w:tcW w:w="776" w:type="dxa"/>
            <w:shd w:val="clear" w:color="auto" w:fill="CCEAF9" w:themeFill="accent1" w:themeFillTint="33"/>
            <w:noWrap/>
            <w:tcMar>
              <w:top w:w="29" w:type="dxa"/>
              <w:left w:w="0" w:type="dxa"/>
              <w:bottom w:w="29" w:type="dxa"/>
              <w:right w:w="115" w:type="dxa"/>
            </w:tcMar>
            <w:vAlign w:val="center"/>
            <w:hideMark/>
          </w:tcPr>
          <w:p w14:paraId="6550BB61"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c>
          <w:tcPr>
            <w:tcW w:w="777" w:type="dxa"/>
            <w:shd w:val="clear" w:color="auto" w:fill="CCEAF9" w:themeFill="accent1" w:themeFillTint="33"/>
            <w:noWrap/>
            <w:tcMar>
              <w:top w:w="29" w:type="dxa"/>
              <w:left w:w="0" w:type="dxa"/>
              <w:bottom w:w="29" w:type="dxa"/>
              <w:right w:w="115" w:type="dxa"/>
            </w:tcMar>
            <w:vAlign w:val="center"/>
            <w:hideMark/>
          </w:tcPr>
          <w:p w14:paraId="65316B40"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31</w:t>
            </w:r>
          </w:p>
        </w:tc>
        <w:tc>
          <w:tcPr>
            <w:tcW w:w="776" w:type="dxa"/>
            <w:shd w:val="clear" w:color="auto" w:fill="CCEAF9" w:themeFill="accent1" w:themeFillTint="33"/>
            <w:noWrap/>
            <w:tcMar>
              <w:top w:w="29" w:type="dxa"/>
              <w:left w:w="0" w:type="dxa"/>
              <w:bottom w:w="29" w:type="dxa"/>
              <w:right w:w="115" w:type="dxa"/>
            </w:tcMar>
            <w:vAlign w:val="center"/>
            <w:hideMark/>
          </w:tcPr>
          <w:p w14:paraId="33EC6F7C"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47</w:t>
            </w:r>
          </w:p>
        </w:tc>
        <w:tc>
          <w:tcPr>
            <w:tcW w:w="777" w:type="dxa"/>
            <w:shd w:val="clear" w:color="auto" w:fill="CCEAF9" w:themeFill="accent1" w:themeFillTint="33"/>
            <w:noWrap/>
            <w:tcMar>
              <w:top w:w="29" w:type="dxa"/>
              <w:left w:w="0" w:type="dxa"/>
              <w:bottom w:w="29" w:type="dxa"/>
              <w:right w:w="115" w:type="dxa"/>
            </w:tcMar>
            <w:vAlign w:val="center"/>
            <w:hideMark/>
          </w:tcPr>
          <w:p w14:paraId="107DBDD8"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4.8</w:t>
            </w:r>
          </w:p>
        </w:tc>
      </w:tr>
      <w:tr w:rsidR="001B1F4D" w:rsidRPr="001B1F4D" w14:paraId="31152CA9" w14:textId="77777777" w:rsidTr="00EB271B">
        <w:trPr>
          <w:trHeight w:val="312"/>
          <w:jc w:val="center"/>
        </w:trPr>
        <w:tc>
          <w:tcPr>
            <w:tcW w:w="1050" w:type="dxa"/>
            <w:noWrap/>
            <w:tcMar>
              <w:left w:w="115" w:type="dxa"/>
              <w:right w:w="0" w:type="dxa"/>
            </w:tcMar>
            <w:vAlign w:val="center"/>
            <w:hideMark/>
          </w:tcPr>
          <w:p w14:paraId="75390901"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14:paraId="281B7216"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84</w:t>
            </w:r>
          </w:p>
        </w:tc>
        <w:tc>
          <w:tcPr>
            <w:tcW w:w="777" w:type="dxa"/>
            <w:noWrap/>
            <w:tcMar>
              <w:top w:w="29" w:type="dxa"/>
              <w:left w:w="0" w:type="dxa"/>
              <w:bottom w:w="29" w:type="dxa"/>
              <w:right w:w="115" w:type="dxa"/>
            </w:tcMar>
            <w:vAlign w:val="center"/>
            <w:hideMark/>
          </w:tcPr>
          <w:p w14:paraId="3FF4803F"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253</w:t>
            </w:r>
          </w:p>
        </w:tc>
        <w:tc>
          <w:tcPr>
            <w:tcW w:w="776" w:type="dxa"/>
            <w:noWrap/>
            <w:tcMar>
              <w:top w:w="29" w:type="dxa"/>
              <w:left w:w="0" w:type="dxa"/>
              <w:bottom w:w="29" w:type="dxa"/>
              <w:right w:w="115" w:type="dxa"/>
            </w:tcMar>
            <w:vAlign w:val="center"/>
            <w:hideMark/>
          </w:tcPr>
          <w:p w14:paraId="21E8CAF4"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13.1</w:t>
            </w:r>
          </w:p>
        </w:tc>
        <w:tc>
          <w:tcPr>
            <w:tcW w:w="777" w:type="dxa"/>
            <w:noWrap/>
            <w:tcMar>
              <w:top w:w="29" w:type="dxa"/>
              <w:left w:w="0" w:type="dxa"/>
              <w:bottom w:w="29" w:type="dxa"/>
              <w:right w:w="115" w:type="dxa"/>
            </w:tcMar>
            <w:vAlign w:val="center"/>
            <w:hideMark/>
          </w:tcPr>
          <w:p w14:paraId="7ABEB2DA"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23</w:t>
            </w:r>
          </w:p>
        </w:tc>
        <w:tc>
          <w:tcPr>
            <w:tcW w:w="776" w:type="dxa"/>
            <w:noWrap/>
            <w:tcMar>
              <w:top w:w="29" w:type="dxa"/>
              <w:left w:w="0" w:type="dxa"/>
              <w:bottom w:w="29" w:type="dxa"/>
              <w:right w:w="115" w:type="dxa"/>
            </w:tcMar>
            <w:vAlign w:val="center"/>
            <w:hideMark/>
          </w:tcPr>
          <w:p w14:paraId="00E04897"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50</w:t>
            </w:r>
          </w:p>
        </w:tc>
        <w:tc>
          <w:tcPr>
            <w:tcW w:w="777" w:type="dxa"/>
            <w:noWrap/>
            <w:tcMar>
              <w:top w:w="29" w:type="dxa"/>
              <w:left w:w="0" w:type="dxa"/>
              <w:bottom w:w="29" w:type="dxa"/>
              <w:right w:w="115" w:type="dxa"/>
            </w:tcMar>
            <w:vAlign w:val="center"/>
            <w:hideMark/>
          </w:tcPr>
          <w:p w14:paraId="374D71D8"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8.8</w:t>
            </w:r>
          </w:p>
        </w:tc>
      </w:tr>
      <w:tr w:rsidR="001B1F4D" w:rsidRPr="001B1F4D" w14:paraId="51E4F3A4" w14:textId="77777777" w:rsidTr="00EB271B">
        <w:trPr>
          <w:trHeight w:val="312"/>
          <w:jc w:val="center"/>
        </w:trPr>
        <w:tc>
          <w:tcPr>
            <w:tcW w:w="1050" w:type="dxa"/>
            <w:shd w:val="clear" w:color="auto" w:fill="CCEAF9" w:themeFill="accent1" w:themeFillTint="33"/>
            <w:noWrap/>
            <w:tcMar>
              <w:left w:w="115" w:type="dxa"/>
              <w:right w:w="0" w:type="dxa"/>
            </w:tcMar>
            <w:vAlign w:val="center"/>
            <w:hideMark/>
          </w:tcPr>
          <w:p w14:paraId="145F0F63" w14:textId="77777777" w:rsidR="001B1F4D" w:rsidRPr="001B1F4D" w:rsidRDefault="001B1F4D" w:rsidP="001B1F4D">
            <w:pPr>
              <w:keepNext/>
              <w:keepLines/>
              <w:spacing w:after="0" w:line="240" w:lineRule="auto"/>
              <w:rPr>
                <w:rFonts w:asciiTheme="minorHAnsi" w:hAnsiTheme="minorHAnsi"/>
                <w:b/>
                <w:sz w:val="18"/>
                <w:szCs w:val="18"/>
              </w:rPr>
            </w:pPr>
            <w:r w:rsidRPr="001B1F4D">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14:paraId="1DDE0117"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402</w:t>
            </w:r>
          </w:p>
        </w:tc>
        <w:tc>
          <w:tcPr>
            <w:tcW w:w="777" w:type="dxa"/>
            <w:shd w:val="clear" w:color="auto" w:fill="CCEAF9" w:themeFill="accent1" w:themeFillTint="33"/>
            <w:noWrap/>
            <w:tcMar>
              <w:top w:w="29" w:type="dxa"/>
              <w:left w:w="0" w:type="dxa"/>
              <w:bottom w:w="29" w:type="dxa"/>
              <w:right w:w="115" w:type="dxa"/>
            </w:tcMar>
            <w:vAlign w:val="center"/>
            <w:hideMark/>
          </w:tcPr>
          <w:p w14:paraId="68DC84B4"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628</w:t>
            </w:r>
          </w:p>
        </w:tc>
        <w:tc>
          <w:tcPr>
            <w:tcW w:w="776" w:type="dxa"/>
            <w:shd w:val="clear" w:color="auto" w:fill="CCEAF9" w:themeFill="accent1" w:themeFillTint="33"/>
            <w:noWrap/>
            <w:tcMar>
              <w:top w:w="29" w:type="dxa"/>
              <w:left w:w="0" w:type="dxa"/>
              <w:bottom w:w="29" w:type="dxa"/>
              <w:right w:w="115" w:type="dxa"/>
            </w:tcMar>
            <w:vAlign w:val="center"/>
            <w:hideMark/>
          </w:tcPr>
          <w:p w14:paraId="6EDBD3D1"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5.1</w:t>
            </w:r>
          </w:p>
        </w:tc>
        <w:tc>
          <w:tcPr>
            <w:tcW w:w="777" w:type="dxa"/>
            <w:shd w:val="clear" w:color="auto" w:fill="CCEAF9" w:themeFill="accent1" w:themeFillTint="33"/>
            <w:noWrap/>
            <w:tcMar>
              <w:top w:w="29" w:type="dxa"/>
              <w:left w:w="0" w:type="dxa"/>
              <w:bottom w:w="29" w:type="dxa"/>
              <w:right w:w="115" w:type="dxa"/>
            </w:tcMar>
            <w:vAlign w:val="center"/>
            <w:hideMark/>
          </w:tcPr>
          <w:p w14:paraId="0259DE62"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119</w:t>
            </w:r>
          </w:p>
        </w:tc>
        <w:tc>
          <w:tcPr>
            <w:tcW w:w="776" w:type="dxa"/>
            <w:shd w:val="clear" w:color="auto" w:fill="CCEAF9" w:themeFill="accent1" w:themeFillTint="33"/>
            <w:noWrap/>
            <w:tcMar>
              <w:top w:w="29" w:type="dxa"/>
              <w:left w:w="0" w:type="dxa"/>
              <w:bottom w:w="29" w:type="dxa"/>
              <w:right w:w="115" w:type="dxa"/>
            </w:tcMar>
            <w:vAlign w:val="center"/>
            <w:hideMark/>
          </w:tcPr>
          <w:p w14:paraId="4CB506FB"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133</w:t>
            </w:r>
          </w:p>
        </w:tc>
        <w:tc>
          <w:tcPr>
            <w:tcW w:w="777" w:type="dxa"/>
            <w:shd w:val="clear" w:color="auto" w:fill="CCEAF9" w:themeFill="accent1" w:themeFillTint="33"/>
            <w:noWrap/>
            <w:tcMar>
              <w:top w:w="29" w:type="dxa"/>
              <w:left w:w="0" w:type="dxa"/>
              <w:bottom w:w="29" w:type="dxa"/>
              <w:right w:w="115" w:type="dxa"/>
            </w:tcMar>
            <w:vAlign w:val="center"/>
            <w:hideMark/>
          </w:tcPr>
          <w:p w14:paraId="57D9998F" w14:textId="77777777" w:rsidR="001B1F4D" w:rsidRPr="001B1F4D" w:rsidRDefault="001B1F4D" w:rsidP="001B1F4D">
            <w:pPr>
              <w:keepNext/>
              <w:keepLines/>
              <w:spacing w:after="0" w:line="240" w:lineRule="auto"/>
              <w:jc w:val="right"/>
              <w:rPr>
                <w:rFonts w:asciiTheme="minorHAnsi" w:hAnsiTheme="minorHAnsi"/>
                <w:sz w:val="18"/>
                <w:szCs w:val="18"/>
              </w:rPr>
            </w:pPr>
            <w:r w:rsidRPr="001B1F4D">
              <w:rPr>
                <w:rFonts w:asciiTheme="minorHAnsi" w:hAnsiTheme="minorHAnsi"/>
                <w:sz w:val="18"/>
                <w:szCs w:val="18"/>
              </w:rPr>
              <w:t>1.2</w:t>
            </w:r>
          </w:p>
        </w:tc>
      </w:tr>
      <w:tr w:rsidR="001B1F4D" w:rsidRPr="001B1F4D" w14:paraId="482BD7E0" w14:textId="77777777" w:rsidTr="00EB271B">
        <w:trPr>
          <w:trHeight w:val="312"/>
          <w:jc w:val="center"/>
        </w:trPr>
        <w:tc>
          <w:tcPr>
            <w:tcW w:w="1050" w:type="dxa"/>
            <w:shd w:val="clear" w:color="auto" w:fill="1795D2" w:themeFill="accent1"/>
            <w:noWrap/>
            <w:tcMar>
              <w:left w:w="115" w:type="dxa"/>
              <w:right w:w="0" w:type="dxa"/>
            </w:tcMar>
            <w:vAlign w:val="center"/>
            <w:hideMark/>
          </w:tcPr>
          <w:p w14:paraId="5763BB9C" w14:textId="77777777" w:rsidR="001B1F4D" w:rsidRPr="001B1F4D" w:rsidRDefault="001B1F4D" w:rsidP="001B1F4D">
            <w:pPr>
              <w:keepNext/>
              <w:keepLines/>
              <w:spacing w:after="0" w:line="240" w:lineRule="auto"/>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14:paraId="28213221" w14:textId="77777777"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2,490</w:t>
            </w:r>
          </w:p>
        </w:tc>
        <w:tc>
          <w:tcPr>
            <w:tcW w:w="777" w:type="dxa"/>
            <w:shd w:val="clear" w:color="auto" w:fill="1795D2" w:themeFill="accent1"/>
            <w:noWrap/>
            <w:tcMar>
              <w:top w:w="29" w:type="dxa"/>
              <w:left w:w="0" w:type="dxa"/>
              <w:bottom w:w="29" w:type="dxa"/>
              <w:right w:w="115" w:type="dxa"/>
            </w:tcMar>
            <w:vAlign w:val="center"/>
            <w:hideMark/>
          </w:tcPr>
          <w:p w14:paraId="1C8CE964" w14:textId="77777777"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5,222</w:t>
            </w:r>
          </w:p>
        </w:tc>
        <w:tc>
          <w:tcPr>
            <w:tcW w:w="776" w:type="dxa"/>
            <w:shd w:val="clear" w:color="auto" w:fill="1795D2" w:themeFill="accent1"/>
            <w:noWrap/>
            <w:tcMar>
              <w:top w:w="29" w:type="dxa"/>
              <w:left w:w="0" w:type="dxa"/>
              <w:bottom w:w="29" w:type="dxa"/>
              <w:right w:w="115" w:type="dxa"/>
            </w:tcMar>
            <w:vAlign w:val="center"/>
            <w:hideMark/>
          </w:tcPr>
          <w:p w14:paraId="64E26D27" w14:textId="77777777"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8.6</w:t>
            </w:r>
          </w:p>
        </w:tc>
        <w:tc>
          <w:tcPr>
            <w:tcW w:w="777" w:type="dxa"/>
            <w:shd w:val="clear" w:color="auto" w:fill="1795D2" w:themeFill="accent1"/>
            <w:noWrap/>
            <w:tcMar>
              <w:top w:w="29" w:type="dxa"/>
              <w:left w:w="0" w:type="dxa"/>
              <w:bottom w:w="29" w:type="dxa"/>
              <w:right w:w="115" w:type="dxa"/>
            </w:tcMar>
            <w:vAlign w:val="center"/>
            <w:hideMark/>
          </w:tcPr>
          <w:p w14:paraId="5D826A7A" w14:textId="77777777"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708</w:t>
            </w:r>
          </w:p>
        </w:tc>
        <w:tc>
          <w:tcPr>
            <w:tcW w:w="776" w:type="dxa"/>
            <w:shd w:val="clear" w:color="auto" w:fill="1795D2" w:themeFill="accent1"/>
            <w:noWrap/>
            <w:tcMar>
              <w:top w:w="29" w:type="dxa"/>
              <w:left w:w="0" w:type="dxa"/>
              <w:bottom w:w="29" w:type="dxa"/>
              <w:right w:w="115" w:type="dxa"/>
            </w:tcMar>
            <w:vAlign w:val="center"/>
            <w:hideMark/>
          </w:tcPr>
          <w:p w14:paraId="6F3BA714" w14:textId="2A919523"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1</w:t>
            </w:r>
            <w:r w:rsidR="008E7223">
              <w:rPr>
                <w:rFonts w:asciiTheme="minorHAnsi" w:hAnsiTheme="minorHAnsi"/>
                <w:b/>
                <w:color w:val="FFFFFF" w:themeColor="background1"/>
                <w:sz w:val="18"/>
                <w:szCs w:val="18"/>
              </w:rPr>
              <w:t>,</w:t>
            </w:r>
            <w:r w:rsidRPr="001B1F4D">
              <w:rPr>
                <w:rFonts w:asciiTheme="minorHAnsi" w:hAnsiTheme="minorHAnsi"/>
                <w:b/>
                <w:color w:val="FFFFFF" w:themeColor="background1"/>
                <w:sz w:val="18"/>
                <w:szCs w:val="18"/>
              </w:rPr>
              <w:t>051</w:t>
            </w:r>
          </w:p>
        </w:tc>
        <w:tc>
          <w:tcPr>
            <w:tcW w:w="777" w:type="dxa"/>
            <w:shd w:val="clear" w:color="auto" w:fill="1795D2" w:themeFill="accent1"/>
            <w:noWrap/>
            <w:tcMar>
              <w:top w:w="29" w:type="dxa"/>
              <w:left w:w="0" w:type="dxa"/>
              <w:bottom w:w="29" w:type="dxa"/>
              <w:right w:w="115" w:type="dxa"/>
            </w:tcMar>
            <w:vAlign w:val="center"/>
            <w:hideMark/>
          </w:tcPr>
          <w:p w14:paraId="5E85A585" w14:textId="77777777" w:rsidR="001B1F4D" w:rsidRPr="001B1F4D" w:rsidRDefault="001B1F4D" w:rsidP="001B1F4D">
            <w:pPr>
              <w:keepNext/>
              <w:keepLines/>
              <w:spacing w:after="0" w:line="240" w:lineRule="auto"/>
              <w:jc w:val="right"/>
              <w:rPr>
                <w:rFonts w:asciiTheme="minorHAnsi" w:hAnsiTheme="minorHAnsi"/>
                <w:b/>
                <w:color w:val="FFFFFF" w:themeColor="background1"/>
                <w:sz w:val="18"/>
                <w:szCs w:val="18"/>
              </w:rPr>
            </w:pPr>
            <w:r w:rsidRPr="001B1F4D">
              <w:rPr>
                <w:rFonts w:asciiTheme="minorHAnsi" w:hAnsiTheme="minorHAnsi"/>
                <w:b/>
                <w:color w:val="FFFFFF" w:themeColor="background1"/>
                <w:sz w:val="18"/>
                <w:szCs w:val="18"/>
              </w:rPr>
              <w:t>4.5</w:t>
            </w:r>
          </w:p>
        </w:tc>
      </w:tr>
    </w:tbl>
    <w:p w14:paraId="5505902E" w14:textId="77777777" w:rsidR="001B1F4D" w:rsidRPr="001B1F4D" w:rsidRDefault="001B1F4D" w:rsidP="001B1F4D">
      <w:pPr>
        <w:keepNext/>
        <w:keepLines/>
        <w:spacing w:before="120" w:line="240" w:lineRule="auto"/>
        <w:ind w:left="1620" w:right="86"/>
        <w:rPr>
          <w:rFonts w:ascii="Calibri" w:hAnsi="Calibri" w:cs="Arial"/>
          <w:bCs/>
          <w:sz w:val="16"/>
          <w:szCs w:val="16"/>
        </w:rPr>
      </w:pPr>
      <w:r w:rsidRPr="001B1F4D">
        <w:t xml:space="preserve"> </w:t>
      </w:r>
      <w:r w:rsidRPr="001B1F4D">
        <w:rPr>
          <w:rFonts w:ascii="Calibri" w:hAnsi="Calibri" w:cs="Arial"/>
          <w:bCs/>
          <w:sz w:val="16"/>
          <w:szCs w:val="16"/>
        </w:rPr>
        <w:t>(a) “CAGR” stands for compound annual growth rate.</w:t>
      </w:r>
    </w:p>
    <w:p w14:paraId="51790C74" w14:textId="77777777" w:rsidR="001B1F4D" w:rsidRPr="000853E3" w:rsidRDefault="001B1F4D" w:rsidP="000853E3">
      <w:pPr>
        <w:pStyle w:val="Heading2"/>
      </w:pPr>
      <w:bookmarkStart w:id="287" w:name="_Ref418883457"/>
      <w:bookmarkStart w:id="288" w:name="_Ref418955548"/>
      <w:bookmarkStart w:id="289" w:name="_Toc484957896"/>
      <w:bookmarkStart w:id="290" w:name="_Toc490323021"/>
      <w:bookmarkStart w:id="291" w:name="_Toc12795162"/>
      <w:r w:rsidRPr="001B1F4D">
        <w:t>T</w:t>
      </w:r>
      <w:r w:rsidRPr="000853E3">
        <w:t>he Net Demand Forecast</w:t>
      </w:r>
      <w:bookmarkEnd w:id="287"/>
      <w:bookmarkEnd w:id="288"/>
      <w:bookmarkEnd w:id="289"/>
      <w:bookmarkEnd w:id="290"/>
      <w:bookmarkEnd w:id="291"/>
    </w:p>
    <w:p w14:paraId="2BDF8C84" w14:textId="53189756" w:rsidR="00934DC6" w:rsidRDefault="001B1F4D" w:rsidP="00934DC6">
      <w:r w:rsidRPr="000853E3">
        <w:t xml:space="preserve">The net forecast is the gross demand forecast lowered by the forecasted BTM PV load reductions and the energy-efficiency forecast. The net forecast is detailed in </w:t>
      </w:r>
      <w:r w:rsidRPr="000853E3">
        <w:fldChar w:fldCharType="begin"/>
      </w:r>
      <w:r w:rsidRPr="000853E3">
        <w:instrText xml:space="preserve"> REF _Ref417651782 \h  \* MERGEFORMAT </w:instrText>
      </w:r>
      <w:r w:rsidRPr="000853E3">
        <w:fldChar w:fldCharType="separate"/>
      </w:r>
      <w:r w:rsidR="005D0B73" w:rsidRPr="00934DC6">
        <w:t xml:space="preserve">Figure </w:t>
      </w:r>
      <w:r w:rsidR="005D0B73">
        <w:t>3</w:t>
      </w:r>
      <w:r w:rsidR="005D0B73">
        <w:noBreakHyphen/>
        <w:t>3</w:t>
      </w:r>
      <w:r w:rsidRPr="000853E3">
        <w:fldChar w:fldCharType="end"/>
      </w:r>
      <w:r w:rsidRPr="000853E3">
        <w:t xml:space="preserve">, </w:t>
      </w:r>
      <w:r w:rsidR="00934DC6">
        <w:fldChar w:fldCharType="begin"/>
      </w:r>
      <w:r w:rsidR="00934DC6">
        <w:instrText xml:space="preserve"> REF _Ref13484388 \h </w:instrText>
      </w:r>
      <w:r w:rsidR="00934DC6">
        <w:fldChar w:fldCharType="separate"/>
      </w:r>
      <w:r w:rsidR="005D0B73" w:rsidRPr="00934DC6">
        <w:t xml:space="preserve">Figure </w:t>
      </w:r>
      <w:r w:rsidR="005D0B73">
        <w:rPr>
          <w:noProof/>
        </w:rPr>
        <w:t>3</w:t>
      </w:r>
      <w:r w:rsidR="005D0B73">
        <w:noBreakHyphen/>
      </w:r>
      <w:r w:rsidR="005D0B73">
        <w:rPr>
          <w:noProof/>
        </w:rPr>
        <w:t>4</w:t>
      </w:r>
      <w:r w:rsidR="00934DC6">
        <w:fldChar w:fldCharType="end"/>
      </w:r>
      <w:r w:rsidR="008E7223">
        <w:t>,</w:t>
      </w:r>
      <w:r w:rsidR="00934DC6">
        <w:t xml:space="preserve"> </w:t>
      </w:r>
      <w:r w:rsidRPr="000853E3">
        <w:t xml:space="preserve">and </w:t>
      </w:r>
      <w:r w:rsidRPr="000853E3">
        <w:fldChar w:fldCharType="begin"/>
      </w:r>
      <w:r w:rsidRPr="000853E3">
        <w:instrText xml:space="preserve"> REF _Ref7618013 \h </w:instrText>
      </w:r>
      <w:r w:rsidR="007F5A3E" w:rsidRPr="000853E3">
        <w:instrText xml:space="preserve"> \* MERGEFORMAT </w:instrText>
      </w:r>
      <w:r w:rsidRPr="000853E3">
        <w:fldChar w:fldCharType="separate"/>
      </w:r>
      <w:r w:rsidR="005D0B73" w:rsidRPr="005D0B73">
        <w:rPr>
          <w:bCs/>
        </w:rPr>
        <w:t xml:space="preserve">Figure </w:t>
      </w:r>
      <w:r w:rsidR="005D0B73" w:rsidRPr="005D0B73">
        <w:rPr>
          <w:bCs/>
          <w:noProof/>
        </w:rPr>
        <w:t>3</w:t>
      </w:r>
      <w:r w:rsidR="005D0B73" w:rsidRPr="005D0B73">
        <w:rPr>
          <w:bCs/>
          <w:noProof/>
        </w:rPr>
        <w:noBreakHyphen/>
        <w:t>5</w:t>
      </w:r>
      <w:r w:rsidRPr="000853E3">
        <w:fldChar w:fldCharType="end"/>
      </w:r>
      <w:r w:rsidRPr="000853E3">
        <w:t xml:space="preserve"> and </w:t>
      </w:r>
      <w:r w:rsidR="00E916D3" w:rsidRPr="00187C5B">
        <w:fldChar w:fldCharType="begin"/>
      </w:r>
      <w:r w:rsidR="00E916D3" w:rsidRPr="00187C5B">
        <w:instrText xml:space="preserve"> REF _Ref417652195 \h  \* MERGEFORMAT </w:instrText>
      </w:r>
      <w:r w:rsidR="00E916D3" w:rsidRPr="00187C5B">
        <w:fldChar w:fldCharType="separate"/>
      </w:r>
      <w:r w:rsidR="00E916D3" w:rsidRPr="005D0B73">
        <w:t>Table</w:t>
      </w:r>
      <w:r w:rsidR="00E916D3">
        <w:rPr>
          <w:rFonts w:ascii="Calibri" w:hAnsi="Calibri"/>
          <w:b/>
          <w:bCs/>
          <w:szCs w:val="18"/>
        </w:rPr>
        <w:t> </w:t>
      </w:r>
      <w:r w:rsidR="00E916D3" w:rsidRPr="00E916D3">
        <w:rPr>
          <w:bCs/>
          <w:noProof/>
          <w:szCs w:val="18"/>
        </w:rPr>
        <w:t>3</w:t>
      </w:r>
      <w:r w:rsidR="00E916D3" w:rsidRPr="00E916D3">
        <w:rPr>
          <w:bCs/>
          <w:noProof/>
          <w:szCs w:val="18"/>
        </w:rPr>
        <w:noBreakHyphen/>
        <w:t>6</w:t>
      </w:r>
      <w:r w:rsidR="00E916D3" w:rsidRPr="00187C5B">
        <w:fldChar w:fldCharType="end"/>
      </w:r>
      <w:r w:rsidRPr="00934DC6">
        <w:t xml:space="preserve"> </w:t>
      </w:r>
      <w:r w:rsidR="00C4443E">
        <w:t xml:space="preserve">to </w:t>
      </w:r>
      <w:r w:rsidR="00C4443E" w:rsidRPr="00C4443E">
        <w:fldChar w:fldCharType="begin"/>
      </w:r>
      <w:r w:rsidR="00C4443E" w:rsidRPr="00C4443E">
        <w:instrText xml:space="preserve"> REF _Ref418891493 \h  \* MERGEFORMAT </w:instrText>
      </w:r>
      <w:r w:rsidR="00C4443E" w:rsidRPr="00C4443E">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8</w:t>
      </w:r>
      <w:r w:rsidR="00C4443E" w:rsidRPr="00C4443E">
        <w:fldChar w:fldCharType="end"/>
      </w:r>
      <w:r w:rsidRPr="000853E3">
        <w:t xml:space="preserve">. </w:t>
      </w:r>
      <w:r w:rsidRPr="000853E3">
        <w:fldChar w:fldCharType="begin"/>
      </w:r>
      <w:r w:rsidRPr="000853E3">
        <w:instrText xml:space="preserve"> REF _Ref417651782 \h  \* MERGEFORMAT </w:instrText>
      </w:r>
      <w:r w:rsidRPr="000853E3">
        <w:fldChar w:fldCharType="separate"/>
      </w:r>
      <w:r w:rsidR="005D0B73" w:rsidRPr="00934DC6">
        <w:t xml:space="preserve">Figure </w:t>
      </w:r>
      <w:r w:rsidR="005D0B73">
        <w:t>3</w:t>
      </w:r>
      <w:r w:rsidR="005D0B73">
        <w:noBreakHyphen/>
        <w:t>3</w:t>
      </w:r>
      <w:r w:rsidRPr="000853E3">
        <w:fldChar w:fldCharType="end"/>
      </w:r>
      <w:r w:rsidRPr="000853E3">
        <w:t xml:space="preserve"> shows the gross annual energy-use forecast (NEL), minus the BTM PV </w:t>
      </w:r>
      <w:r w:rsidR="007F5A3E" w:rsidRPr="000853E3">
        <w:t xml:space="preserve">and EE </w:t>
      </w:r>
      <w:r w:rsidRPr="000853E3">
        <w:t>forecast</w:t>
      </w:r>
      <w:r w:rsidR="007F5A3E" w:rsidRPr="000853E3">
        <w:t>s</w:t>
      </w:r>
      <w:r w:rsidRPr="000853E3">
        <w:t>. The results show declining long-run growth in electric energy use. Similarly</w:t>
      </w:r>
      <w:r w:rsidRPr="001B1F4D">
        <w:t xml:space="preserve">, </w:t>
      </w:r>
    </w:p>
    <w:p w14:paraId="3A1E7DA5" w14:textId="682FF3F0" w:rsidR="001B1F4D" w:rsidRPr="001B1F4D" w:rsidRDefault="00934DC6" w:rsidP="001B1F4D">
      <w:r>
        <w:lastRenderedPageBreak/>
        <w:fldChar w:fldCharType="begin"/>
      </w:r>
      <w:r>
        <w:instrText xml:space="preserve"> REF _Ref13484388 \h </w:instrText>
      </w:r>
      <w:r>
        <w:fldChar w:fldCharType="separate"/>
      </w:r>
      <w:r w:rsidR="005D0B73" w:rsidRPr="00934DC6">
        <w:t xml:space="preserve">Figure </w:t>
      </w:r>
      <w:r w:rsidR="005D0B73">
        <w:rPr>
          <w:noProof/>
        </w:rPr>
        <w:t>3</w:t>
      </w:r>
      <w:r w:rsidR="005D0B73">
        <w:noBreakHyphen/>
      </w:r>
      <w:r w:rsidR="005D0B73">
        <w:rPr>
          <w:noProof/>
        </w:rPr>
        <w:t>4</w:t>
      </w:r>
      <w:r>
        <w:fldChar w:fldCharType="end"/>
      </w:r>
      <w:r>
        <w:t xml:space="preserve"> </w:t>
      </w:r>
      <w:r w:rsidR="001B1F4D" w:rsidRPr="001B1F4D">
        <w:t xml:space="preserve">shows the amounts that BTM PV and EE reduce the gross summer peak load. </w:t>
      </w:r>
      <w:r w:rsidR="001B1F4D" w:rsidRPr="0080457A">
        <w:fldChar w:fldCharType="begin"/>
      </w:r>
      <w:r w:rsidR="001B1F4D" w:rsidRPr="007F5A3E">
        <w:instrText xml:space="preserve"> REF _Ref7618013 \h </w:instrText>
      </w:r>
      <w:r w:rsidR="007F5A3E" w:rsidRPr="007F5A3E">
        <w:instrText xml:space="preserve"> \* MERGEFORMAT </w:instrText>
      </w:r>
      <w:r w:rsidR="001B1F4D" w:rsidRPr="0080457A">
        <w:fldChar w:fldCharType="separate"/>
      </w:r>
      <w:r w:rsidR="005D0B73" w:rsidRPr="005D0B73">
        <w:rPr>
          <w:bCs/>
          <w:szCs w:val="18"/>
        </w:rPr>
        <w:t xml:space="preserve">Figure </w:t>
      </w:r>
      <w:r w:rsidR="005D0B73" w:rsidRPr="005D0B73">
        <w:rPr>
          <w:bCs/>
          <w:noProof/>
          <w:szCs w:val="18"/>
        </w:rPr>
        <w:t>3</w:t>
      </w:r>
      <w:r w:rsidR="005D0B73" w:rsidRPr="005D0B73">
        <w:rPr>
          <w:bCs/>
          <w:noProof/>
          <w:szCs w:val="18"/>
        </w:rPr>
        <w:noBreakHyphen/>
        <w:t>5</w:t>
      </w:r>
      <w:r w:rsidR="001B1F4D" w:rsidRPr="0080457A">
        <w:fldChar w:fldCharType="end"/>
      </w:r>
      <w:r w:rsidR="001B1F4D" w:rsidRPr="001B1F4D">
        <w:t xml:space="preserve"> shows the amount that EE reduces the gross winter peak load. </w:t>
      </w:r>
      <w:r w:rsidR="00E0236F" w:rsidRPr="00CF599B">
        <w:fldChar w:fldCharType="begin"/>
      </w:r>
      <w:r w:rsidR="00E0236F" w:rsidRPr="00E0236F">
        <w:instrText xml:space="preserve"> REF _Ref11515757 \h  \* MERGEFORMAT </w:instrText>
      </w:r>
      <w:r w:rsidR="00E0236F" w:rsidRPr="00CF599B">
        <w:fldChar w:fldCharType="separate"/>
      </w:r>
      <w:r w:rsidR="005D0B73" w:rsidRPr="005D0B73">
        <w:rPr>
          <w:bCs/>
          <w:szCs w:val="18"/>
        </w:rPr>
        <w:t xml:space="preserve">Table </w:t>
      </w:r>
      <w:r w:rsidR="005D0B73" w:rsidRPr="005D0B73">
        <w:rPr>
          <w:bCs/>
          <w:noProof/>
          <w:szCs w:val="18"/>
        </w:rPr>
        <w:t>3</w:t>
      </w:r>
      <w:r w:rsidR="005D0B73" w:rsidRPr="005D0B73">
        <w:rPr>
          <w:bCs/>
          <w:noProof/>
          <w:szCs w:val="18"/>
        </w:rPr>
        <w:noBreakHyphen/>
        <w:t>6</w:t>
      </w:r>
      <w:r w:rsidR="00E0236F" w:rsidRPr="00CF599B">
        <w:fldChar w:fldCharType="end"/>
      </w:r>
      <w:r w:rsidR="001B1F4D" w:rsidRPr="001B1F4D">
        <w:t xml:space="preserve"> compares the gross energy and peak demand forecasts with the net forecasts. The net summer peak is projected to remain relatively flat over the forecast horizon. The net winter peak is flat (i.e., negative 0.6%) over the 10-year forecast. The BTM PV does not reduce the winter peak because the winter peak occurs after</w:t>
      </w:r>
      <w:r w:rsidR="00BC3CBC">
        <w:t xml:space="preserve"> the sun has set</w:t>
      </w:r>
      <w:r w:rsidR="001B1F4D" w:rsidRPr="001B1F4D">
        <w:t xml:space="preserve">. </w:t>
      </w:r>
      <w:r w:rsidR="001B1F4D" w:rsidRPr="001B1F4D">
        <w:fldChar w:fldCharType="begin"/>
      </w:r>
      <w:r w:rsidR="001B1F4D" w:rsidRPr="001B1F4D">
        <w:instrText xml:space="preserve"> REF _Ref417652655 \h  \* MERGEFORMAT </w:instrText>
      </w:r>
      <w:r w:rsidR="001B1F4D" w:rsidRPr="001B1F4D">
        <w:fldChar w:fldCharType="separate"/>
      </w:r>
      <w:r w:rsidR="005D0B73" w:rsidRPr="005D0B73">
        <w:t>Table 3</w:t>
      </w:r>
      <w:r w:rsidR="005D0B73" w:rsidRPr="005D0B73">
        <w:noBreakHyphen/>
        <w:t>7</w:t>
      </w:r>
      <w:r w:rsidR="001B1F4D" w:rsidRPr="001B1F4D">
        <w:fldChar w:fldCharType="end"/>
      </w:r>
      <w:r w:rsidR="001B1F4D" w:rsidRPr="001B1F4D">
        <w:t xml:space="preserve"> shows the net load forecast for each of the New </w:t>
      </w:r>
      <w:r w:rsidR="001B1F4D" w:rsidRPr="00F614B3">
        <w:t>England states</w:t>
      </w:r>
      <w:r w:rsidR="003571FD" w:rsidRPr="00F614B3">
        <w:t xml:space="preserve"> (megawatt-hours [MWh] and MW)</w:t>
      </w:r>
      <w:r w:rsidR="001B1F4D" w:rsidRPr="00F614B3">
        <w:t xml:space="preserve">, and </w:t>
      </w:r>
      <w:r w:rsidR="001B1F4D" w:rsidRPr="00F614B3">
        <w:fldChar w:fldCharType="begin"/>
      </w:r>
      <w:r w:rsidR="001B1F4D" w:rsidRPr="00F614B3">
        <w:instrText xml:space="preserve"> REF _Ref418891493 \h  \* MERGEFORMAT </w:instrText>
      </w:r>
      <w:r w:rsidR="001B1F4D" w:rsidRPr="00F614B3">
        <w:fldChar w:fldCharType="separate"/>
      </w:r>
      <w:r w:rsidR="005D0B73" w:rsidRPr="00F614B3">
        <w:t>Table 3</w:t>
      </w:r>
      <w:r w:rsidR="005D0B73" w:rsidRPr="00F614B3">
        <w:noBreakHyphen/>
        <w:t>8</w:t>
      </w:r>
      <w:r w:rsidR="001B1F4D" w:rsidRPr="00F614B3">
        <w:fldChar w:fldCharType="end"/>
      </w:r>
      <w:r w:rsidR="001B1F4D" w:rsidRPr="00F614B3">
        <w:t xml:space="preserve"> shows the net load forecast for each of the RSP subareas. The </w:t>
      </w:r>
      <w:r w:rsidR="00E916D3" w:rsidRPr="00F614B3">
        <w:t xml:space="preserve">net </w:t>
      </w:r>
      <w:r w:rsidR="001B1F4D" w:rsidRPr="00F614B3">
        <w:t>systemwide</w:t>
      </w:r>
      <w:r w:rsidR="001B1F4D" w:rsidRPr="001B1F4D">
        <w:t xml:space="preserve"> </w:t>
      </w:r>
      <w:r w:rsidR="001B1F4D" w:rsidRPr="001B1F4D">
        <w:rPr>
          <w:i/>
        </w:rPr>
        <w:t>load factor</w:t>
      </w:r>
      <w:r w:rsidR="001B1F4D" w:rsidRPr="001B1F4D">
        <w:t xml:space="preserve"> (</w:t>
      </w:r>
      <w:r w:rsidR="001B1F4D" w:rsidRPr="001B1F4D">
        <w:rPr>
          <w:iCs/>
        </w:rPr>
        <w:t>i.e.</w:t>
      </w:r>
      <w:r w:rsidR="001B1F4D" w:rsidRPr="001B1F4D">
        <w:t>, the ratio of the average hourly load during a year to peak hourly load) based on the net 50/50 and annual energy forecasts remains relatively consistent over the forecast horizon, ranging from 56.1% to 56.7%.</w:t>
      </w:r>
    </w:p>
    <w:p w14:paraId="3EC6E6AD" w14:textId="77777777" w:rsidR="001B1F4D" w:rsidRPr="001B1F4D" w:rsidRDefault="001B1F4D" w:rsidP="001B1F4D">
      <w:pPr>
        <w:keepNext/>
        <w:keepLines/>
        <w:spacing w:after="0" w:line="240" w:lineRule="auto"/>
        <w:jc w:val="center"/>
      </w:pPr>
      <w:r w:rsidRPr="001B1F4D">
        <w:rPr>
          <w:noProof/>
        </w:rPr>
        <w:drawing>
          <wp:inline distT="0" distB="0" distL="0" distR="0" wp14:anchorId="0DB0BFA3" wp14:editId="50B48CAE">
            <wp:extent cx="4015918" cy="2286426"/>
            <wp:effectExtent l="19050" t="19050" r="2286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027035" cy="2292755"/>
                    </a:xfrm>
                    <a:prstGeom prst="rect">
                      <a:avLst/>
                    </a:prstGeom>
                    <a:noFill/>
                    <a:ln w="3175">
                      <a:solidFill>
                        <a:srgbClr val="000000"/>
                      </a:solidFill>
                    </a:ln>
                  </pic:spPr>
                </pic:pic>
              </a:graphicData>
            </a:graphic>
          </wp:inline>
        </w:drawing>
      </w:r>
    </w:p>
    <w:p w14:paraId="6F8C5C7A" w14:textId="314A6D7C" w:rsidR="00A17DA9" w:rsidRPr="00934DC6" w:rsidRDefault="008E7223" w:rsidP="002F155F">
      <w:pPr>
        <w:pStyle w:val="Caption"/>
        <w:spacing w:before="120" w:after="480"/>
        <w:ind w:left="1354" w:right="1354"/>
        <w:jc w:val="left"/>
        <w:rPr>
          <w:rFonts w:eastAsia="Times New Roman"/>
          <w:bCs w:val="0"/>
        </w:rPr>
      </w:pPr>
      <w:bookmarkStart w:id="292" w:name="_Ref417651782"/>
      <w:bookmarkStart w:id="293" w:name="_Toc484957694"/>
      <w:bookmarkStart w:id="294" w:name="_Toc486233201"/>
      <w:bookmarkStart w:id="295" w:name="_Toc17709745"/>
      <w:r>
        <w:t xml:space="preserve">Figure </w:t>
      </w:r>
      <w:fldSimple w:instr=" STYLEREF 1 \s ">
        <w:r>
          <w:rPr>
            <w:noProof/>
          </w:rPr>
          <w:t>3</w:t>
        </w:r>
      </w:fldSimple>
      <w:r>
        <w:noBreakHyphen/>
      </w:r>
      <w:fldSimple w:instr=" SEQ Figure \* ARABIC \s 1 ">
        <w:r>
          <w:rPr>
            <w:noProof/>
          </w:rPr>
          <w:t>3</w:t>
        </w:r>
      </w:fldSimple>
      <w:r w:rsidR="00934DC6" w:rsidRPr="00934DC6">
        <w:t>:</w:t>
      </w:r>
      <w:bookmarkEnd w:id="292"/>
      <w:r w:rsidR="001B1F4D" w:rsidRPr="00934DC6">
        <w:rPr>
          <w:rFonts w:eastAsia="Times New Roman"/>
          <w:bCs w:val="0"/>
        </w:rPr>
        <w:t xml:space="preserve"> RSP19 gross annual energy-use forecast (blue); gross energy forecast minus BTM PV (orange); gross energy forecast net of EE and BTM PV (yellow) for 2019 to 2028 (MW).</w:t>
      </w:r>
      <w:bookmarkStart w:id="296" w:name="_Ref417651804"/>
      <w:bookmarkStart w:id="297" w:name="_Toc484957695"/>
      <w:bookmarkStart w:id="298" w:name="_Toc486233202"/>
      <w:bookmarkEnd w:id="293"/>
      <w:bookmarkEnd w:id="294"/>
      <w:bookmarkEnd w:id="295"/>
    </w:p>
    <w:p w14:paraId="76C4A828" w14:textId="77777777" w:rsidR="00A17DA9" w:rsidRDefault="00A17DA9" w:rsidP="00A17DA9">
      <w:pPr>
        <w:tabs>
          <w:tab w:val="left" w:pos="7920"/>
        </w:tabs>
        <w:spacing w:after="0" w:line="240" w:lineRule="auto"/>
        <w:ind w:left="1440" w:right="1354"/>
        <w:rPr>
          <w:rFonts w:ascii="Calibri" w:hAnsi="Calibri"/>
          <w:b/>
          <w:bCs/>
          <w:szCs w:val="18"/>
        </w:rPr>
      </w:pPr>
      <w:r w:rsidRPr="005578BD">
        <w:rPr>
          <w:noProof/>
        </w:rPr>
        <w:drawing>
          <wp:inline distT="0" distB="0" distL="0" distR="0" wp14:anchorId="3985DF74" wp14:editId="5FDA42B9">
            <wp:extent cx="3931920" cy="21488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239" t="1794" r="1492" b="3363"/>
                    <a:stretch/>
                  </pic:blipFill>
                  <pic:spPr bwMode="auto">
                    <a:xfrm>
                      <a:off x="0" y="0"/>
                      <a:ext cx="3931920" cy="2148840"/>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14:paraId="7173FFD6" w14:textId="3EFDC7EE" w:rsidR="001B1F4D" w:rsidRPr="00934DC6" w:rsidRDefault="00934DC6" w:rsidP="00934DC6">
      <w:pPr>
        <w:pStyle w:val="Caption"/>
        <w:spacing w:before="120" w:after="240"/>
        <w:ind w:left="1530" w:right="1350"/>
        <w:jc w:val="left"/>
        <w:rPr>
          <w:bCs w:val="0"/>
        </w:rPr>
      </w:pPr>
      <w:bookmarkStart w:id="299" w:name="_Ref13484388"/>
      <w:bookmarkStart w:id="300" w:name="_Toc17709746"/>
      <w:r w:rsidRPr="00934DC6">
        <w:t xml:space="preserve">Figure </w:t>
      </w:r>
      <w:fldSimple w:instr=" STYLEREF 1 \s ">
        <w:r w:rsidR="008E7223">
          <w:rPr>
            <w:noProof/>
          </w:rPr>
          <w:t>3</w:t>
        </w:r>
      </w:fldSimple>
      <w:r w:rsidR="008E7223">
        <w:noBreakHyphen/>
      </w:r>
      <w:fldSimple w:instr=" SEQ Figure \* ARABIC \s 1 ">
        <w:r w:rsidR="008E7223">
          <w:rPr>
            <w:noProof/>
          </w:rPr>
          <w:t>4</w:t>
        </w:r>
      </w:fldSimple>
      <w:bookmarkEnd w:id="296"/>
      <w:bookmarkEnd w:id="299"/>
      <w:r w:rsidR="001B1F4D" w:rsidRPr="00934DC6">
        <w:rPr>
          <w:bCs w:val="0"/>
        </w:rPr>
        <w:t>: RSP19 gross summer peak demand forecast (90/10) (blue); gross demand forecast minus BTM PV (orange); and net of EE and BTM PV demand forecast (yellow) for 2019 to 2028 (MW).</w:t>
      </w:r>
      <w:bookmarkEnd w:id="297"/>
      <w:bookmarkEnd w:id="298"/>
      <w:bookmarkEnd w:id="300"/>
    </w:p>
    <w:p w14:paraId="0A2AB7F2" w14:textId="77777777" w:rsidR="001B1F4D" w:rsidRPr="001B1F4D" w:rsidRDefault="001B1F4D" w:rsidP="001B1F4D">
      <w:pPr>
        <w:keepNext/>
        <w:keepLines/>
        <w:spacing w:after="0" w:line="240" w:lineRule="auto"/>
        <w:jc w:val="center"/>
        <w:rPr>
          <w:rFonts w:ascii="Calibri" w:hAnsi="Calibri"/>
          <w:b/>
          <w:bCs/>
          <w:szCs w:val="18"/>
        </w:rPr>
      </w:pPr>
      <w:r w:rsidRPr="001B1F4D">
        <w:rPr>
          <w:noProof/>
        </w:rPr>
        <w:lastRenderedPageBreak/>
        <w:drawing>
          <wp:inline distT="0" distB="0" distL="0" distR="0" wp14:anchorId="533EAE63" wp14:editId="26B4FD7C">
            <wp:extent cx="3795777" cy="2194560"/>
            <wp:effectExtent l="19050" t="19050" r="1460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798257" cy="2195994"/>
                    </a:xfrm>
                    <a:prstGeom prst="rect">
                      <a:avLst/>
                    </a:prstGeom>
                    <a:noFill/>
                    <a:ln w="3175">
                      <a:solidFill>
                        <a:srgbClr val="000000"/>
                      </a:solidFill>
                    </a:ln>
                  </pic:spPr>
                </pic:pic>
              </a:graphicData>
            </a:graphic>
          </wp:inline>
        </w:drawing>
      </w:r>
    </w:p>
    <w:p w14:paraId="23DF747D" w14:textId="79F5B28E" w:rsidR="001B1F4D" w:rsidRPr="001B1F4D" w:rsidRDefault="001B1F4D" w:rsidP="001B1F4D">
      <w:pPr>
        <w:spacing w:before="120" w:line="240" w:lineRule="auto"/>
        <w:ind w:left="1526" w:right="1526"/>
        <w:rPr>
          <w:rFonts w:ascii="Calibri" w:hAnsi="Calibri"/>
          <w:szCs w:val="18"/>
        </w:rPr>
      </w:pPr>
      <w:bookmarkStart w:id="301" w:name="_Ref7618013"/>
      <w:bookmarkStart w:id="302" w:name="_Toc17709747"/>
      <w:r w:rsidRPr="001B1F4D">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3</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5</w:t>
      </w:r>
      <w:r w:rsidR="008E7223">
        <w:rPr>
          <w:rFonts w:ascii="Calibri" w:hAnsi="Calibri"/>
          <w:b/>
          <w:bCs/>
          <w:szCs w:val="18"/>
        </w:rPr>
        <w:fldChar w:fldCharType="end"/>
      </w:r>
      <w:bookmarkEnd w:id="301"/>
      <w:r w:rsidRPr="001B1F4D">
        <w:rPr>
          <w:rFonts w:ascii="Calibri" w:hAnsi="Calibri"/>
          <w:b/>
          <w:bCs/>
          <w:szCs w:val="18"/>
        </w:rPr>
        <w:t>: RSP19 gross winter peak demand forecast (90/10) (blue); gross demand forecast minus BTM PV (red diamonds); and net of EE and BTM PV demand forecast (yellow) for 2019 to 2028 (MW).</w:t>
      </w:r>
      <w:bookmarkEnd w:id="302"/>
    </w:p>
    <w:p w14:paraId="4E84B461" w14:textId="179524E8" w:rsidR="001B1F4D" w:rsidRPr="001B1F4D" w:rsidRDefault="001B1F4D" w:rsidP="001B1F4D">
      <w:pPr>
        <w:spacing w:after="120" w:line="240" w:lineRule="auto"/>
        <w:ind w:left="547" w:right="547"/>
        <w:jc w:val="center"/>
        <w:rPr>
          <w:rFonts w:ascii="Calibri" w:hAnsi="Calibri"/>
          <w:b/>
          <w:bCs/>
          <w:szCs w:val="18"/>
        </w:rPr>
      </w:pPr>
      <w:bookmarkStart w:id="303" w:name="_Ref11515757"/>
      <w:bookmarkStart w:id="304" w:name="_Ref417652195"/>
      <w:bookmarkStart w:id="305" w:name="_Toc484164909"/>
      <w:bookmarkStart w:id="306" w:name="_Toc491244002"/>
      <w:bookmarkStart w:id="307" w:name="_Toc12795329"/>
      <w:r w:rsidRPr="001B1F4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bookmarkEnd w:id="303"/>
      <w:bookmarkEnd w:id="304"/>
      <w:r w:rsidRPr="001B1F4D">
        <w:rPr>
          <w:rFonts w:ascii="Calibri" w:hAnsi="Calibri"/>
          <w:b/>
          <w:bCs/>
          <w:szCs w:val="18"/>
        </w:rPr>
        <w:br/>
        <w:t>Percentage Growth Rates of the Gross and Net Forecasts</w:t>
      </w:r>
      <w:r w:rsidRPr="001B1F4D">
        <w:rPr>
          <w:rFonts w:ascii="Calibri" w:hAnsi="Calibri"/>
          <w:b/>
          <w:bCs/>
          <w:szCs w:val="18"/>
        </w:rPr>
        <w:br/>
        <w:t xml:space="preserve">of Annual and Peak Electric Energy Use, 2019 to </w:t>
      </w:r>
      <w:bookmarkEnd w:id="305"/>
      <w:bookmarkEnd w:id="306"/>
      <w:r w:rsidRPr="001B1F4D">
        <w:rPr>
          <w:rFonts w:ascii="Calibri" w:hAnsi="Calibri"/>
          <w:b/>
          <w:bCs/>
          <w:szCs w:val="18"/>
        </w:rPr>
        <w:t>2028</w:t>
      </w:r>
      <w:bookmarkEnd w:id="307"/>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firstRow="1" w:lastRow="0" w:firstColumn="1" w:lastColumn="0" w:noHBand="0" w:noVBand="1"/>
      </w:tblPr>
      <w:tblGrid>
        <w:gridCol w:w="2208"/>
        <w:gridCol w:w="1209"/>
        <w:gridCol w:w="1327"/>
      </w:tblGrid>
      <w:tr w:rsidR="001B1F4D" w:rsidRPr="001B1F4D" w14:paraId="3A619D0A" w14:textId="77777777" w:rsidTr="00B31FEF">
        <w:trPr>
          <w:cantSplit/>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14:paraId="5408C654" w14:textId="77777777" w:rsidR="001B1F4D" w:rsidRPr="001B1F4D" w:rsidRDefault="001B1F4D" w:rsidP="001B1F4D">
            <w:pPr>
              <w:keepNext/>
              <w:keepLines/>
              <w:spacing w:after="0" w:line="240" w:lineRule="auto"/>
              <w:jc w:val="center"/>
              <w:rPr>
                <w:rFonts w:ascii="Calibri" w:eastAsia="Times New Roman" w:hAnsi="Calibri" w:cstheme="majorBidi"/>
                <w:b/>
                <w:bCs/>
                <w:color w:val="FFFFFF" w:themeColor="background1"/>
                <w:sz w:val="18"/>
                <w:szCs w:val="18"/>
              </w:rPr>
            </w:pPr>
            <w:r w:rsidRPr="001B1F4D">
              <w:rPr>
                <w:rFonts w:ascii="Calibri" w:hAnsi="Calibri"/>
                <w:b/>
                <w:bCs/>
                <w:color w:val="FFFFFF" w:themeColor="background1"/>
                <w:sz w:val="18"/>
                <w:szCs w:val="18"/>
              </w:rPr>
              <w:t> </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14:paraId="6FAD5D3A" w14:textId="77777777"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Gross</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1795D2" w:themeFill="accent1"/>
            <w:tcMar>
              <w:top w:w="29" w:type="dxa"/>
              <w:left w:w="58" w:type="dxa"/>
              <w:bottom w:w="29" w:type="dxa"/>
              <w:right w:w="58" w:type="dxa"/>
            </w:tcMar>
            <w:vAlign w:val="center"/>
          </w:tcPr>
          <w:p w14:paraId="68DE7CAB" w14:textId="77777777" w:rsidR="001B1F4D" w:rsidRPr="001B1F4D" w:rsidRDefault="001B1F4D" w:rsidP="001B1F4D">
            <w:pPr>
              <w:keepNext/>
              <w:keepLines/>
              <w:spacing w:after="0" w:line="240" w:lineRule="auto"/>
              <w:jc w:val="center"/>
              <w:rPr>
                <w:rFonts w:ascii="Calibri" w:hAnsi="Calibri"/>
                <w:b/>
                <w:bCs/>
                <w:color w:val="FFFFFF" w:themeColor="background1"/>
                <w:sz w:val="18"/>
                <w:szCs w:val="18"/>
              </w:rPr>
            </w:pPr>
            <w:r w:rsidRPr="001B1F4D">
              <w:rPr>
                <w:rFonts w:ascii="Calibri" w:hAnsi="Calibri"/>
                <w:b/>
                <w:bCs/>
                <w:color w:val="FFFFFF" w:themeColor="background1"/>
                <w:sz w:val="18"/>
                <w:szCs w:val="18"/>
              </w:rPr>
              <w:t>Net</w:t>
            </w:r>
            <w:r w:rsidRPr="001B1F4D">
              <w:rPr>
                <w:rFonts w:ascii="Calibri" w:hAnsi="Calibri"/>
                <w:b/>
                <w:bCs/>
                <w:color w:val="FFFFFF" w:themeColor="background1"/>
                <w:sz w:val="18"/>
                <w:szCs w:val="18"/>
                <w:vertAlign w:val="superscript"/>
              </w:rPr>
              <w:t>(a)</w:t>
            </w:r>
          </w:p>
        </w:tc>
      </w:tr>
      <w:tr w:rsidR="001B1F4D" w:rsidRPr="001B1F4D" w14:paraId="4A1BC42F" w14:textId="77777777" w:rsidTr="00EB271B">
        <w:trPr>
          <w:cantSplit/>
          <w:trHeight w:val="2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14:paraId="4DD25835" w14:textId="77777777" w:rsidR="001B1F4D" w:rsidRPr="001B1F4D" w:rsidRDefault="001B1F4D" w:rsidP="001B1F4D">
            <w:pPr>
              <w:keepNext/>
              <w:keepLines/>
              <w:spacing w:after="0" w:line="240" w:lineRule="auto"/>
              <w:rPr>
                <w:rFonts w:ascii="Calibri" w:hAnsi="Calibri"/>
                <w:b/>
                <w:bCs/>
                <w:sz w:val="18"/>
                <w:szCs w:val="18"/>
              </w:rPr>
            </w:pPr>
            <w:r w:rsidRPr="001B1F4D">
              <w:rPr>
                <w:rFonts w:ascii="Calibri" w:hAnsi="Calibri"/>
                <w:b/>
                <w:bCs/>
                <w:color w:val="000000"/>
                <w:sz w:val="18"/>
                <w:szCs w:val="18"/>
              </w:rPr>
              <w:t>Annual Energy</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14:paraId="198EBF59"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1.1</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14:paraId="144F87DC"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−0.4</w:t>
            </w:r>
          </w:p>
        </w:tc>
      </w:tr>
      <w:tr w:rsidR="001B1F4D" w:rsidRPr="001B1F4D" w14:paraId="1AB20DDE" w14:textId="77777777" w:rsidTr="00B31FEF">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58" w:type="dxa"/>
              <w:bottom w:w="29" w:type="dxa"/>
              <w:right w:w="58" w:type="dxa"/>
            </w:tcMar>
            <w:vAlign w:val="center"/>
          </w:tcPr>
          <w:p w14:paraId="264220EF" w14:textId="77777777" w:rsidR="001B1F4D" w:rsidRPr="001B1F4D" w:rsidRDefault="001B1F4D" w:rsidP="001B1F4D">
            <w:pPr>
              <w:keepNext/>
              <w:keepLines/>
              <w:spacing w:after="0" w:line="240" w:lineRule="auto"/>
              <w:rPr>
                <w:rFonts w:ascii="Calibri" w:hAnsi="Calibri"/>
                <w:b/>
                <w:bCs/>
                <w:color w:val="000000"/>
                <w:sz w:val="18"/>
                <w:szCs w:val="18"/>
              </w:rPr>
            </w:pPr>
            <w:r w:rsidRPr="001B1F4D">
              <w:rPr>
                <w:rFonts w:ascii="Calibri" w:hAnsi="Calibri"/>
                <w:b/>
                <w:bCs/>
                <w:color w:val="000000"/>
                <w:sz w:val="18"/>
                <w:szCs w:val="18"/>
              </w:rPr>
              <w:t>50/50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58" w:type="dxa"/>
            </w:tcMar>
            <w:vAlign w:val="center"/>
          </w:tcPr>
          <w:p w14:paraId="51F62CD7" w14:textId="77777777"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0.7</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0" w:type="dxa"/>
            </w:tcMar>
            <w:vAlign w:val="center"/>
          </w:tcPr>
          <w:p w14:paraId="6C2320E6" w14:textId="77777777" w:rsidR="001B1F4D" w:rsidRPr="001B1F4D" w:rsidRDefault="001B1F4D" w:rsidP="001B1F4D">
            <w:pPr>
              <w:keepNext/>
              <w:keepLines/>
              <w:spacing w:after="0" w:line="240" w:lineRule="auto"/>
              <w:jc w:val="center"/>
              <w:rPr>
                <w:rFonts w:ascii="Calibri" w:hAnsi="Calibri"/>
                <w:color w:val="000000"/>
                <w:sz w:val="18"/>
                <w:szCs w:val="18"/>
              </w:rPr>
            </w:pPr>
            <w:r w:rsidRPr="001B1F4D">
              <w:rPr>
                <w:rFonts w:ascii="Calibri" w:hAnsi="Calibri"/>
                <w:color w:val="000000"/>
                <w:sz w:val="18"/>
                <w:szCs w:val="18"/>
              </w:rPr>
              <w:t>−0.4</w:t>
            </w:r>
          </w:p>
        </w:tc>
      </w:tr>
      <w:tr w:rsidR="001B1F4D" w:rsidRPr="001B1F4D" w14:paraId="34E605A7" w14:textId="77777777"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14:paraId="3BCAD04C" w14:textId="77777777"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Summer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14:paraId="6EA5B47F"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0.8</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14:paraId="660A5183"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−0.3</w:t>
            </w:r>
          </w:p>
        </w:tc>
      </w:tr>
      <w:tr w:rsidR="001B1F4D" w:rsidRPr="001B1F4D" w14:paraId="7E564C47" w14:textId="77777777" w:rsidTr="00B31FEF">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58" w:type="dxa"/>
              <w:bottom w:w="29" w:type="dxa"/>
              <w:right w:w="58" w:type="dxa"/>
            </w:tcMar>
            <w:vAlign w:val="center"/>
          </w:tcPr>
          <w:p w14:paraId="7773A331" w14:textId="77777777"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50/50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58" w:type="dxa"/>
            </w:tcMar>
            <w:vAlign w:val="center"/>
          </w:tcPr>
          <w:p w14:paraId="2A48929A"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CCEAF9" w:themeFill="accent1" w:themeFillTint="33"/>
            <w:tcMar>
              <w:top w:w="29" w:type="dxa"/>
              <w:left w:w="0" w:type="dxa"/>
              <w:bottom w:w="29" w:type="dxa"/>
              <w:right w:w="0" w:type="dxa"/>
            </w:tcMar>
            <w:vAlign w:val="center"/>
          </w:tcPr>
          <w:p w14:paraId="3D2CE4E7"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r w:rsidR="001B1F4D" w:rsidRPr="001B1F4D" w14:paraId="232F838E" w14:textId="77777777" w:rsidTr="00EB271B">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14:paraId="4FB9423E" w14:textId="77777777" w:rsidR="001B1F4D" w:rsidRPr="001B1F4D" w:rsidRDefault="001B1F4D" w:rsidP="001B1F4D">
            <w:pPr>
              <w:keepNext/>
              <w:keepLines/>
              <w:spacing w:after="0" w:line="240" w:lineRule="auto"/>
              <w:rPr>
                <w:rFonts w:ascii="Calibri" w:eastAsia="Times New Roman" w:hAnsi="Calibri"/>
                <w:b/>
                <w:bCs/>
                <w:sz w:val="18"/>
                <w:szCs w:val="18"/>
              </w:rPr>
            </w:pPr>
            <w:r w:rsidRPr="001B1F4D">
              <w:rPr>
                <w:rFonts w:ascii="Calibri" w:hAnsi="Calibri"/>
                <w:b/>
                <w:bCs/>
                <w:color w:val="000000"/>
                <w:sz w:val="18"/>
                <w:szCs w:val="18"/>
              </w:rPr>
              <w:t>90/10 Winter</w:t>
            </w:r>
          </w:p>
        </w:tc>
        <w:tc>
          <w:tcPr>
            <w:tcW w:w="1209"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14:paraId="112F2782"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c>
          <w:tcPr>
            <w:tcW w:w="1327"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14:paraId="590B57AE" w14:textId="77777777" w:rsidR="001B1F4D" w:rsidRPr="001B1F4D" w:rsidRDefault="001B1F4D" w:rsidP="001B1F4D">
            <w:pPr>
              <w:keepNext/>
              <w:keepLines/>
              <w:spacing w:after="0" w:line="240" w:lineRule="auto"/>
              <w:jc w:val="center"/>
              <w:rPr>
                <w:rFonts w:ascii="Calibri" w:eastAsia="Times New Roman" w:hAnsi="Calibri"/>
                <w:sz w:val="18"/>
                <w:szCs w:val="18"/>
              </w:rPr>
            </w:pPr>
            <w:r w:rsidRPr="001B1F4D">
              <w:rPr>
                <w:rFonts w:ascii="Calibri" w:hAnsi="Calibri"/>
                <w:color w:val="000000"/>
                <w:sz w:val="18"/>
                <w:szCs w:val="18"/>
              </w:rPr>
              <w:t>−0.6</w:t>
            </w:r>
          </w:p>
        </w:tc>
      </w:tr>
    </w:tbl>
    <w:p w14:paraId="70D6B427" w14:textId="77777777" w:rsidR="001B1F4D" w:rsidRPr="001B1F4D" w:rsidRDefault="001B1F4D" w:rsidP="001B1F4D">
      <w:pPr>
        <w:spacing w:before="120" w:line="240" w:lineRule="auto"/>
        <w:ind w:left="2430" w:right="2070" w:hanging="270"/>
        <w:rPr>
          <w:rFonts w:asciiTheme="minorHAnsi" w:hAnsiTheme="minorHAnsi"/>
          <w:sz w:val="16"/>
          <w:szCs w:val="16"/>
        </w:rPr>
      </w:pPr>
      <w:r w:rsidRPr="001B1F4D">
        <w:rPr>
          <w:rFonts w:asciiTheme="minorHAnsi" w:hAnsiTheme="minorHAnsi"/>
          <w:sz w:val="16"/>
          <w:szCs w:val="16"/>
        </w:rPr>
        <w:t>(a)</w:t>
      </w:r>
      <w:r w:rsidRPr="001B1F4D">
        <w:rPr>
          <w:rFonts w:asciiTheme="minorHAnsi" w:hAnsiTheme="minorHAnsi"/>
          <w:sz w:val="16"/>
          <w:szCs w:val="16"/>
        </w:rPr>
        <w:tab/>
        <w:t>The net forecast is the gross forecast minus BTM PV and the energy-efficiency forecast.</w:t>
      </w:r>
    </w:p>
    <w:p w14:paraId="77CA26A3" w14:textId="4D5AF232" w:rsidR="001B1F4D" w:rsidRPr="001B1F4D" w:rsidRDefault="001B1F4D" w:rsidP="001B1F4D">
      <w:pPr>
        <w:keepNext/>
        <w:keepLines/>
        <w:spacing w:after="120" w:line="240" w:lineRule="auto"/>
        <w:ind w:left="547" w:right="547"/>
        <w:jc w:val="center"/>
        <w:rPr>
          <w:rFonts w:ascii="Calibri" w:hAnsi="Calibri"/>
          <w:b/>
          <w:bCs/>
          <w:szCs w:val="18"/>
        </w:rPr>
      </w:pPr>
      <w:bookmarkStart w:id="308" w:name="_Ref417652655"/>
      <w:bookmarkStart w:id="309" w:name="_Toc484164910"/>
      <w:bookmarkStart w:id="310" w:name="_Toc491244003"/>
      <w:bookmarkStart w:id="311" w:name="_Toc12795330"/>
      <w:r w:rsidRPr="001B1F4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bookmarkEnd w:id="308"/>
      <w:r w:rsidRPr="001B1F4D">
        <w:rPr>
          <w:rFonts w:ascii="Calibri" w:hAnsi="Calibri"/>
          <w:b/>
          <w:bCs/>
          <w:szCs w:val="18"/>
        </w:rPr>
        <w:br/>
        <w:t>State and Systemwide Net Forecasts of Annual and Peak Electric Energy Use,</w:t>
      </w:r>
      <w:r w:rsidRPr="001B1F4D">
        <w:rPr>
          <w:rFonts w:ascii="Calibri" w:hAnsi="Calibri"/>
          <w:b/>
          <w:bCs/>
          <w:szCs w:val="18"/>
        </w:rPr>
        <w:br/>
        <w:t>2019</w:t>
      </w:r>
      <w:r w:rsidR="00A956A8">
        <w:rPr>
          <w:rFonts w:ascii="Calibri" w:hAnsi="Calibri"/>
          <w:b/>
          <w:bCs/>
          <w:szCs w:val="18"/>
        </w:rPr>
        <w:t xml:space="preserve"> to </w:t>
      </w:r>
      <w:r w:rsidRPr="001B1F4D">
        <w:rPr>
          <w:rFonts w:ascii="Calibri" w:hAnsi="Calibri"/>
          <w:b/>
          <w:bCs/>
          <w:szCs w:val="18"/>
        </w:rPr>
        <w:t>2028 (MWh, MW)</w:t>
      </w:r>
      <w:bookmarkEnd w:id="309"/>
      <w:bookmarkEnd w:id="310"/>
      <w:r w:rsidRPr="001B1F4D">
        <w:rPr>
          <w:rFonts w:ascii="Calibri" w:hAnsi="Calibri"/>
          <w:b/>
          <w:bCs/>
          <w:szCs w:val="18"/>
          <w:vertAlign w:val="superscript"/>
        </w:rPr>
        <w:t>(a)</w:t>
      </w:r>
      <w:bookmarkEnd w:id="311"/>
    </w:p>
    <w:tbl>
      <w:tblPr>
        <w:tblW w:w="99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810"/>
        <w:gridCol w:w="830"/>
        <w:gridCol w:w="610"/>
        <w:gridCol w:w="646"/>
        <w:gridCol w:w="652"/>
        <w:gridCol w:w="652"/>
        <w:gridCol w:w="660"/>
        <w:gridCol w:w="627"/>
        <w:gridCol w:w="723"/>
        <w:gridCol w:w="842"/>
        <w:gridCol w:w="810"/>
        <w:gridCol w:w="778"/>
        <w:gridCol w:w="627"/>
      </w:tblGrid>
      <w:tr w:rsidR="001B1F4D" w:rsidRPr="00C66F55" w14:paraId="22808B02" w14:textId="77777777" w:rsidTr="00C66F55">
        <w:trPr>
          <w:cantSplit/>
          <w:jc w:val="center"/>
        </w:trPr>
        <w:tc>
          <w:tcPr>
            <w:tcW w:w="720" w:type="dxa"/>
            <w:vMerge w:val="restart"/>
            <w:shd w:val="clear" w:color="auto" w:fill="1795D2" w:themeFill="accent1"/>
            <w:noWrap/>
            <w:vAlign w:val="center"/>
          </w:tcPr>
          <w:p w14:paraId="21393FC4"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Area</w:t>
            </w:r>
          </w:p>
        </w:tc>
        <w:tc>
          <w:tcPr>
            <w:tcW w:w="2250" w:type="dxa"/>
            <w:gridSpan w:val="3"/>
            <w:vMerge w:val="restart"/>
            <w:shd w:val="clear" w:color="auto" w:fill="1795D2" w:themeFill="accent1"/>
            <w:noWrap/>
            <w:vAlign w:val="center"/>
          </w:tcPr>
          <w:p w14:paraId="2C50021E"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Energy</w:t>
            </w:r>
          </w:p>
          <w:p w14:paraId="146E106B"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cs="Arial"/>
                <w:b/>
                <w:color w:val="FFFFFF"/>
                <w:sz w:val="16"/>
                <w:szCs w:val="16"/>
              </w:rPr>
              <w:t>(1,000 MWh)</w:t>
            </w:r>
          </w:p>
        </w:tc>
        <w:tc>
          <w:tcPr>
            <w:tcW w:w="3237" w:type="dxa"/>
            <w:gridSpan w:val="5"/>
            <w:shd w:val="clear" w:color="auto" w:fill="1795D2" w:themeFill="accent1"/>
            <w:noWrap/>
            <w:vAlign w:val="center"/>
          </w:tcPr>
          <w:p w14:paraId="5D789257"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Summer Peak Loads (MW)</w:t>
            </w:r>
          </w:p>
        </w:tc>
        <w:tc>
          <w:tcPr>
            <w:tcW w:w="3780" w:type="dxa"/>
            <w:gridSpan w:val="5"/>
            <w:shd w:val="clear" w:color="auto" w:fill="1795D2" w:themeFill="accent1"/>
            <w:noWrap/>
            <w:vAlign w:val="center"/>
          </w:tcPr>
          <w:p w14:paraId="7592F9A8"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Winter Peak Loads (MW)</w:t>
            </w:r>
          </w:p>
        </w:tc>
      </w:tr>
      <w:tr w:rsidR="001B1F4D" w:rsidRPr="00C66F55" w14:paraId="224A2522" w14:textId="77777777" w:rsidTr="00C66F55">
        <w:trPr>
          <w:cantSplit/>
          <w:jc w:val="center"/>
        </w:trPr>
        <w:tc>
          <w:tcPr>
            <w:tcW w:w="720" w:type="dxa"/>
            <w:vMerge/>
            <w:shd w:val="clear" w:color="auto" w:fill="1795D2" w:themeFill="accent1"/>
            <w:noWrap/>
            <w:vAlign w:val="center"/>
          </w:tcPr>
          <w:p w14:paraId="386191A3"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2250" w:type="dxa"/>
            <w:gridSpan w:val="3"/>
            <w:vMerge/>
            <w:shd w:val="clear" w:color="auto" w:fill="1795D2" w:themeFill="accent1"/>
            <w:noWrap/>
            <w:vAlign w:val="center"/>
          </w:tcPr>
          <w:p w14:paraId="121CDFC0"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p>
        </w:tc>
        <w:tc>
          <w:tcPr>
            <w:tcW w:w="1298" w:type="dxa"/>
            <w:gridSpan w:val="2"/>
            <w:shd w:val="clear" w:color="auto" w:fill="1795D2" w:themeFill="accent1"/>
            <w:noWrap/>
            <w:vAlign w:val="center"/>
          </w:tcPr>
          <w:p w14:paraId="78C091CD"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312" w:type="dxa"/>
            <w:gridSpan w:val="2"/>
            <w:shd w:val="clear" w:color="auto" w:fill="1795D2" w:themeFill="accent1"/>
            <w:noWrap/>
            <w:vAlign w:val="center"/>
          </w:tcPr>
          <w:p w14:paraId="0EA66980"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14:paraId="212A0913"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1565" w:type="dxa"/>
            <w:gridSpan w:val="2"/>
            <w:shd w:val="clear" w:color="auto" w:fill="1795D2" w:themeFill="accent1"/>
            <w:noWrap/>
            <w:vAlign w:val="center"/>
          </w:tcPr>
          <w:p w14:paraId="64AAF2DE"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50/50 Load</w:t>
            </w:r>
          </w:p>
        </w:tc>
        <w:tc>
          <w:tcPr>
            <w:tcW w:w="1588" w:type="dxa"/>
            <w:gridSpan w:val="2"/>
            <w:shd w:val="clear" w:color="auto" w:fill="1795D2" w:themeFill="accent1"/>
            <w:noWrap/>
            <w:vAlign w:val="center"/>
          </w:tcPr>
          <w:p w14:paraId="0D342E1B"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r w:rsidRPr="00C66F55">
              <w:rPr>
                <w:rFonts w:asciiTheme="majorHAnsi" w:hAnsiTheme="majorHAnsi" w:cs="Arial"/>
                <w:b/>
                <w:color w:val="FFFFFF"/>
                <w:sz w:val="16"/>
                <w:szCs w:val="16"/>
              </w:rPr>
              <w:t>90/10 Load</w:t>
            </w:r>
          </w:p>
        </w:tc>
        <w:tc>
          <w:tcPr>
            <w:tcW w:w="627" w:type="dxa"/>
            <w:vMerge w:val="restart"/>
            <w:shd w:val="clear" w:color="auto" w:fill="1795D2" w:themeFill="accent1"/>
            <w:noWrap/>
            <w:vAlign w:val="center"/>
          </w:tcPr>
          <w:p w14:paraId="25D9742A" w14:textId="77777777" w:rsidR="001B1F4D" w:rsidRPr="00C66F55" w:rsidRDefault="001B1F4D" w:rsidP="001B1F4D">
            <w:pPr>
              <w:keepNext/>
              <w:keepLines/>
              <w:spacing w:after="0" w:line="240" w:lineRule="auto"/>
              <w:jc w:val="center"/>
              <w:rPr>
                <w:rFonts w:asciiTheme="majorHAnsi" w:hAnsiTheme="majorHAnsi" w:cs="Arial"/>
                <w:b/>
                <w:color w:val="FFFFFF"/>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r>
      <w:tr w:rsidR="001B1F4D" w:rsidRPr="00C66F55" w14:paraId="7CC4F4B9" w14:textId="77777777" w:rsidTr="00C66F55">
        <w:trPr>
          <w:cantSplit/>
          <w:jc w:val="center"/>
        </w:trPr>
        <w:tc>
          <w:tcPr>
            <w:tcW w:w="720" w:type="dxa"/>
            <w:vMerge/>
            <w:shd w:val="clear" w:color="auto" w:fill="1795D2" w:themeFill="accent1"/>
            <w:noWrap/>
            <w:vAlign w:val="center"/>
          </w:tcPr>
          <w:p w14:paraId="117F53D5"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sz w:val="16"/>
                <w:szCs w:val="16"/>
              </w:rPr>
            </w:pPr>
          </w:p>
        </w:tc>
        <w:tc>
          <w:tcPr>
            <w:tcW w:w="810" w:type="dxa"/>
            <w:shd w:val="clear" w:color="auto" w:fill="1795D2" w:themeFill="accent1"/>
            <w:noWrap/>
            <w:vAlign w:val="center"/>
          </w:tcPr>
          <w:p w14:paraId="5CBFDAFC"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830" w:type="dxa"/>
            <w:shd w:val="clear" w:color="auto" w:fill="1795D2" w:themeFill="accent1"/>
            <w:noWrap/>
            <w:vAlign w:val="center"/>
          </w:tcPr>
          <w:p w14:paraId="4740CFC3"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10" w:type="dxa"/>
            <w:shd w:val="clear" w:color="auto" w:fill="1795D2" w:themeFill="accent1"/>
            <w:noWrap/>
            <w:vAlign w:val="center"/>
          </w:tcPr>
          <w:p w14:paraId="1C6F39FE"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CAGR</w:t>
            </w:r>
            <w:r w:rsidR="00C66F55" w:rsidRPr="00C66F55">
              <w:rPr>
                <w:rFonts w:asciiTheme="majorHAnsi" w:hAnsiTheme="majorHAnsi"/>
                <w:b/>
                <w:color w:val="FFFFFF" w:themeColor="background1"/>
                <w:sz w:val="16"/>
                <w:szCs w:val="16"/>
                <w:vertAlign w:val="superscript"/>
              </w:rPr>
              <w:t>(b)</w:t>
            </w:r>
          </w:p>
        </w:tc>
        <w:tc>
          <w:tcPr>
            <w:tcW w:w="646" w:type="dxa"/>
            <w:shd w:val="clear" w:color="auto" w:fill="1795D2" w:themeFill="accent1"/>
            <w:noWrap/>
            <w:vAlign w:val="center"/>
          </w:tcPr>
          <w:p w14:paraId="72108A0E"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52" w:type="dxa"/>
            <w:shd w:val="clear" w:color="auto" w:fill="1795D2" w:themeFill="accent1"/>
            <w:noWrap/>
            <w:vAlign w:val="center"/>
          </w:tcPr>
          <w:p w14:paraId="7F8D318B"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52" w:type="dxa"/>
            <w:shd w:val="clear" w:color="auto" w:fill="1795D2" w:themeFill="accent1"/>
            <w:noWrap/>
            <w:vAlign w:val="center"/>
          </w:tcPr>
          <w:p w14:paraId="66B2A871"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w:t>
            </w:r>
          </w:p>
        </w:tc>
        <w:tc>
          <w:tcPr>
            <w:tcW w:w="660" w:type="dxa"/>
            <w:shd w:val="clear" w:color="auto" w:fill="1795D2" w:themeFill="accent1"/>
            <w:noWrap/>
            <w:vAlign w:val="center"/>
          </w:tcPr>
          <w:p w14:paraId="6EF4D622"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w:t>
            </w:r>
          </w:p>
        </w:tc>
        <w:tc>
          <w:tcPr>
            <w:tcW w:w="627" w:type="dxa"/>
            <w:vMerge/>
            <w:shd w:val="clear" w:color="auto" w:fill="1795D2" w:themeFill="accent1"/>
            <w:noWrap/>
            <w:vAlign w:val="center"/>
          </w:tcPr>
          <w:p w14:paraId="41C7C373"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c>
          <w:tcPr>
            <w:tcW w:w="723" w:type="dxa"/>
            <w:shd w:val="clear" w:color="auto" w:fill="1795D2" w:themeFill="accent1"/>
            <w:noWrap/>
            <w:vAlign w:val="center"/>
          </w:tcPr>
          <w:p w14:paraId="27A1D83D"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842" w:type="dxa"/>
            <w:shd w:val="clear" w:color="auto" w:fill="1795D2" w:themeFill="accent1"/>
            <w:noWrap/>
            <w:vAlign w:val="center"/>
          </w:tcPr>
          <w:p w14:paraId="06F15E40"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810" w:type="dxa"/>
            <w:shd w:val="clear" w:color="auto" w:fill="1795D2" w:themeFill="accent1"/>
            <w:noWrap/>
            <w:vAlign w:val="center"/>
          </w:tcPr>
          <w:p w14:paraId="74B978AA"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2019/20</w:t>
            </w:r>
          </w:p>
        </w:tc>
        <w:tc>
          <w:tcPr>
            <w:tcW w:w="778" w:type="dxa"/>
            <w:shd w:val="clear" w:color="auto" w:fill="1795D2" w:themeFill="accent1"/>
            <w:noWrap/>
            <w:vAlign w:val="center"/>
          </w:tcPr>
          <w:p w14:paraId="0A57138A"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2028/29</w:t>
            </w:r>
          </w:p>
        </w:tc>
        <w:tc>
          <w:tcPr>
            <w:tcW w:w="627" w:type="dxa"/>
            <w:vMerge/>
            <w:shd w:val="clear" w:color="auto" w:fill="1795D2" w:themeFill="accent1"/>
            <w:noWrap/>
            <w:vAlign w:val="center"/>
          </w:tcPr>
          <w:p w14:paraId="49953953" w14:textId="77777777" w:rsidR="001B1F4D" w:rsidRPr="00C66F55" w:rsidRDefault="001B1F4D" w:rsidP="001B1F4D">
            <w:pPr>
              <w:keepNext/>
              <w:keepLines/>
              <w:spacing w:after="0" w:line="240" w:lineRule="auto"/>
              <w:jc w:val="center"/>
              <w:rPr>
                <w:rFonts w:asciiTheme="majorHAnsi" w:eastAsia="Arial Unicode MS" w:hAnsiTheme="majorHAnsi" w:cs="Arial"/>
                <w:b/>
                <w:color w:val="FFFFFF" w:themeColor="background1"/>
                <w:sz w:val="16"/>
                <w:szCs w:val="16"/>
              </w:rPr>
            </w:pPr>
          </w:p>
        </w:tc>
      </w:tr>
      <w:tr w:rsidR="00754FF7" w:rsidRPr="00C66F55" w14:paraId="453927F0" w14:textId="77777777" w:rsidTr="00C66F55">
        <w:trPr>
          <w:cantSplit/>
          <w:trHeight w:val="255"/>
          <w:jc w:val="center"/>
        </w:trPr>
        <w:tc>
          <w:tcPr>
            <w:tcW w:w="720" w:type="dxa"/>
            <w:shd w:val="clear" w:color="auto" w:fill="FFFFFF"/>
            <w:noWrap/>
            <w:vAlign w:val="center"/>
          </w:tcPr>
          <w:p w14:paraId="2AED59AA"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CT</w:t>
            </w:r>
          </w:p>
        </w:tc>
        <w:tc>
          <w:tcPr>
            <w:tcW w:w="810" w:type="dxa"/>
            <w:shd w:val="clear" w:color="auto" w:fill="FFFFFF"/>
            <w:noWrap/>
            <w:tcMar>
              <w:left w:w="0" w:type="dxa"/>
              <w:right w:w="72" w:type="dxa"/>
            </w:tcMar>
            <w:vAlign w:val="center"/>
          </w:tcPr>
          <w:p w14:paraId="6E959D5B"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30,149</w:t>
            </w:r>
          </w:p>
        </w:tc>
        <w:tc>
          <w:tcPr>
            <w:tcW w:w="830" w:type="dxa"/>
            <w:shd w:val="clear" w:color="auto" w:fill="FFFFFF"/>
            <w:noWrap/>
            <w:tcMar>
              <w:left w:w="0" w:type="dxa"/>
              <w:right w:w="72" w:type="dxa"/>
            </w:tcMar>
            <w:vAlign w:val="center"/>
          </w:tcPr>
          <w:p w14:paraId="7CC29AA6"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29,079</w:t>
            </w:r>
          </w:p>
        </w:tc>
        <w:tc>
          <w:tcPr>
            <w:tcW w:w="610" w:type="dxa"/>
            <w:shd w:val="clear" w:color="auto" w:fill="FFFFFF"/>
            <w:noWrap/>
            <w:tcMar>
              <w:left w:w="0" w:type="dxa"/>
              <w:right w:w="72" w:type="dxa"/>
            </w:tcMar>
            <w:vAlign w:val="center"/>
          </w:tcPr>
          <w:p w14:paraId="50B3D667"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−0.4</w:t>
            </w:r>
          </w:p>
        </w:tc>
        <w:tc>
          <w:tcPr>
            <w:tcW w:w="646" w:type="dxa"/>
            <w:shd w:val="clear" w:color="auto" w:fill="FFFFFF"/>
            <w:noWrap/>
            <w:tcMar>
              <w:left w:w="0" w:type="dxa"/>
              <w:right w:w="72" w:type="dxa"/>
            </w:tcMar>
            <w:vAlign w:val="center"/>
          </w:tcPr>
          <w:p w14:paraId="1E351040"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6,471</w:t>
            </w:r>
          </w:p>
        </w:tc>
        <w:tc>
          <w:tcPr>
            <w:tcW w:w="652" w:type="dxa"/>
            <w:shd w:val="clear" w:color="auto" w:fill="FFFFFF"/>
            <w:noWrap/>
            <w:tcMar>
              <w:left w:w="0" w:type="dxa"/>
              <w:right w:w="72" w:type="dxa"/>
            </w:tcMar>
            <w:vAlign w:val="center"/>
          </w:tcPr>
          <w:p w14:paraId="74BD3120"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6,108</w:t>
            </w:r>
          </w:p>
        </w:tc>
        <w:tc>
          <w:tcPr>
            <w:tcW w:w="652" w:type="dxa"/>
            <w:shd w:val="clear" w:color="auto" w:fill="FFFFFF"/>
            <w:noWrap/>
            <w:tcMar>
              <w:left w:w="0" w:type="dxa"/>
              <w:right w:w="72" w:type="dxa"/>
            </w:tcMar>
            <w:vAlign w:val="center"/>
          </w:tcPr>
          <w:p w14:paraId="19129C94"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6,885</w:t>
            </w:r>
          </w:p>
        </w:tc>
        <w:tc>
          <w:tcPr>
            <w:tcW w:w="660" w:type="dxa"/>
            <w:shd w:val="clear" w:color="auto" w:fill="FFFFFF"/>
            <w:noWrap/>
            <w:tcMar>
              <w:left w:w="0" w:type="dxa"/>
              <w:right w:w="72" w:type="dxa"/>
            </w:tcMar>
            <w:vAlign w:val="center"/>
          </w:tcPr>
          <w:p w14:paraId="7A0D884B"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6,536</w:t>
            </w:r>
          </w:p>
        </w:tc>
        <w:tc>
          <w:tcPr>
            <w:tcW w:w="627" w:type="dxa"/>
            <w:shd w:val="clear" w:color="auto" w:fill="FFFFFF"/>
            <w:noWrap/>
            <w:tcMar>
              <w:left w:w="0" w:type="dxa"/>
              <w:right w:w="72" w:type="dxa"/>
            </w:tcMar>
            <w:vAlign w:val="center"/>
          </w:tcPr>
          <w:p w14:paraId="74329DBA"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0.6</w:t>
            </w:r>
          </w:p>
        </w:tc>
        <w:tc>
          <w:tcPr>
            <w:tcW w:w="723" w:type="dxa"/>
            <w:shd w:val="clear" w:color="auto" w:fill="FFFFFF"/>
            <w:noWrap/>
            <w:tcMar>
              <w:left w:w="0" w:type="dxa"/>
              <w:right w:w="72" w:type="dxa"/>
            </w:tcMar>
            <w:vAlign w:val="center"/>
          </w:tcPr>
          <w:p w14:paraId="54D9EBC5"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5,087</w:t>
            </w:r>
          </w:p>
        </w:tc>
        <w:tc>
          <w:tcPr>
            <w:tcW w:w="842" w:type="dxa"/>
            <w:shd w:val="clear" w:color="auto" w:fill="FFFFFF"/>
            <w:noWrap/>
            <w:tcMar>
              <w:left w:w="0" w:type="dxa"/>
              <w:right w:w="72" w:type="dxa"/>
            </w:tcMar>
            <w:vAlign w:val="center"/>
          </w:tcPr>
          <w:p w14:paraId="4736C081"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4,784</w:t>
            </w:r>
          </w:p>
        </w:tc>
        <w:tc>
          <w:tcPr>
            <w:tcW w:w="810" w:type="dxa"/>
            <w:shd w:val="clear" w:color="auto" w:fill="FFFFFF"/>
            <w:noWrap/>
            <w:tcMar>
              <w:left w:w="0" w:type="dxa"/>
              <w:right w:w="72" w:type="dxa"/>
            </w:tcMar>
            <w:vAlign w:val="center"/>
          </w:tcPr>
          <w:p w14:paraId="1A83E9D6"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5,245</w:t>
            </w:r>
          </w:p>
        </w:tc>
        <w:tc>
          <w:tcPr>
            <w:tcW w:w="778" w:type="dxa"/>
            <w:shd w:val="clear" w:color="auto" w:fill="FFFFFF"/>
            <w:noWrap/>
            <w:tcMar>
              <w:left w:w="0" w:type="dxa"/>
              <w:right w:w="72" w:type="dxa"/>
            </w:tcMar>
            <w:vAlign w:val="center"/>
          </w:tcPr>
          <w:p w14:paraId="51AE6978"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4,949</w:t>
            </w:r>
          </w:p>
        </w:tc>
        <w:tc>
          <w:tcPr>
            <w:tcW w:w="627" w:type="dxa"/>
            <w:shd w:val="clear" w:color="auto" w:fill="FFFFFF"/>
            <w:noWrap/>
            <w:tcMar>
              <w:left w:w="0" w:type="dxa"/>
              <w:right w:w="72" w:type="dxa"/>
            </w:tcMar>
            <w:vAlign w:val="center"/>
          </w:tcPr>
          <w:p w14:paraId="2B10F94F"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0.7</w:t>
            </w:r>
          </w:p>
        </w:tc>
      </w:tr>
      <w:tr w:rsidR="00754FF7" w:rsidRPr="00C66F55" w14:paraId="2FA451B7" w14:textId="77777777" w:rsidTr="00C66F55">
        <w:trPr>
          <w:cantSplit/>
          <w:trHeight w:val="255"/>
          <w:jc w:val="center"/>
        </w:trPr>
        <w:tc>
          <w:tcPr>
            <w:tcW w:w="720" w:type="dxa"/>
            <w:shd w:val="clear" w:color="auto" w:fill="CCEAF9" w:themeFill="accent1" w:themeFillTint="33"/>
            <w:noWrap/>
            <w:vAlign w:val="center"/>
          </w:tcPr>
          <w:p w14:paraId="3CBDECAB"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ME</w:t>
            </w:r>
          </w:p>
        </w:tc>
        <w:tc>
          <w:tcPr>
            <w:tcW w:w="810" w:type="dxa"/>
            <w:shd w:val="clear" w:color="auto" w:fill="CCEAF9" w:themeFill="accent1" w:themeFillTint="33"/>
            <w:noWrap/>
            <w:tcMar>
              <w:left w:w="0" w:type="dxa"/>
              <w:right w:w="72" w:type="dxa"/>
            </w:tcMar>
            <w:vAlign w:val="center"/>
          </w:tcPr>
          <w:p w14:paraId="5D2D24BA"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11,926</w:t>
            </w:r>
          </w:p>
        </w:tc>
        <w:tc>
          <w:tcPr>
            <w:tcW w:w="830" w:type="dxa"/>
            <w:shd w:val="clear" w:color="auto" w:fill="CCEAF9" w:themeFill="accent1" w:themeFillTint="33"/>
            <w:noWrap/>
            <w:tcMar>
              <w:left w:w="0" w:type="dxa"/>
              <w:right w:w="72" w:type="dxa"/>
            </w:tcMar>
            <w:vAlign w:val="center"/>
          </w:tcPr>
          <w:p w14:paraId="27E6CDC9"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12,979</w:t>
            </w:r>
          </w:p>
        </w:tc>
        <w:tc>
          <w:tcPr>
            <w:tcW w:w="610" w:type="dxa"/>
            <w:shd w:val="clear" w:color="auto" w:fill="CCEAF9" w:themeFill="accent1" w:themeFillTint="33"/>
            <w:noWrap/>
            <w:tcMar>
              <w:left w:w="0" w:type="dxa"/>
              <w:right w:w="72" w:type="dxa"/>
            </w:tcMar>
            <w:vAlign w:val="center"/>
          </w:tcPr>
          <w:p w14:paraId="5C71662B"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0.9</w:t>
            </w:r>
          </w:p>
        </w:tc>
        <w:tc>
          <w:tcPr>
            <w:tcW w:w="646" w:type="dxa"/>
            <w:shd w:val="clear" w:color="auto" w:fill="CCEAF9" w:themeFill="accent1" w:themeFillTint="33"/>
            <w:noWrap/>
            <w:tcMar>
              <w:left w:w="0" w:type="dxa"/>
              <w:right w:w="72" w:type="dxa"/>
            </w:tcMar>
            <w:vAlign w:val="center"/>
          </w:tcPr>
          <w:p w14:paraId="05696AC6"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1,908</w:t>
            </w:r>
          </w:p>
        </w:tc>
        <w:tc>
          <w:tcPr>
            <w:tcW w:w="652" w:type="dxa"/>
            <w:shd w:val="clear" w:color="auto" w:fill="CCEAF9" w:themeFill="accent1" w:themeFillTint="33"/>
            <w:noWrap/>
            <w:tcMar>
              <w:left w:w="0" w:type="dxa"/>
              <w:right w:w="72" w:type="dxa"/>
            </w:tcMar>
            <w:vAlign w:val="center"/>
          </w:tcPr>
          <w:p w14:paraId="3831D7AA"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1,953</w:t>
            </w:r>
          </w:p>
        </w:tc>
        <w:tc>
          <w:tcPr>
            <w:tcW w:w="652" w:type="dxa"/>
            <w:shd w:val="clear" w:color="auto" w:fill="CCEAF9" w:themeFill="accent1" w:themeFillTint="33"/>
            <w:noWrap/>
            <w:tcMar>
              <w:left w:w="0" w:type="dxa"/>
              <w:right w:w="72" w:type="dxa"/>
            </w:tcMar>
            <w:vAlign w:val="center"/>
          </w:tcPr>
          <w:p w14:paraId="6B2B7543"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2,009</w:t>
            </w:r>
          </w:p>
        </w:tc>
        <w:tc>
          <w:tcPr>
            <w:tcW w:w="660" w:type="dxa"/>
            <w:shd w:val="clear" w:color="auto" w:fill="CCEAF9" w:themeFill="accent1" w:themeFillTint="33"/>
            <w:noWrap/>
            <w:tcMar>
              <w:left w:w="0" w:type="dxa"/>
              <w:right w:w="72" w:type="dxa"/>
            </w:tcMar>
            <w:vAlign w:val="center"/>
          </w:tcPr>
          <w:p w14:paraId="7D3E89BE"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2,072</w:t>
            </w:r>
          </w:p>
        </w:tc>
        <w:tc>
          <w:tcPr>
            <w:tcW w:w="627" w:type="dxa"/>
            <w:shd w:val="clear" w:color="auto" w:fill="CCEAF9" w:themeFill="accent1" w:themeFillTint="33"/>
            <w:noWrap/>
            <w:tcMar>
              <w:left w:w="0" w:type="dxa"/>
              <w:right w:w="72" w:type="dxa"/>
            </w:tcMar>
            <w:vAlign w:val="center"/>
          </w:tcPr>
          <w:p w14:paraId="63372858"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0.3</w:t>
            </w:r>
          </w:p>
        </w:tc>
        <w:tc>
          <w:tcPr>
            <w:tcW w:w="723" w:type="dxa"/>
            <w:shd w:val="clear" w:color="auto" w:fill="CCEAF9" w:themeFill="accent1" w:themeFillTint="33"/>
            <w:noWrap/>
            <w:tcMar>
              <w:left w:w="0" w:type="dxa"/>
              <w:right w:w="72" w:type="dxa"/>
            </w:tcMar>
            <w:vAlign w:val="center"/>
          </w:tcPr>
          <w:p w14:paraId="5613AE94"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1,898</w:t>
            </w:r>
          </w:p>
        </w:tc>
        <w:tc>
          <w:tcPr>
            <w:tcW w:w="842" w:type="dxa"/>
            <w:shd w:val="clear" w:color="auto" w:fill="CCEAF9" w:themeFill="accent1" w:themeFillTint="33"/>
            <w:noWrap/>
            <w:tcMar>
              <w:left w:w="0" w:type="dxa"/>
              <w:right w:w="72" w:type="dxa"/>
            </w:tcMar>
            <w:vAlign w:val="center"/>
          </w:tcPr>
          <w:p w14:paraId="4C1D5236"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1,973</w:t>
            </w:r>
          </w:p>
        </w:tc>
        <w:tc>
          <w:tcPr>
            <w:tcW w:w="810" w:type="dxa"/>
            <w:shd w:val="clear" w:color="auto" w:fill="CCEAF9" w:themeFill="accent1" w:themeFillTint="33"/>
            <w:noWrap/>
            <w:tcMar>
              <w:left w:w="0" w:type="dxa"/>
              <w:right w:w="72" w:type="dxa"/>
            </w:tcMar>
            <w:vAlign w:val="center"/>
          </w:tcPr>
          <w:p w14:paraId="1BE7B16B"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1,936</w:t>
            </w:r>
          </w:p>
        </w:tc>
        <w:tc>
          <w:tcPr>
            <w:tcW w:w="778" w:type="dxa"/>
            <w:shd w:val="clear" w:color="auto" w:fill="CCEAF9" w:themeFill="accent1" w:themeFillTint="33"/>
            <w:noWrap/>
            <w:tcMar>
              <w:left w:w="0" w:type="dxa"/>
              <w:right w:w="72" w:type="dxa"/>
            </w:tcMar>
            <w:vAlign w:val="center"/>
          </w:tcPr>
          <w:p w14:paraId="228E1A82"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2,018</w:t>
            </w:r>
          </w:p>
        </w:tc>
        <w:tc>
          <w:tcPr>
            <w:tcW w:w="627" w:type="dxa"/>
            <w:shd w:val="clear" w:color="auto" w:fill="CCEAF9" w:themeFill="accent1" w:themeFillTint="33"/>
            <w:noWrap/>
            <w:tcMar>
              <w:left w:w="0" w:type="dxa"/>
              <w:right w:w="72" w:type="dxa"/>
            </w:tcMar>
            <w:vAlign w:val="center"/>
          </w:tcPr>
          <w:p w14:paraId="409BAF63"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0.4</w:t>
            </w:r>
          </w:p>
        </w:tc>
      </w:tr>
      <w:tr w:rsidR="00754FF7" w:rsidRPr="00C66F55" w14:paraId="3CC83BAA" w14:textId="77777777" w:rsidTr="00C66F55">
        <w:trPr>
          <w:cantSplit/>
          <w:trHeight w:val="255"/>
          <w:jc w:val="center"/>
        </w:trPr>
        <w:tc>
          <w:tcPr>
            <w:tcW w:w="720" w:type="dxa"/>
            <w:shd w:val="clear" w:color="auto" w:fill="FFFFFF"/>
            <w:noWrap/>
            <w:vAlign w:val="center"/>
          </w:tcPr>
          <w:p w14:paraId="4DDFB0C5"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MA</w:t>
            </w:r>
          </w:p>
        </w:tc>
        <w:tc>
          <w:tcPr>
            <w:tcW w:w="810" w:type="dxa"/>
            <w:shd w:val="clear" w:color="auto" w:fill="FFFFFF"/>
            <w:noWrap/>
            <w:tcMar>
              <w:left w:w="0" w:type="dxa"/>
              <w:right w:w="72" w:type="dxa"/>
            </w:tcMar>
            <w:vAlign w:val="center"/>
          </w:tcPr>
          <w:p w14:paraId="198D66DC"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58,178</w:t>
            </w:r>
          </w:p>
        </w:tc>
        <w:tc>
          <w:tcPr>
            <w:tcW w:w="830" w:type="dxa"/>
            <w:shd w:val="clear" w:color="auto" w:fill="FFFFFF"/>
            <w:noWrap/>
            <w:tcMar>
              <w:left w:w="0" w:type="dxa"/>
              <w:right w:w="72" w:type="dxa"/>
            </w:tcMar>
            <w:vAlign w:val="center"/>
          </w:tcPr>
          <w:p w14:paraId="60AFD1F9"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53,470</w:t>
            </w:r>
          </w:p>
        </w:tc>
        <w:tc>
          <w:tcPr>
            <w:tcW w:w="610" w:type="dxa"/>
            <w:shd w:val="clear" w:color="auto" w:fill="FFFFFF"/>
            <w:noWrap/>
            <w:tcMar>
              <w:left w:w="0" w:type="dxa"/>
              <w:right w:w="72" w:type="dxa"/>
            </w:tcMar>
            <w:vAlign w:val="center"/>
          </w:tcPr>
          <w:p w14:paraId="5417254F"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−0.7</w:t>
            </w:r>
          </w:p>
        </w:tc>
        <w:tc>
          <w:tcPr>
            <w:tcW w:w="646" w:type="dxa"/>
            <w:shd w:val="clear" w:color="auto" w:fill="FFFFFF"/>
            <w:noWrap/>
            <w:tcMar>
              <w:left w:w="0" w:type="dxa"/>
              <w:right w:w="72" w:type="dxa"/>
            </w:tcMar>
            <w:vAlign w:val="center"/>
          </w:tcPr>
          <w:p w14:paraId="16FF181A"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11,946</w:t>
            </w:r>
          </w:p>
        </w:tc>
        <w:tc>
          <w:tcPr>
            <w:tcW w:w="652" w:type="dxa"/>
            <w:shd w:val="clear" w:color="auto" w:fill="FFFFFF"/>
            <w:noWrap/>
            <w:tcMar>
              <w:left w:w="0" w:type="dxa"/>
              <w:right w:w="72" w:type="dxa"/>
            </w:tcMar>
            <w:vAlign w:val="center"/>
          </w:tcPr>
          <w:p w14:paraId="534C4D19"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11,416</w:t>
            </w:r>
          </w:p>
        </w:tc>
        <w:tc>
          <w:tcPr>
            <w:tcW w:w="652" w:type="dxa"/>
            <w:shd w:val="clear" w:color="auto" w:fill="FFFFFF"/>
            <w:noWrap/>
            <w:tcMar>
              <w:left w:w="0" w:type="dxa"/>
              <w:right w:w="72" w:type="dxa"/>
            </w:tcMar>
            <w:vAlign w:val="center"/>
          </w:tcPr>
          <w:p w14:paraId="3136A601"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12,970</w:t>
            </w:r>
          </w:p>
        </w:tc>
        <w:tc>
          <w:tcPr>
            <w:tcW w:w="660" w:type="dxa"/>
            <w:shd w:val="clear" w:color="auto" w:fill="FFFFFF"/>
            <w:noWrap/>
            <w:tcMar>
              <w:left w:w="0" w:type="dxa"/>
              <w:right w:w="72" w:type="dxa"/>
            </w:tcMar>
            <w:vAlign w:val="center"/>
          </w:tcPr>
          <w:p w14:paraId="188B39C0"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12,627</w:t>
            </w:r>
          </w:p>
        </w:tc>
        <w:tc>
          <w:tcPr>
            <w:tcW w:w="627" w:type="dxa"/>
            <w:shd w:val="clear" w:color="auto" w:fill="FFFFFF"/>
            <w:noWrap/>
            <w:tcMar>
              <w:left w:w="0" w:type="dxa"/>
              <w:right w:w="72" w:type="dxa"/>
            </w:tcMar>
            <w:vAlign w:val="center"/>
          </w:tcPr>
          <w:p w14:paraId="303335DF"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0.5</w:t>
            </w:r>
          </w:p>
        </w:tc>
        <w:tc>
          <w:tcPr>
            <w:tcW w:w="723" w:type="dxa"/>
            <w:shd w:val="clear" w:color="auto" w:fill="FFFFFF"/>
            <w:noWrap/>
            <w:tcMar>
              <w:left w:w="0" w:type="dxa"/>
              <w:right w:w="72" w:type="dxa"/>
            </w:tcMar>
            <w:vAlign w:val="center"/>
          </w:tcPr>
          <w:p w14:paraId="37A66B8D"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9,308</w:t>
            </w:r>
          </w:p>
        </w:tc>
        <w:tc>
          <w:tcPr>
            <w:tcW w:w="842" w:type="dxa"/>
            <w:shd w:val="clear" w:color="auto" w:fill="FFFFFF"/>
            <w:noWrap/>
            <w:tcMar>
              <w:left w:w="0" w:type="dxa"/>
              <w:right w:w="72" w:type="dxa"/>
            </w:tcMar>
            <w:vAlign w:val="center"/>
          </w:tcPr>
          <w:p w14:paraId="0678DB44"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8,629</w:t>
            </w:r>
          </w:p>
        </w:tc>
        <w:tc>
          <w:tcPr>
            <w:tcW w:w="810" w:type="dxa"/>
            <w:shd w:val="clear" w:color="auto" w:fill="FFFFFF"/>
            <w:noWrap/>
            <w:tcMar>
              <w:left w:w="0" w:type="dxa"/>
              <w:right w:w="72" w:type="dxa"/>
            </w:tcMar>
            <w:vAlign w:val="center"/>
          </w:tcPr>
          <w:p w14:paraId="6580676A"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9,663</w:t>
            </w:r>
          </w:p>
        </w:tc>
        <w:tc>
          <w:tcPr>
            <w:tcW w:w="778" w:type="dxa"/>
            <w:shd w:val="clear" w:color="auto" w:fill="FFFFFF"/>
            <w:noWrap/>
            <w:tcMar>
              <w:left w:w="0" w:type="dxa"/>
              <w:right w:w="72" w:type="dxa"/>
            </w:tcMar>
            <w:vAlign w:val="center"/>
          </w:tcPr>
          <w:p w14:paraId="0A0C31B1"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9,034</w:t>
            </w:r>
          </w:p>
        </w:tc>
        <w:tc>
          <w:tcPr>
            <w:tcW w:w="627" w:type="dxa"/>
            <w:shd w:val="clear" w:color="auto" w:fill="FFFFFF"/>
            <w:noWrap/>
            <w:tcMar>
              <w:left w:w="0" w:type="dxa"/>
              <w:right w:w="72" w:type="dxa"/>
            </w:tcMar>
            <w:vAlign w:val="center"/>
          </w:tcPr>
          <w:p w14:paraId="10DB0129"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−0.8</w:t>
            </w:r>
          </w:p>
        </w:tc>
      </w:tr>
      <w:tr w:rsidR="00754FF7" w:rsidRPr="00C66F55" w14:paraId="052CB787" w14:textId="77777777" w:rsidTr="00C66F55">
        <w:trPr>
          <w:cantSplit/>
          <w:trHeight w:val="255"/>
          <w:jc w:val="center"/>
        </w:trPr>
        <w:tc>
          <w:tcPr>
            <w:tcW w:w="720" w:type="dxa"/>
            <w:shd w:val="clear" w:color="auto" w:fill="CCEAF9" w:themeFill="accent1" w:themeFillTint="33"/>
            <w:noWrap/>
            <w:vAlign w:val="center"/>
          </w:tcPr>
          <w:p w14:paraId="68A5C451"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NH</w:t>
            </w:r>
          </w:p>
        </w:tc>
        <w:tc>
          <w:tcPr>
            <w:tcW w:w="810" w:type="dxa"/>
            <w:shd w:val="clear" w:color="auto" w:fill="CCEAF9" w:themeFill="accent1" w:themeFillTint="33"/>
            <w:noWrap/>
            <w:tcMar>
              <w:left w:w="0" w:type="dxa"/>
              <w:right w:w="72" w:type="dxa"/>
            </w:tcMar>
            <w:vAlign w:val="center"/>
          </w:tcPr>
          <w:p w14:paraId="3A695648"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12,131</w:t>
            </w:r>
          </w:p>
        </w:tc>
        <w:tc>
          <w:tcPr>
            <w:tcW w:w="830" w:type="dxa"/>
            <w:shd w:val="clear" w:color="auto" w:fill="CCEAF9" w:themeFill="accent1" w:themeFillTint="33"/>
            <w:noWrap/>
            <w:tcMar>
              <w:left w:w="0" w:type="dxa"/>
              <w:right w:w="72" w:type="dxa"/>
            </w:tcMar>
            <w:vAlign w:val="center"/>
          </w:tcPr>
          <w:p w14:paraId="761FCF7C"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12,629</w:t>
            </w:r>
          </w:p>
        </w:tc>
        <w:tc>
          <w:tcPr>
            <w:tcW w:w="610" w:type="dxa"/>
            <w:shd w:val="clear" w:color="auto" w:fill="CCEAF9" w:themeFill="accent1" w:themeFillTint="33"/>
            <w:noWrap/>
            <w:tcMar>
              <w:left w:w="0" w:type="dxa"/>
              <w:right w:w="72" w:type="dxa"/>
            </w:tcMar>
            <w:vAlign w:val="center"/>
          </w:tcPr>
          <w:p w14:paraId="3D67C541"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0.4</w:t>
            </w:r>
          </w:p>
        </w:tc>
        <w:tc>
          <w:tcPr>
            <w:tcW w:w="646" w:type="dxa"/>
            <w:shd w:val="clear" w:color="auto" w:fill="CCEAF9" w:themeFill="accent1" w:themeFillTint="33"/>
            <w:noWrap/>
            <w:tcMar>
              <w:left w:w="0" w:type="dxa"/>
              <w:right w:w="72" w:type="dxa"/>
            </w:tcMar>
            <w:vAlign w:val="center"/>
          </w:tcPr>
          <w:p w14:paraId="5107162B"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2,294</w:t>
            </w:r>
          </w:p>
        </w:tc>
        <w:tc>
          <w:tcPr>
            <w:tcW w:w="652" w:type="dxa"/>
            <w:shd w:val="clear" w:color="auto" w:fill="CCEAF9" w:themeFill="accent1" w:themeFillTint="33"/>
            <w:noWrap/>
            <w:tcMar>
              <w:left w:w="0" w:type="dxa"/>
              <w:right w:w="72" w:type="dxa"/>
            </w:tcMar>
            <w:vAlign w:val="center"/>
          </w:tcPr>
          <w:p w14:paraId="17EA5B5F"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2,300</w:t>
            </w:r>
          </w:p>
        </w:tc>
        <w:tc>
          <w:tcPr>
            <w:tcW w:w="652" w:type="dxa"/>
            <w:shd w:val="clear" w:color="auto" w:fill="CCEAF9" w:themeFill="accent1" w:themeFillTint="33"/>
            <w:noWrap/>
            <w:tcMar>
              <w:left w:w="0" w:type="dxa"/>
              <w:right w:w="72" w:type="dxa"/>
            </w:tcMar>
            <w:vAlign w:val="center"/>
          </w:tcPr>
          <w:p w14:paraId="14C006A2"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2,417</w:t>
            </w:r>
          </w:p>
        </w:tc>
        <w:tc>
          <w:tcPr>
            <w:tcW w:w="660" w:type="dxa"/>
            <w:shd w:val="clear" w:color="auto" w:fill="CCEAF9" w:themeFill="accent1" w:themeFillTint="33"/>
            <w:noWrap/>
            <w:tcMar>
              <w:left w:w="0" w:type="dxa"/>
              <w:right w:w="72" w:type="dxa"/>
            </w:tcMar>
            <w:vAlign w:val="center"/>
          </w:tcPr>
          <w:p w14:paraId="25CB3465"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2,433</w:t>
            </w:r>
          </w:p>
        </w:tc>
        <w:tc>
          <w:tcPr>
            <w:tcW w:w="627" w:type="dxa"/>
            <w:shd w:val="clear" w:color="auto" w:fill="CCEAF9" w:themeFill="accent1" w:themeFillTint="33"/>
            <w:noWrap/>
            <w:tcMar>
              <w:left w:w="0" w:type="dxa"/>
              <w:right w:w="72" w:type="dxa"/>
            </w:tcMar>
            <w:vAlign w:val="center"/>
          </w:tcPr>
          <w:p w14:paraId="7FA5BB5D"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w:t>
            </w:r>
          </w:p>
        </w:tc>
        <w:tc>
          <w:tcPr>
            <w:tcW w:w="723" w:type="dxa"/>
            <w:shd w:val="clear" w:color="auto" w:fill="CCEAF9" w:themeFill="accent1" w:themeFillTint="33"/>
            <w:noWrap/>
            <w:tcMar>
              <w:left w:w="0" w:type="dxa"/>
              <w:right w:w="72" w:type="dxa"/>
            </w:tcMar>
            <w:vAlign w:val="center"/>
          </w:tcPr>
          <w:p w14:paraId="1411D33A"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1,929</w:t>
            </w:r>
          </w:p>
        </w:tc>
        <w:tc>
          <w:tcPr>
            <w:tcW w:w="842" w:type="dxa"/>
            <w:shd w:val="clear" w:color="auto" w:fill="CCEAF9" w:themeFill="accent1" w:themeFillTint="33"/>
            <w:noWrap/>
            <w:tcMar>
              <w:left w:w="0" w:type="dxa"/>
              <w:right w:w="72" w:type="dxa"/>
            </w:tcMar>
            <w:vAlign w:val="center"/>
          </w:tcPr>
          <w:p w14:paraId="0AE1160A"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1,876</w:t>
            </w:r>
          </w:p>
        </w:tc>
        <w:tc>
          <w:tcPr>
            <w:tcW w:w="810" w:type="dxa"/>
            <w:shd w:val="clear" w:color="auto" w:fill="CCEAF9" w:themeFill="accent1" w:themeFillTint="33"/>
            <w:noWrap/>
            <w:tcMar>
              <w:left w:w="0" w:type="dxa"/>
              <w:right w:w="72" w:type="dxa"/>
            </w:tcMar>
            <w:vAlign w:val="center"/>
          </w:tcPr>
          <w:p w14:paraId="7817396C"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1,997</w:t>
            </w:r>
          </w:p>
        </w:tc>
        <w:tc>
          <w:tcPr>
            <w:tcW w:w="778" w:type="dxa"/>
            <w:shd w:val="clear" w:color="auto" w:fill="CCEAF9" w:themeFill="accent1" w:themeFillTint="33"/>
            <w:noWrap/>
            <w:tcMar>
              <w:left w:w="0" w:type="dxa"/>
              <w:right w:w="72" w:type="dxa"/>
            </w:tcMar>
            <w:vAlign w:val="center"/>
          </w:tcPr>
          <w:p w14:paraId="2E02E27D"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1,949</w:t>
            </w:r>
          </w:p>
        </w:tc>
        <w:tc>
          <w:tcPr>
            <w:tcW w:w="627" w:type="dxa"/>
            <w:shd w:val="clear" w:color="auto" w:fill="CCEAF9" w:themeFill="accent1" w:themeFillTint="33"/>
            <w:noWrap/>
            <w:tcMar>
              <w:left w:w="0" w:type="dxa"/>
              <w:right w:w="72" w:type="dxa"/>
            </w:tcMar>
            <w:vAlign w:val="center"/>
          </w:tcPr>
          <w:p w14:paraId="3FB7B1CC"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0.3</w:t>
            </w:r>
          </w:p>
        </w:tc>
      </w:tr>
      <w:tr w:rsidR="00754FF7" w:rsidRPr="00C66F55" w14:paraId="5BED3C99" w14:textId="77777777" w:rsidTr="00C66F55">
        <w:trPr>
          <w:cantSplit/>
          <w:trHeight w:val="255"/>
          <w:jc w:val="center"/>
        </w:trPr>
        <w:tc>
          <w:tcPr>
            <w:tcW w:w="720" w:type="dxa"/>
            <w:shd w:val="clear" w:color="auto" w:fill="FFFFFF"/>
            <w:noWrap/>
            <w:vAlign w:val="center"/>
          </w:tcPr>
          <w:p w14:paraId="1F897669"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RI</w:t>
            </w:r>
          </w:p>
        </w:tc>
        <w:tc>
          <w:tcPr>
            <w:tcW w:w="810" w:type="dxa"/>
            <w:shd w:val="clear" w:color="auto" w:fill="FFFFFF"/>
            <w:noWrap/>
            <w:tcMar>
              <w:left w:w="0" w:type="dxa"/>
              <w:right w:w="72" w:type="dxa"/>
            </w:tcMar>
            <w:vAlign w:val="center"/>
          </w:tcPr>
          <w:p w14:paraId="77904EBE"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7,846</w:t>
            </w:r>
          </w:p>
        </w:tc>
        <w:tc>
          <w:tcPr>
            <w:tcW w:w="830" w:type="dxa"/>
            <w:shd w:val="clear" w:color="auto" w:fill="FFFFFF"/>
            <w:noWrap/>
            <w:tcMar>
              <w:left w:w="0" w:type="dxa"/>
              <w:right w:w="72" w:type="dxa"/>
            </w:tcMar>
            <w:vAlign w:val="center"/>
          </w:tcPr>
          <w:p w14:paraId="7629BC7E"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7,299</w:t>
            </w:r>
          </w:p>
        </w:tc>
        <w:tc>
          <w:tcPr>
            <w:tcW w:w="610" w:type="dxa"/>
            <w:shd w:val="clear" w:color="auto" w:fill="FFFFFF"/>
            <w:noWrap/>
            <w:tcMar>
              <w:left w:w="0" w:type="dxa"/>
              <w:right w:w="72" w:type="dxa"/>
            </w:tcMar>
            <w:vAlign w:val="center"/>
          </w:tcPr>
          <w:p w14:paraId="3A311626"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−0.8</w:t>
            </w:r>
          </w:p>
        </w:tc>
        <w:tc>
          <w:tcPr>
            <w:tcW w:w="646" w:type="dxa"/>
            <w:shd w:val="clear" w:color="auto" w:fill="FFFFFF"/>
            <w:noWrap/>
            <w:tcMar>
              <w:left w:w="0" w:type="dxa"/>
              <w:right w:w="72" w:type="dxa"/>
            </w:tcMar>
            <w:vAlign w:val="center"/>
          </w:tcPr>
          <w:p w14:paraId="082B8AB2"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1,854</w:t>
            </w:r>
          </w:p>
        </w:tc>
        <w:tc>
          <w:tcPr>
            <w:tcW w:w="652" w:type="dxa"/>
            <w:shd w:val="clear" w:color="auto" w:fill="FFFFFF"/>
            <w:noWrap/>
            <w:tcMar>
              <w:left w:w="0" w:type="dxa"/>
              <w:right w:w="72" w:type="dxa"/>
            </w:tcMar>
            <w:vAlign w:val="center"/>
          </w:tcPr>
          <w:p w14:paraId="09748ECE"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Theme="majorHAnsi" w:hAnsiTheme="majorHAnsi"/>
                <w:color w:val="000000"/>
                <w:sz w:val="16"/>
                <w:szCs w:val="16"/>
              </w:rPr>
              <w:t>1,842</w:t>
            </w:r>
          </w:p>
        </w:tc>
        <w:tc>
          <w:tcPr>
            <w:tcW w:w="652" w:type="dxa"/>
            <w:shd w:val="clear" w:color="auto" w:fill="FFFFFF"/>
            <w:noWrap/>
            <w:tcMar>
              <w:left w:w="0" w:type="dxa"/>
              <w:right w:w="72" w:type="dxa"/>
            </w:tcMar>
            <w:vAlign w:val="center"/>
          </w:tcPr>
          <w:p w14:paraId="57973AE5"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2,049</w:t>
            </w:r>
          </w:p>
        </w:tc>
        <w:tc>
          <w:tcPr>
            <w:tcW w:w="660" w:type="dxa"/>
            <w:shd w:val="clear" w:color="auto" w:fill="FFFFFF"/>
            <w:noWrap/>
            <w:tcMar>
              <w:left w:w="0" w:type="dxa"/>
              <w:right w:w="72" w:type="dxa"/>
            </w:tcMar>
            <w:vAlign w:val="center"/>
          </w:tcPr>
          <w:p w14:paraId="5FBB36A9"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2,083</w:t>
            </w:r>
          </w:p>
        </w:tc>
        <w:tc>
          <w:tcPr>
            <w:tcW w:w="627" w:type="dxa"/>
            <w:shd w:val="clear" w:color="auto" w:fill="FFFFFF"/>
            <w:noWrap/>
            <w:tcMar>
              <w:left w:w="0" w:type="dxa"/>
              <w:right w:w="72" w:type="dxa"/>
            </w:tcMar>
            <w:vAlign w:val="center"/>
          </w:tcPr>
          <w:p w14:paraId="2C2CD893"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-0.1</w:t>
            </w:r>
          </w:p>
        </w:tc>
        <w:tc>
          <w:tcPr>
            <w:tcW w:w="723" w:type="dxa"/>
            <w:shd w:val="clear" w:color="auto" w:fill="FFFFFF"/>
            <w:noWrap/>
            <w:tcMar>
              <w:left w:w="0" w:type="dxa"/>
              <w:right w:w="72" w:type="dxa"/>
            </w:tcMar>
            <w:vAlign w:val="center"/>
          </w:tcPr>
          <w:p w14:paraId="4F7D3773"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1,279</w:t>
            </w:r>
          </w:p>
        </w:tc>
        <w:tc>
          <w:tcPr>
            <w:tcW w:w="842" w:type="dxa"/>
            <w:shd w:val="clear" w:color="auto" w:fill="FFFFFF"/>
            <w:noWrap/>
            <w:tcMar>
              <w:left w:w="0" w:type="dxa"/>
              <w:right w:w="72" w:type="dxa"/>
            </w:tcMar>
            <w:vAlign w:val="center"/>
          </w:tcPr>
          <w:p w14:paraId="11C50B86"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1,167</w:t>
            </w:r>
          </w:p>
        </w:tc>
        <w:tc>
          <w:tcPr>
            <w:tcW w:w="810" w:type="dxa"/>
            <w:shd w:val="clear" w:color="auto" w:fill="FFFFFF"/>
            <w:noWrap/>
            <w:tcMar>
              <w:left w:w="0" w:type="dxa"/>
              <w:right w:w="72" w:type="dxa"/>
            </w:tcMar>
            <w:vAlign w:val="center"/>
          </w:tcPr>
          <w:p w14:paraId="4F57D7DD"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1,319</w:t>
            </w:r>
          </w:p>
        </w:tc>
        <w:tc>
          <w:tcPr>
            <w:tcW w:w="778" w:type="dxa"/>
            <w:shd w:val="clear" w:color="auto" w:fill="FFFFFF"/>
            <w:noWrap/>
            <w:tcMar>
              <w:left w:w="0" w:type="dxa"/>
              <w:right w:w="72" w:type="dxa"/>
            </w:tcMar>
            <w:vAlign w:val="center"/>
          </w:tcPr>
          <w:p w14:paraId="78011E5C"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1,215</w:t>
            </w:r>
          </w:p>
        </w:tc>
        <w:tc>
          <w:tcPr>
            <w:tcW w:w="627" w:type="dxa"/>
            <w:shd w:val="clear" w:color="auto" w:fill="FFFFFF"/>
            <w:noWrap/>
            <w:tcMar>
              <w:left w:w="0" w:type="dxa"/>
              <w:right w:w="72" w:type="dxa"/>
            </w:tcMar>
            <w:vAlign w:val="center"/>
          </w:tcPr>
          <w:p w14:paraId="5DF6B0E5"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1.0</w:t>
            </w:r>
          </w:p>
        </w:tc>
      </w:tr>
      <w:tr w:rsidR="00754FF7" w:rsidRPr="00C66F55" w14:paraId="21BC73AA" w14:textId="77777777" w:rsidTr="00C66F55">
        <w:trPr>
          <w:cantSplit/>
          <w:trHeight w:val="270"/>
          <w:jc w:val="center"/>
        </w:trPr>
        <w:tc>
          <w:tcPr>
            <w:tcW w:w="720" w:type="dxa"/>
            <w:shd w:val="clear" w:color="auto" w:fill="CCEAF9" w:themeFill="accent1" w:themeFillTint="33"/>
            <w:noWrap/>
            <w:vAlign w:val="center"/>
          </w:tcPr>
          <w:p w14:paraId="373A99A4" w14:textId="77777777" w:rsidR="00754FF7" w:rsidRPr="00C66F55" w:rsidRDefault="00754FF7" w:rsidP="00754FF7">
            <w:pPr>
              <w:keepNext/>
              <w:keepLines/>
              <w:spacing w:after="0" w:line="240" w:lineRule="auto"/>
              <w:rPr>
                <w:rFonts w:asciiTheme="majorHAnsi" w:eastAsia="Arial Unicode MS" w:hAnsiTheme="majorHAnsi" w:cs="Arial"/>
                <w:b/>
                <w:sz w:val="16"/>
                <w:szCs w:val="16"/>
              </w:rPr>
            </w:pPr>
            <w:r w:rsidRPr="00C66F55">
              <w:rPr>
                <w:rFonts w:asciiTheme="majorHAnsi" w:hAnsiTheme="majorHAnsi"/>
                <w:b/>
                <w:color w:val="000000"/>
                <w:sz w:val="16"/>
                <w:szCs w:val="16"/>
              </w:rPr>
              <w:t>VT</w:t>
            </w:r>
          </w:p>
        </w:tc>
        <w:tc>
          <w:tcPr>
            <w:tcW w:w="810" w:type="dxa"/>
            <w:shd w:val="clear" w:color="auto" w:fill="CCEAF9" w:themeFill="accent1" w:themeFillTint="33"/>
            <w:noWrap/>
            <w:tcMar>
              <w:left w:w="0" w:type="dxa"/>
              <w:right w:w="72" w:type="dxa"/>
            </w:tcMar>
            <w:vAlign w:val="center"/>
          </w:tcPr>
          <w:p w14:paraId="5E24FD2C"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5,593</w:t>
            </w:r>
          </w:p>
        </w:tc>
        <w:tc>
          <w:tcPr>
            <w:tcW w:w="830" w:type="dxa"/>
            <w:shd w:val="clear" w:color="auto" w:fill="CCEAF9" w:themeFill="accent1" w:themeFillTint="33"/>
            <w:noWrap/>
            <w:tcMar>
              <w:left w:w="0" w:type="dxa"/>
              <w:right w:w="72" w:type="dxa"/>
            </w:tcMar>
            <w:vAlign w:val="center"/>
          </w:tcPr>
          <w:p w14:paraId="4C115D98"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4,880</w:t>
            </w:r>
          </w:p>
        </w:tc>
        <w:tc>
          <w:tcPr>
            <w:tcW w:w="610" w:type="dxa"/>
            <w:shd w:val="clear" w:color="auto" w:fill="CCEAF9" w:themeFill="accent1" w:themeFillTint="33"/>
            <w:noWrap/>
            <w:tcMar>
              <w:left w:w="0" w:type="dxa"/>
              <w:right w:w="72" w:type="dxa"/>
            </w:tcMar>
            <w:vAlign w:val="center"/>
          </w:tcPr>
          <w:p w14:paraId="51407D8A"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−1.5</w:t>
            </w:r>
          </w:p>
        </w:tc>
        <w:tc>
          <w:tcPr>
            <w:tcW w:w="646" w:type="dxa"/>
            <w:shd w:val="clear" w:color="auto" w:fill="CCEAF9" w:themeFill="accent1" w:themeFillTint="33"/>
            <w:noWrap/>
            <w:tcMar>
              <w:left w:w="0" w:type="dxa"/>
              <w:right w:w="72" w:type="dxa"/>
            </w:tcMar>
            <w:vAlign w:val="center"/>
          </w:tcPr>
          <w:p w14:paraId="321CF17F" w14:textId="77777777" w:rsidR="00754FF7" w:rsidRPr="00C66F55" w:rsidRDefault="00754FF7" w:rsidP="00754FF7">
            <w:pPr>
              <w:keepNext/>
              <w:keepLines/>
              <w:spacing w:after="0" w:line="240" w:lineRule="auto"/>
              <w:jc w:val="right"/>
              <w:rPr>
                <w:rFonts w:asciiTheme="majorHAnsi" w:hAnsiTheme="majorHAnsi" w:cs="Calibri"/>
                <w:color w:val="000000"/>
                <w:sz w:val="16"/>
                <w:szCs w:val="16"/>
              </w:rPr>
            </w:pPr>
            <w:r w:rsidRPr="00C66F55">
              <w:rPr>
                <w:rFonts w:ascii="Calibri" w:hAnsi="Calibri"/>
                <w:color w:val="000000"/>
                <w:sz w:val="18"/>
                <w:szCs w:val="18"/>
              </w:rPr>
              <w:t>851</w:t>
            </w:r>
          </w:p>
        </w:tc>
        <w:tc>
          <w:tcPr>
            <w:tcW w:w="652" w:type="dxa"/>
            <w:shd w:val="clear" w:color="auto" w:fill="CCEAF9" w:themeFill="accent1" w:themeFillTint="33"/>
            <w:noWrap/>
            <w:tcMar>
              <w:left w:w="0" w:type="dxa"/>
              <w:right w:w="72" w:type="dxa"/>
            </w:tcMar>
            <w:vAlign w:val="center"/>
          </w:tcPr>
          <w:p w14:paraId="1B69713A" w14:textId="77777777" w:rsidR="00754FF7" w:rsidRPr="00C66F55" w:rsidRDefault="00754FF7" w:rsidP="00754FF7">
            <w:pPr>
              <w:keepNext/>
              <w:keepLines/>
              <w:spacing w:after="0" w:line="240" w:lineRule="auto"/>
              <w:jc w:val="right"/>
              <w:rPr>
                <w:rFonts w:asciiTheme="majorHAnsi" w:hAnsiTheme="majorHAnsi"/>
                <w:color w:val="000000"/>
                <w:sz w:val="16"/>
                <w:szCs w:val="16"/>
              </w:rPr>
            </w:pPr>
            <w:r w:rsidRPr="00C66F55">
              <w:rPr>
                <w:rFonts w:asciiTheme="majorHAnsi" w:hAnsiTheme="majorHAnsi"/>
                <w:color w:val="000000"/>
                <w:sz w:val="16"/>
                <w:szCs w:val="16"/>
              </w:rPr>
              <w:t>789</w:t>
            </w:r>
          </w:p>
        </w:tc>
        <w:tc>
          <w:tcPr>
            <w:tcW w:w="652" w:type="dxa"/>
            <w:shd w:val="clear" w:color="auto" w:fill="CCEAF9" w:themeFill="accent1" w:themeFillTint="33"/>
            <w:noWrap/>
            <w:tcMar>
              <w:left w:w="0" w:type="dxa"/>
              <w:right w:w="72" w:type="dxa"/>
            </w:tcMar>
            <w:vAlign w:val="center"/>
          </w:tcPr>
          <w:p w14:paraId="37297A9D"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884</w:t>
            </w:r>
          </w:p>
        </w:tc>
        <w:tc>
          <w:tcPr>
            <w:tcW w:w="660" w:type="dxa"/>
            <w:shd w:val="clear" w:color="auto" w:fill="CCEAF9" w:themeFill="accent1" w:themeFillTint="33"/>
            <w:noWrap/>
            <w:tcMar>
              <w:left w:w="0" w:type="dxa"/>
              <w:right w:w="72" w:type="dxa"/>
            </w:tcMar>
            <w:vAlign w:val="center"/>
          </w:tcPr>
          <w:p w14:paraId="4D51A9E2"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825</w:t>
            </w:r>
          </w:p>
        </w:tc>
        <w:tc>
          <w:tcPr>
            <w:tcW w:w="627" w:type="dxa"/>
            <w:shd w:val="clear" w:color="auto" w:fill="CCEAF9" w:themeFill="accent1" w:themeFillTint="33"/>
            <w:noWrap/>
            <w:tcMar>
              <w:left w:w="0" w:type="dxa"/>
              <w:right w:w="72" w:type="dxa"/>
            </w:tcMar>
            <w:vAlign w:val="center"/>
          </w:tcPr>
          <w:p w14:paraId="50EF1C91"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0.8</w:t>
            </w:r>
          </w:p>
        </w:tc>
        <w:tc>
          <w:tcPr>
            <w:tcW w:w="723" w:type="dxa"/>
            <w:shd w:val="clear" w:color="auto" w:fill="CCEAF9" w:themeFill="accent1" w:themeFillTint="33"/>
            <w:noWrap/>
            <w:tcMar>
              <w:left w:w="0" w:type="dxa"/>
              <w:right w:w="72" w:type="dxa"/>
            </w:tcMar>
            <w:vAlign w:val="center"/>
          </w:tcPr>
          <w:p w14:paraId="0027BBE0"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975</w:t>
            </w:r>
          </w:p>
        </w:tc>
        <w:tc>
          <w:tcPr>
            <w:tcW w:w="842" w:type="dxa"/>
            <w:shd w:val="clear" w:color="auto" w:fill="CCEAF9" w:themeFill="accent1" w:themeFillTint="33"/>
            <w:noWrap/>
            <w:tcMar>
              <w:left w:w="0" w:type="dxa"/>
              <w:right w:w="72" w:type="dxa"/>
            </w:tcMar>
            <w:vAlign w:val="center"/>
          </w:tcPr>
          <w:p w14:paraId="0F5F21A5"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938</w:t>
            </w:r>
          </w:p>
        </w:tc>
        <w:tc>
          <w:tcPr>
            <w:tcW w:w="810" w:type="dxa"/>
            <w:shd w:val="clear" w:color="auto" w:fill="CCEAF9" w:themeFill="accent1" w:themeFillTint="33"/>
            <w:noWrap/>
            <w:tcMar>
              <w:left w:w="0" w:type="dxa"/>
              <w:right w:w="72" w:type="dxa"/>
            </w:tcMar>
            <w:vAlign w:val="center"/>
          </w:tcPr>
          <w:p w14:paraId="4F9A834B"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1,012</w:t>
            </w:r>
          </w:p>
        </w:tc>
        <w:tc>
          <w:tcPr>
            <w:tcW w:w="778" w:type="dxa"/>
            <w:shd w:val="clear" w:color="auto" w:fill="CCEAF9" w:themeFill="accent1" w:themeFillTint="33"/>
            <w:noWrap/>
            <w:tcMar>
              <w:left w:w="0" w:type="dxa"/>
              <w:right w:w="72" w:type="dxa"/>
            </w:tcMar>
            <w:vAlign w:val="center"/>
          </w:tcPr>
          <w:p w14:paraId="75ABBFF9"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Theme="majorHAnsi" w:hAnsiTheme="majorHAnsi"/>
                <w:sz w:val="16"/>
                <w:szCs w:val="16"/>
              </w:rPr>
              <w:t>965</w:t>
            </w:r>
          </w:p>
        </w:tc>
        <w:tc>
          <w:tcPr>
            <w:tcW w:w="627" w:type="dxa"/>
            <w:shd w:val="clear" w:color="auto" w:fill="CCEAF9" w:themeFill="accent1" w:themeFillTint="33"/>
            <w:noWrap/>
            <w:tcMar>
              <w:left w:w="0" w:type="dxa"/>
              <w:right w:w="72" w:type="dxa"/>
            </w:tcMar>
            <w:vAlign w:val="center"/>
          </w:tcPr>
          <w:p w14:paraId="58F09CCE" w14:textId="77777777" w:rsidR="00754FF7" w:rsidRPr="00C66F55" w:rsidRDefault="00754FF7" w:rsidP="00754FF7">
            <w:pPr>
              <w:keepNext/>
              <w:keepLines/>
              <w:spacing w:after="0" w:line="240" w:lineRule="auto"/>
              <w:jc w:val="right"/>
              <w:rPr>
                <w:rFonts w:asciiTheme="majorHAnsi" w:hAnsiTheme="majorHAnsi" w:cs="Calibri"/>
                <w:color w:val="333333"/>
                <w:sz w:val="16"/>
                <w:szCs w:val="16"/>
              </w:rPr>
            </w:pPr>
            <w:r w:rsidRPr="00C66F55">
              <w:rPr>
                <w:rFonts w:ascii="Calibri" w:hAnsi="Calibri"/>
                <w:color w:val="000000"/>
                <w:sz w:val="18"/>
                <w:szCs w:val="18"/>
              </w:rPr>
              <w:t>−</w:t>
            </w:r>
            <w:r w:rsidRPr="00C66F55">
              <w:rPr>
                <w:rFonts w:asciiTheme="majorHAnsi" w:hAnsiTheme="majorHAnsi"/>
                <w:sz w:val="16"/>
                <w:szCs w:val="16"/>
              </w:rPr>
              <w:t>0.4</w:t>
            </w:r>
          </w:p>
        </w:tc>
      </w:tr>
      <w:tr w:rsidR="00754FF7" w:rsidRPr="001B1F4D" w14:paraId="6F27AC07" w14:textId="77777777" w:rsidTr="00C66F55">
        <w:trPr>
          <w:cantSplit/>
          <w:trHeight w:val="270"/>
          <w:jc w:val="center"/>
        </w:trPr>
        <w:tc>
          <w:tcPr>
            <w:tcW w:w="720" w:type="dxa"/>
            <w:shd w:val="clear" w:color="auto" w:fill="1795D2" w:themeFill="accent1"/>
            <w:noWrap/>
            <w:vAlign w:val="center"/>
          </w:tcPr>
          <w:p w14:paraId="55ADF8A7" w14:textId="77777777" w:rsidR="00754FF7" w:rsidRPr="00C66F55" w:rsidRDefault="00754FF7" w:rsidP="00C66F55">
            <w:pPr>
              <w:keepNext/>
              <w:keepLines/>
              <w:spacing w:after="0" w:line="240" w:lineRule="auto"/>
              <w:rPr>
                <w:rFonts w:asciiTheme="majorHAnsi" w:eastAsia="Arial Unicode MS" w:hAnsiTheme="majorHAnsi" w:cs="Arial"/>
                <w:b/>
                <w:color w:val="FFFFFF" w:themeColor="background1"/>
                <w:sz w:val="16"/>
                <w:szCs w:val="16"/>
              </w:rPr>
            </w:pPr>
            <w:r w:rsidRPr="00C66F55">
              <w:rPr>
                <w:rFonts w:asciiTheme="majorHAnsi" w:hAnsiTheme="majorHAnsi"/>
                <w:b/>
                <w:color w:val="FFFFFF" w:themeColor="background1"/>
                <w:sz w:val="16"/>
                <w:szCs w:val="16"/>
              </w:rPr>
              <w:t>ISO</w:t>
            </w:r>
            <w:r w:rsidRPr="00C66F55">
              <w:rPr>
                <w:rFonts w:asciiTheme="majorHAnsi" w:hAnsiTheme="majorHAnsi"/>
                <w:b/>
                <w:color w:val="FFFFFF" w:themeColor="background1"/>
                <w:sz w:val="16"/>
                <w:szCs w:val="16"/>
                <w:vertAlign w:val="superscript"/>
              </w:rPr>
              <w:t>(</w:t>
            </w:r>
            <w:r w:rsidR="00C66F55">
              <w:rPr>
                <w:rFonts w:asciiTheme="majorHAnsi" w:hAnsiTheme="majorHAnsi"/>
                <w:b/>
                <w:color w:val="FFFFFF" w:themeColor="background1"/>
                <w:sz w:val="16"/>
                <w:szCs w:val="16"/>
                <w:vertAlign w:val="superscript"/>
              </w:rPr>
              <w:t>c, d</w:t>
            </w:r>
            <w:r w:rsidRPr="00C66F55">
              <w:rPr>
                <w:rFonts w:asciiTheme="majorHAnsi" w:hAnsiTheme="majorHAnsi"/>
                <w:b/>
                <w:color w:val="FFFFFF" w:themeColor="background1"/>
                <w:sz w:val="16"/>
                <w:szCs w:val="16"/>
                <w:vertAlign w:val="superscript"/>
              </w:rPr>
              <w:t>)</w:t>
            </w:r>
          </w:p>
        </w:tc>
        <w:tc>
          <w:tcPr>
            <w:tcW w:w="810" w:type="dxa"/>
            <w:shd w:val="clear" w:color="auto" w:fill="1795D2" w:themeFill="accent1"/>
            <w:noWrap/>
            <w:tcMar>
              <w:left w:w="0" w:type="dxa"/>
              <w:right w:w="72" w:type="dxa"/>
            </w:tcMar>
            <w:vAlign w:val="center"/>
          </w:tcPr>
          <w:p w14:paraId="0E290BD8"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125,823</w:t>
            </w:r>
          </w:p>
        </w:tc>
        <w:tc>
          <w:tcPr>
            <w:tcW w:w="830" w:type="dxa"/>
            <w:shd w:val="clear" w:color="auto" w:fill="1795D2" w:themeFill="accent1"/>
            <w:noWrap/>
            <w:tcMar>
              <w:left w:w="0" w:type="dxa"/>
              <w:right w:w="72" w:type="dxa"/>
            </w:tcMar>
            <w:vAlign w:val="center"/>
          </w:tcPr>
          <w:p w14:paraId="57B80388"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b/>
                <w:bCs/>
                <w:color w:val="FFFFFF" w:themeColor="background1"/>
                <w:sz w:val="18"/>
                <w:szCs w:val="18"/>
              </w:rPr>
              <w:t>121,336</w:t>
            </w:r>
          </w:p>
        </w:tc>
        <w:tc>
          <w:tcPr>
            <w:tcW w:w="610" w:type="dxa"/>
            <w:shd w:val="clear" w:color="auto" w:fill="1795D2" w:themeFill="accent1"/>
            <w:noWrap/>
            <w:tcMar>
              <w:left w:w="0" w:type="dxa"/>
              <w:right w:w="72" w:type="dxa"/>
            </w:tcMar>
            <w:vAlign w:val="center"/>
          </w:tcPr>
          <w:p w14:paraId="496C5CBC"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646" w:type="dxa"/>
            <w:shd w:val="clear" w:color="auto" w:fill="1795D2" w:themeFill="accent1"/>
            <w:noWrap/>
            <w:tcMar>
              <w:left w:w="0" w:type="dxa"/>
              <w:right w:w="72" w:type="dxa"/>
            </w:tcMar>
            <w:vAlign w:val="center"/>
          </w:tcPr>
          <w:p w14:paraId="5D2E7A74"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25,323</w:t>
            </w:r>
          </w:p>
        </w:tc>
        <w:tc>
          <w:tcPr>
            <w:tcW w:w="652" w:type="dxa"/>
            <w:shd w:val="clear" w:color="auto" w:fill="1795D2" w:themeFill="accent1"/>
            <w:noWrap/>
            <w:tcMar>
              <w:left w:w="0" w:type="dxa"/>
              <w:right w:w="72" w:type="dxa"/>
            </w:tcMar>
            <w:vAlign w:val="center"/>
          </w:tcPr>
          <w:p w14:paraId="5B1C8C08"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24,408</w:t>
            </w:r>
          </w:p>
        </w:tc>
        <w:tc>
          <w:tcPr>
            <w:tcW w:w="652" w:type="dxa"/>
            <w:shd w:val="clear" w:color="auto" w:fill="1795D2" w:themeFill="accent1"/>
            <w:noWrap/>
            <w:tcMar>
              <w:left w:w="0" w:type="dxa"/>
              <w:right w:w="72" w:type="dxa"/>
            </w:tcMar>
            <w:vAlign w:val="center"/>
          </w:tcPr>
          <w:p w14:paraId="7134EB37"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27,212</w:t>
            </w:r>
          </w:p>
        </w:tc>
        <w:tc>
          <w:tcPr>
            <w:tcW w:w="660" w:type="dxa"/>
            <w:shd w:val="clear" w:color="auto" w:fill="1795D2" w:themeFill="accent1"/>
            <w:noWrap/>
            <w:tcMar>
              <w:left w:w="0" w:type="dxa"/>
              <w:right w:w="72" w:type="dxa"/>
            </w:tcMar>
            <w:vAlign w:val="center"/>
          </w:tcPr>
          <w:p w14:paraId="163094CB"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26,576</w:t>
            </w:r>
          </w:p>
        </w:tc>
        <w:tc>
          <w:tcPr>
            <w:tcW w:w="627" w:type="dxa"/>
            <w:shd w:val="clear" w:color="auto" w:fill="1795D2" w:themeFill="accent1"/>
            <w:noWrap/>
            <w:tcMar>
              <w:left w:w="0" w:type="dxa"/>
              <w:right w:w="72" w:type="dxa"/>
            </w:tcMar>
            <w:vAlign w:val="center"/>
          </w:tcPr>
          <w:p w14:paraId="60C8F44E"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-0.4</w:t>
            </w:r>
          </w:p>
        </w:tc>
        <w:tc>
          <w:tcPr>
            <w:tcW w:w="723" w:type="dxa"/>
            <w:shd w:val="clear" w:color="auto" w:fill="1795D2" w:themeFill="accent1"/>
            <w:noWrap/>
            <w:tcMar>
              <w:left w:w="0" w:type="dxa"/>
              <w:right w:w="72" w:type="dxa"/>
            </w:tcMar>
            <w:vAlign w:val="center"/>
          </w:tcPr>
          <w:p w14:paraId="185135E5"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20,476</w:t>
            </w:r>
          </w:p>
        </w:tc>
        <w:tc>
          <w:tcPr>
            <w:tcW w:w="842" w:type="dxa"/>
            <w:shd w:val="clear" w:color="auto" w:fill="1795D2" w:themeFill="accent1"/>
            <w:noWrap/>
            <w:tcMar>
              <w:left w:w="0" w:type="dxa"/>
              <w:right w:w="72" w:type="dxa"/>
            </w:tcMar>
            <w:vAlign w:val="center"/>
          </w:tcPr>
          <w:p w14:paraId="7E8D58B2"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19,368</w:t>
            </w:r>
          </w:p>
        </w:tc>
        <w:tc>
          <w:tcPr>
            <w:tcW w:w="810" w:type="dxa"/>
            <w:shd w:val="clear" w:color="auto" w:fill="1795D2" w:themeFill="accent1"/>
            <w:noWrap/>
            <w:tcMar>
              <w:left w:w="0" w:type="dxa"/>
              <w:right w:w="72" w:type="dxa"/>
            </w:tcMar>
            <w:vAlign w:val="center"/>
          </w:tcPr>
          <w:p w14:paraId="0F90A1F3"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21,173</w:t>
            </w:r>
          </w:p>
        </w:tc>
        <w:tc>
          <w:tcPr>
            <w:tcW w:w="778" w:type="dxa"/>
            <w:shd w:val="clear" w:color="auto" w:fill="1795D2" w:themeFill="accent1"/>
            <w:noWrap/>
            <w:tcMar>
              <w:left w:w="0" w:type="dxa"/>
              <w:right w:w="72" w:type="dxa"/>
            </w:tcMar>
            <w:vAlign w:val="center"/>
          </w:tcPr>
          <w:p w14:paraId="3AA18F5D" w14:textId="77777777" w:rsidR="00754FF7" w:rsidRPr="00C66F55"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Theme="majorHAnsi" w:hAnsiTheme="majorHAnsi"/>
                <w:b/>
                <w:color w:val="FFFFFF" w:themeColor="background1"/>
                <w:sz w:val="16"/>
                <w:szCs w:val="16"/>
              </w:rPr>
              <w:t>20,130</w:t>
            </w:r>
          </w:p>
        </w:tc>
        <w:tc>
          <w:tcPr>
            <w:tcW w:w="627" w:type="dxa"/>
            <w:shd w:val="clear" w:color="auto" w:fill="1795D2" w:themeFill="accent1"/>
            <w:noWrap/>
            <w:tcMar>
              <w:left w:w="0" w:type="dxa"/>
              <w:right w:w="72" w:type="dxa"/>
            </w:tcMar>
            <w:vAlign w:val="center"/>
          </w:tcPr>
          <w:p w14:paraId="6305C371" w14:textId="77777777" w:rsidR="00754FF7" w:rsidRPr="001B1F4D" w:rsidRDefault="00754FF7" w:rsidP="00754FF7">
            <w:pPr>
              <w:keepNext/>
              <w:keepLines/>
              <w:spacing w:after="0" w:line="240" w:lineRule="auto"/>
              <w:jc w:val="right"/>
              <w:rPr>
                <w:rFonts w:asciiTheme="majorHAnsi" w:hAnsiTheme="majorHAnsi" w:cs="Calibri"/>
                <w:b/>
                <w:color w:val="FFFFFF" w:themeColor="background1"/>
                <w:sz w:val="16"/>
                <w:szCs w:val="16"/>
              </w:rPr>
            </w:pPr>
            <w:r w:rsidRPr="00C66F55">
              <w:rPr>
                <w:rFonts w:ascii="Calibri" w:hAnsi="Calibri"/>
                <w:color w:val="FFFFFF" w:themeColor="background1"/>
                <w:sz w:val="18"/>
                <w:szCs w:val="18"/>
              </w:rPr>
              <w:t>−</w:t>
            </w:r>
            <w:r w:rsidRPr="00C66F55">
              <w:rPr>
                <w:rFonts w:asciiTheme="majorHAnsi" w:hAnsiTheme="majorHAnsi"/>
                <w:b/>
                <w:color w:val="FFFFFF" w:themeColor="background1"/>
                <w:sz w:val="16"/>
                <w:szCs w:val="16"/>
              </w:rPr>
              <w:t>0.6</w:t>
            </w:r>
          </w:p>
        </w:tc>
      </w:tr>
    </w:tbl>
    <w:p w14:paraId="5FFF6A8C" w14:textId="77777777" w:rsidR="001B1F4D" w:rsidRPr="00C66F55" w:rsidRDefault="001B1F4D"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sz w:val="16"/>
          <w:szCs w:val="16"/>
        </w:rPr>
        <w:t xml:space="preserve">The total load-zone projections are similar to the state load projections and are available at the ISO’s “2019 Forecast Data File” (April 23, 2019), </w:t>
      </w:r>
      <w:hyperlink r:id="rId38" w:history="1">
        <w:r w:rsidRPr="00C66F55">
          <w:rPr>
            <w:rFonts w:asciiTheme="minorHAnsi" w:hAnsiTheme="minorHAnsi"/>
            <w:color w:val="000000"/>
            <w:sz w:val="16"/>
            <w:szCs w:val="16"/>
          </w:rPr>
          <w:t>https://www.iso-ne.com/static-assets/documents/2019/04/forecast_data_2019.xlsx</w:t>
        </w:r>
      </w:hyperlink>
      <w:r w:rsidRPr="00C66F55">
        <w:rPr>
          <w:rFonts w:asciiTheme="minorHAnsi" w:hAnsiTheme="minorHAnsi" w:cs="Arial"/>
          <w:sz w:val="16"/>
          <w:szCs w:val="16"/>
        </w:rPr>
        <w:t>; tabs #2A-2C, “</w:t>
      </w:r>
      <w:r w:rsidRPr="00C66F55">
        <w:rPr>
          <w:rFonts w:asciiTheme="minorHAnsi" w:hAnsiTheme="minorHAnsi" w:cs="Arial"/>
          <w:bCs/>
          <w:sz w:val="16"/>
          <w:szCs w:val="16"/>
        </w:rPr>
        <w:t>ISO-NE Control Area, States, RSP Subareas, and Standard Market Design (SMD) Load Zones Energy and Seasonal Peak Load Forecast.”</w:t>
      </w:r>
    </w:p>
    <w:p w14:paraId="64A76D2D" w14:textId="77777777" w:rsidR="00C66F55" w:rsidRPr="00C66F55" w:rsidRDefault="00C66F55" w:rsidP="00C66F55">
      <w:pPr>
        <w:pStyle w:val="ListParagraph"/>
        <w:keepNext/>
        <w:keepLines/>
        <w:numPr>
          <w:ilvl w:val="0"/>
          <w:numId w:val="751"/>
        </w:numPr>
        <w:spacing w:before="120" w:after="80" w:line="240" w:lineRule="auto"/>
        <w:ind w:left="-180" w:right="-45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14:paraId="06143BE8" w14:textId="77777777" w:rsidR="001B1F4D" w:rsidRPr="001B1F4D" w:rsidRDefault="001B1F4D" w:rsidP="00C66F55">
      <w:pPr>
        <w:spacing w:after="80"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 xml:space="preserve">The net forecasts are not used in the development of the Installed Capacity Requirement. </w:t>
      </w:r>
    </w:p>
    <w:p w14:paraId="514ADD9D" w14:textId="77777777" w:rsidR="001B1F4D" w:rsidRPr="001B1F4D" w:rsidRDefault="001B1F4D" w:rsidP="002F155F">
      <w:pPr>
        <w:spacing w:line="240" w:lineRule="auto"/>
        <w:ind w:left="-180" w:right="-446"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Totals may not equal the sum because of rounding and may not exactly match the results for other tables in this section.</w:t>
      </w:r>
    </w:p>
    <w:p w14:paraId="4024C1ED" w14:textId="75F169AA" w:rsidR="001B1F4D" w:rsidRPr="001B1F4D" w:rsidRDefault="001B1F4D" w:rsidP="002F155F">
      <w:pPr>
        <w:keepNext/>
        <w:keepLines/>
        <w:spacing w:after="120" w:line="240" w:lineRule="auto"/>
        <w:ind w:left="-360"/>
        <w:jc w:val="center"/>
        <w:rPr>
          <w:rFonts w:ascii="Calibri" w:hAnsi="Calibri"/>
          <w:b/>
          <w:bCs/>
          <w:szCs w:val="18"/>
          <w:vertAlign w:val="superscript"/>
        </w:rPr>
      </w:pPr>
      <w:bookmarkStart w:id="312" w:name="_Ref418891493"/>
      <w:bookmarkStart w:id="313" w:name="_Toc484164911"/>
      <w:bookmarkStart w:id="314" w:name="_Toc491244004"/>
      <w:bookmarkStart w:id="315" w:name="_Toc12795331"/>
      <w:r w:rsidRPr="001B1F4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bookmarkEnd w:id="312"/>
      <w:r w:rsidRPr="001B1F4D">
        <w:rPr>
          <w:rFonts w:ascii="Calibri" w:hAnsi="Calibri"/>
          <w:b/>
          <w:bCs/>
          <w:szCs w:val="18"/>
        </w:rPr>
        <w:br/>
        <w:t>Forecast of Net Demand in RSP Subareas, 2019 to 2028 (GWh, MW)</w:t>
      </w:r>
      <w:r w:rsidRPr="001B1F4D">
        <w:rPr>
          <w:rFonts w:ascii="Calibri" w:hAnsi="Calibri"/>
          <w:b/>
          <w:bCs/>
          <w:szCs w:val="18"/>
          <w:vertAlign w:val="superscript"/>
        </w:rPr>
        <w:t>(a)</w:t>
      </w:r>
      <w:bookmarkEnd w:id="313"/>
      <w:bookmarkEnd w:id="314"/>
      <w:bookmarkEnd w:id="315"/>
    </w:p>
    <w:tbl>
      <w:tblPr>
        <w:tblW w:w="10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172"/>
        <w:gridCol w:w="709"/>
        <w:gridCol w:w="711"/>
        <w:gridCol w:w="680"/>
        <w:gridCol w:w="742"/>
        <w:gridCol w:w="698"/>
        <w:gridCol w:w="724"/>
        <w:gridCol w:w="626"/>
        <w:gridCol w:w="630"/>
        <w:gridCol w:w="810"/>
        <w:gridCol w:w="810"/>
        <w:gridCol w:w="812"/>
        <w:gridCol w:w="810"/>
        <w:gridCol w:w="596"/>
      </w:tblGrid>
      <w:tr w:rsidR="001B1F4D" w:rsidRPr="006F4BE7" w14:paraId="4FD290B3" w14:textId="77777777" w:rsidTr="00C66F55">
        <w:trPr>
          <w:cantSplit/>
          <w:jc w:val="center"/>
        </w:trPr>
        <w:tc>
          <w:tcPr>
            <w:tcW w:w="1172" w:type="dxa"/>
            <w:vMerge w:val="restart"/>
            <w:shd w:val="clear" w:color="auto" w:fill="1795D2" w:themeFill="accent1"/>
            <w:noWrap/>
            <w:tcMar>
              <w:left w:w="29" w:type="dxa"/>
              <w:right w:w="29" w:type="dxa"/>
            </w:tcMar>
            <w:vAlign w:val="center"/>
          </w:tcPr>
          <w:p w14:paraId="5D307E88"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Area</w:t>
            </w:r>
          </w:p>
        </w:tc>
        <w:tc>
          <w:tcPr>
            <w:tcW w:w="2100" w:type="dxa"/>
            <w:gridSpan w:val="3"/>
            <w:vMerge w:val="restart"/>
            <w:shd w:val="clear" w:color="auto" w:fill="1795D2" w:themeFill="accent1"/>
            <w:noWrap/>
            <w:tcMar>
              <w:left w:w="29" w:type="dxa"/>
              <w:right w:w="29" w:type="dxa"/>
            </w:tcMar>
            <w:vAlign w:val="center"/>
          </w:tcPr>
          <w:p w14:paraId="287314A7"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Energy</w:t>
            </w:r>
          </w:p>
          <w:p w14:paraId="61EC1E10"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(1,000 MWh)</w:t>
            </w:r>
          </w:p>
        </w:tc>
        <w:tc>
          <w:tcPr>
            <w:tcW w:w="3420" w:type="dxa"/>
            <w:gridSpan w:val="5"/>
            <w:shd w:val="clear" w:color="auto" w:fill="1795D2" w:themeFill="accent1"/>
            <w:noWrap/>
            <w:tcMar>
              <w:left w:w="29" w:type="dxa"/>
              <w:right w:w="29" w:type="dxa"/>
            </w:tcMar>
            <w:vAlign w:val="center"/>
          </w:tcPr>
          <w:p w14:paraId="3A4A2C05"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Summer Peak Loads (MW)</w:t>
            </w:r>
          </w:p>
        </w:tc>
        <w:tc>
          <w:tcPr>
            <w:tcW w:w="3838" w:type="dxa"/>
            <w:gridSpan w:val="5"/>
            <w:shd w:val="clear" w:color="auto" w:fill="1795D2" w:themeFill="accent1"/>
            <w:noWrap/>
            <w:tcMar>
              <w:left w:w="29" w:type="dxa"/>
              <w:right w:w="29" w:type="dxa"/>
            </w:tcMar>
            <w:vAlign w:val="center"/>
          </w:tcPr>
          <w:p w14:paraId="4A879E59"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Winter Peak Loads (MW)</w:t>
            </w:r>
          </w:p>
        </w:tc>
      </w:tr>
      <w:tr w:rsidR="001B1F4D" w:rsidRPr="006F4BE7" w14:paraId="242E1488" w14:textId="77777777" w:rsidTr="00C66F55">
        <w:trPr>
          <w:cantSplit/>
          <w:jc w:val="center"/>
        </w:trPr>
        <w:tc>
          <w:tcPr>
            <w:tcW w:w="1172" w:type="dxa"/>
            <w:vMerge/>
            <w:shd w:val="clear" w:color="auto" w:fill="1795D2" w:themeFill="accent1"/>
            <w:noWrap/>
            <w:tcMar>
              <w:left w:w="29" w:type="dxa"/>
              <w:right w:w="29" w:type="dxa"/>
            </w:tcMar>
            <w:vAlign w:val="center"/>
          </w:tcPr>
          <w:p w14:paraId="5C061118"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p>
        </w:tc>
        <w:tc>
          <w:tcPr>
            <w:tcW w:w="2100" w:type="dxa"/>
            <w:gridSpan w:val="3"/>
            <w:vMerge/>
            <w:shd w:val="clear" w:color="auto" w:fill="1795D2" w:themeFill="accent1"/>
            <w:noWrap/>
            <w:tcMar>
              <w:left w:w="29" w:type="dxa"/>
              <w:right w:w="29" w:type="dxa"/>
            </w:tcMar>
            <w:vAlign w:val="center"/>
          </w:tcPr>
          <w:p w14:paraId="6FCABF66"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1795D2" w:themeFill="accent1"/>
            <w:noWrap/>
            <w:tcMar>
              <w:left w:w="29" w:type="dxa"/>
              <w:right w:w="29" w:type="dxa"/>
            </w:tcMar>
            <w:vAlign w:val="center"/>
          </w:tcPr>
          <w:p w14:paraId="501DABA8"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350" w:type="dxa"/>
            <w:gridSpan w:val="2"/>
            <w:shd w:val="clear" w:color="auto" w:fill="1795D2" w:themeFill="accent1"/>
            <w:noWrap/>
            <w:tcMar>
              <w:left w:w="29" w:type="dxa"/>
              <w:right w:w="29" w:type="dxa"/>
            </w:tcMar>
            <w:vAlign w:val="center"/>
          </w:tcPr>
          <w:p w14:paraId="1D4F32C3"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630" w:type="dxa"/>
            <w:vMerge w:val="restart"/>
            <w:shd w:val="clear" w:color="auto" w:fill="1795D2" w:themeFill="accent1"/>
            <w:noWrap/>
            <w:tcMar>
              <w:left w:w="29" w:type="dxa"/>
              <w:right w:w="29" w:type="dxa"/>
            </w:tcMar>
            <w:vAlign w:val="center"/>
          </w:tcPr>
          <w:p w14:paraId="025B1772"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1620" w:type="dxa"/>
            <w:gridSpan w:val="2"/>
            <w:shd w:val="clear" w:color="auto" w:fill="1795D2" w:themeFill="accent1"/>
            <w:noWrap/>
            <w:tcMar>
              <w:left w:w="29" w:type="dxa"/>
              <w:right w:w="29" w:type="dxa"/>
            </w:tcMar>
            <w:vAlign w:val="center"/>
          </w:tcPr>
          <w:p w14:paraId="7B9F1128"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50/50 Load</w:t>
            </w:r>
          </w:p>
        </w:tc>
        <w:tc>
          <w:tcPr>
            <w:tcW w:w="1622" w:type="dxa"/>
            <w:gridSpan w:val="2"/>
            <w:shd w:val="clear" w:color="auto" w:fill="1795D2" w:themeFill="accent1"/>
            <w:noWrap/>
            <w:tcMar>
              <w:left w:w="29" w:type="dxa"/>
              <w:right w:w="29" w:type="dxa"/>
            </w:tcMar>
            <w:vAlign w:val="center"/>
          </w:tcPr>
          <w:p w14:paraId="206213D6"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cs="Arial"/>
                <w:b/>
                <w:color w:val="FFFFFF" w:themeColor="background1"/>
                <w:sz w:val="18"/>
                <w:szCs w:val="18"/>
              </w:rPr>
              <w:t>90/10 Load</w:t>
            </w:r>
          </w:p>
        </w:tc>
        <w:tc>
          <w:tcPr>
            <w:tcW w:w="596" w:type="dxa"/>
            <w:vMerge w:val="restart"/>
            <w:shd w:val="clear" w:color="auto" w:fill="1795D2" w:themeFill="accent1"/>
            <w:noWrap/>
            <w:tcMar>
              <w:left w:w="29" w:type="dxa"/>
              <w:right w:w="29" w:type="dxa"/>
            </w:tcMar>
            <w:vAlign w:val="center"/>
          </w:tcPr>
          <w:p w14:paraId="6D9FBD4D" w14:textId="77777777" w:rsidR="001B1F4D" w:rsidRPr="006F4BE7" w:rsidRDefault="001B1F4D" w:rsidP="002F155F">
            <w:pPr>
              <w:keepNext/>
              <w:keepLines/>
              <w:spacing w:after="0" w:line="240" w:lineRule="auto"/>
              <w:jc w:val="center"/>
              <w:rPr>
                <w:rFonts w:asciiTheme="minorHAnsi"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r>
      <w:tr w:rsidR="001B1F4D" w:rsidRPr="006F4BE7" w14:paraId="79B14A8B" w14:textId="77777777" w:rsidTr="00C66F55">
        <w:trPr>
          <w:cantSplit/>
          <w:jc w:val="center"/>
        </w:trPr>
        <w:tc>
          <w:tcPr>
            <w:tcW w:w="1172" w:type="dxa"/>
            <w:vMerge/>
            <w:shd w:val="clear" w:color="auto" w:fill="1795D2" w:themeFill="accent1"/>
            <w:noWrap/>
            <w:tcMar>
              <w:left w:w="29" w:type="dxa"/>
              <w:right w:w="29" w:type="dxa"/>
            </w:tcMar>
            <w:vAlign w:val="center"/>
          </w:tcPr>
          <w:p w14:paraId="16D66C11"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p>
        </w:tc>
        <w:tc>
          <w:tcPr>
            <w:tcW w:w="709" w:type="dxa"/>
            <w:shd w:val="clear" w:color="auto" w:fill="1795D2" w:themeFill="accent1"/>
            <w:noWrap/>
            <w:tcMar>
              <w:left w:w="29" w:type="dxa"/>
              <w:right w:w="29" w:type="dxa"/>
            </w:tcMar>
            <w:vAlign w:val="center"/>
          </w:tcPr>
          <w:p w14:paraId="3AFC86AB"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711" w:type="dxa"/>
            <w:shd w:val="clear" w:color="auto" w:fill="1795D2" w:themeFill="accent1"/>
            <w:noWrap/>
            <w:tcMar>
              <w:left w:w="29" w:type="dxa"/>
              <w:right w:w="29" w:type="dxa"/>
            </w:tcMar>
            <w:vAlign w:val="center"/>
          </w:tcPr>
          <w:p w14:paraId="04C71455"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80" w:type="dxa"/>
            <w:shd w:val="clear" w:color="auto" w:fill="1795D2" w:themeFill="accent1"/>
            <w:noWrap/>
            <w:tcMar>
              <w:left w:w="29" w:type="dxa"/>
              <w:right w:w="29" w:type="dxa"/>
            </w:tcMar>
            <w:vAlign w:val="center"/>
          </w:tcPr>
          <w:p w14:paraId="6463BBEC"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CAGR</w:t>
            </w:r>
            <w:r w:rsidR="00C66F55" w:rsidRPr="006F4BE7">
              <w:rPr>
                <w:rFonts w:asciiTheme="majorHAnsi" w:hAnsiTheme="majorHAnsi"/>
                <w:b/>
                <w:color w:val="FFFFFF" w:themeColor="background1"/>
                <w:sz w:val="16"/>
                <w:szCs w:val="16"/>
                <w:vertAlign w:val="superscript"/>
              </w:rPr>
              <w:t>(b)</w:t>
            </w:r>
          </w:p>
        </w:tc>
        <w:tc>
          <w:tcPr>
            <w:tcW w:w="742" w:type="dxa"/>
            <w:shd w:val="clear" w:color="auto" w:fill="1795D2" w:themeFill="accent1"/>
            <w:noWrap/>
            <w:tcMar>
              <w:left w:w="29" w:type="dxa"/>
              <w:right w:w="29" w:type="dxa"/>
            </w:tcMar>
            <w:vAlign w:val="center"/>
          </w:tcPr>
          <w:p w14:paraId="612D2BAB"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p>
        </w:tc>
        <w:tc>
          <w:tcPr>
            <w:tcW w:w="698" w:type="dxa"/>
            <w:shd w:val="clear" w:color="auto" w:fill="1795D2" w:themeFill="accent1"/>
            <w:noWrap/>
            <w:tcMar>
              <w:left w:w="29" w:type="dxa"/>
              <w:right w:w="29" w:type="dxa"/>
            </w:tcMar>
            <w:vAlign w:val="center"/>
          </w:tcPr>
          <w:p w14:paraId="1CF11E48"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724" w:type="dxa"/>
            <w:shd w:val="clear" w:color="auto" w:fill="1795D2" w:themeFill="accent1"/>
            <w:noWrap/>
            <w:tcMar>
              <w:left w:w="29" w:type="dxa"/>
              <w:right w:w="29" w:type="dxa"/>
            </w:tcMar>
            <w:vAlign w:val="center"/>
          </w:tcPr>
          <w:p w14:paraId="69237DDB" w14:textId="50B4140F"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E916D3">
              <w:rPr>
                <w:rFonts w:asciiTheme="minorHAnsi" w:hAnsiTheme="minorHAnsi"/>
                <w:b/>
                <w:color w:val="FFFFFF" w:themeColor="background1"/>
                <w:sz w:val="18"/>
                <w:szCs w:val="18"/>
              </w:rPr>
              <w:t>9</w:t>
            </w:r>
          </w:p>
        </w:tc>
        <w:tc>
          <w:tcPr>
            <w:tcW w:w="626" w:type="dxa"/>
            <w:shd w:val="clear" w:color="auto" w:fill="1795D2" w:themeFill="accent1"/>
            <w:noWrap/>
            <w:tcMar>
              <w:left w:w="29" w:type="dxa"/>
              <w:right w:w="29" w:type="dxa"/>
            </w:tcMar>
            <w:vAlign w:val="center"/>
          </w:tcPr>
          <w:p w14:paraId="11A02243"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p>
        </w:tc>
        <w:tc>
          <w:tcPr>
            <w:tcW w:w="630" w:type="dxa"/>
            <w:vMerge/>
            <w:shd w:val="clear" w:color="auto" w:fill="1795D2" w:themeFill="accent1"/>
            <w:noWrap/>
            <w:tcMar>
              <w:left w:w="29" w:type="dxa"/>
              <w:right w:w="29" w:type="dxa"/>
            </w:tcMar>
            <w:vAlign w:val="center"/>
          </w:tcPr>
          <w:p w14:paraId="474F26CD"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1795D2" w:themeFill="accent1"/>
            <w:noWrap/>
            <w:tcMar>
              <w:left w:w="29" w:type="dxa"/>
              <w:right w:w="29" w:type="dxa"/>
            </w:tcMar>
            <w:vAlign w:val="center"/>
          </w:tcPr>
          <w:p w14:paraId="429064BC"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14:paraId="3875471B"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812" w:type="dxa"/>
            <w:shd w:val="clear" w:color="auto" w:fill="1795D2" w:themeFill="accent1"/>
            <w:noWrap/>
            <w:tcMar>
              <w:left w:w="29" w:type="dxa"/>
              <w:right w:w="29" w:type="dxa"/>
            </w:tcMar>
            <w:vAlign w:val="center"/>
          </w:tcPr>
          <w:p w14:paraId="0635A33D"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201</w:t>
            </w:r>
            <w:r w:rsidR="006F4BE7" w:rsidRPr="006F4BE7">
              <w:rPr>
                <w:rFonts w:asciiTheme="minorHAnsi" w:hAnsiTheme="minorHAnsi"/>
                <w:b/>
                <w:color w:val="FFFFFF" w:themeColor="background1"/>
                <w:sz w:val="18"/>
                <w:szCs w:val="18"/>
              </w:rPr>
              <w:t>9</w:t>
            </w:r>
            <w:r w:rsidRPr="006F4BE7">
              <w:rPr>
                <w:rFonts w:asciiTheme="minorHAnsi" w:hAnsiTheme="minorHAnsi"/>
                <w:b/>
                <w:color w:val="FFFFFF" w:themeColor="background1"/>
                <w:sz w:val="18"/>
                <w:szCs w:val="18"/>
              </w:rPr>
              <w:t>/</w:t>
            </w:r>
            <w:r w:rsidR="006F4BE7" w:rsidRPr="006F4BE7">
              <w:rPr>
                <w:rFonts w:asciiTheme="minorHAnsi" w:hAnsiTheme="minorHAnsi"/>
                <w:b/>
                <w:color w:val="FFFFFF" w:themeColor="background1"/>
                <w:sz w:val="18"/>
                <w:szCs w:val="18"/>
              </w:rPr>
              <w:t>20</w:t>
            </w:r>
          </w:p>
        </w:tc>
        <w:tc>
          <w:tcPr>
            <w:tcW w:w="810" w:type="dxa"/>
            <w:shd w:val="clear" w:color="auto" w:fill="1795D2" w:themeFill="accent1"/>
            <w:noWrap/>
            <w:tcMar>
              <w:left w:w="29" w:type="dxa"/>
              <w:right w:w="29" w:type="dxa"/>
            </w:tcMar>
            <w:vAlign w:val="center"/>
          </w:tcPr>
          <w:p w14:paraId="52C41920"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r w:rsidRPr="006F4BE7">
              <w:rPr>
                <w:rFonts w:asciiTheme="minorHAnsi" w:hAnsiTheme="minorHAnsi"/>
                <w:b/>
                <w:color w:val="FFFFFF" w:themeColor="background1"/>
                <w:sz w:val="18"/>
                <w:szCs w:val="18"/>
              </w:rPr>
              <w:t>202</w:t>
            </w:r>
            <w:r w:rsidR="006F4BE7" w:rsidRPr="006F4BE7">
              <w:rPr>
                <w:rFonts w:asciiTheme="minorHAnsi" w:hAnsiTheme="minorHAnsi"/>
                <w:b/>
                <w:color w:val="FFFFFF" w:themeColor="background1"/>
                <w:sz w:val="18"/>
                <w:szCs w:val="18"/>
              </w:rPr>
              <w:t>8</w:t>
            </w:r>
            <w:r w:rsidRPr="006F4BE7">
              <w:rPr>
                <w:rFonts w:asciiTheme="minorHAnsi" w:hAnsiTheme="minorHAnsi"/>
                <w:b/>
                <w:color w:val="FFFFFF" w:themeColor="background1"/>
                <w:sz w:val="18"/>
                <w:szCs w:val="18"/>
              </w:rPr>
              <w:t>/2</w:t>
            </w:r>
            <w:r w:rsidR="006F4BE7" w:rsidRPr="006F4BE7">
              <w:rPr>
                <w:rFonts w:asciiTheme="minorHAnsi" w:hAnsiTheme="minorHAnsi"/>
                <w:b/>
                <w:color w:val="FFFFFF" w:themeColor="background1"/>
                <w:sz w:val="18"/>
                <w:szCs w:val="18"/>
              </w:rPr>
              <w:t>9</w:t>
            </w:r>
          </w:p>
        </w:tc>
        <w:tc>
          <w:tcPr>
            <w:tcW w:w="596" w:type="dxa"/>
            <w:vMerge/>
            <w:shd w:val="clear" w:color="auto" w:fill="1795D2" w:themeFill="accent1"/>
            <w:noWrap/>
            <w:tcMar>
              <w:left w:w="29" w:type="dxa"/>
              <w:right w:w="29" w:type="dxa"/>
            </w:tcMar>
            <w:vAlign w:val="center"/>
          </w:tcPr>
          <w:p w14:paraId="4804C2C8" w14:textId="77777777" w:rsidR="001B1F4D" w:rsidRPr="006F4BE7" w:rsidRDefault="001B1F4D" w:rsidP="002F155F">
            <w:pPr>
              <w:keepNext/>
              <w:keepLines/>
              <w:spacing w:after="0" w:line="240" w:lineRule="auto"/>
              <w:jc w:val="center"/>
              <w:rPr>
                <w:rFonts w:asciiTheme="minorHAnsi" w:eastAsia="Arial Unicode MS" w:hAnsiTheme="minorHAnsi" w:cs="Arial"/>
                <w:b/>
                <w:color w:val="FFFFFF" w:themeColor="background1"/>
                <w:sz w:val="18"/>
                <w:szCs w:val="18"/>
              </w:rPr>
            </w:pPr>
          </w:p>
        </w:tc>
      </w:tr>
      <w:tr w:rsidR="006F4BE7" w:rsidRPr="006F4BE7" w14:paraId="4DC5031E" w14:textId="77777777" w:rsidTr="00C66F55">
        <w:trPr>
          <w:cantSplit/>
          <w:trHeight w:val="255"/>
          <w:jc w:val="center"/>
        </w:trPr>
        <w:tc>
          <w:tcPr>
            <w:tcW w:w="1172" w:type="dxa"/>
            <w:shd w:val="clear" w:color="auto" w:fill="FFFFFF"/>
            <w:noWrap/>
            <w:tcMar>
              <w:left w:w="58" w:type="dxa"/>
              <w:right w:w="29" w:type="dxa"/>
            </w:tcMar>
            <w:vAlign w:val="center"/>
          </w:tcPr>
          <w:p w14:paraId="2185B92C"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BHE</w:t>
            </w:r>
          </w:p>
        </w:tc>
        <w:tc>
          <w:tcPr>
            <w:tcW w:w="709" w:type="dxa"/>
            <w:shd w:val="clear" w:color="auto" w:fill="FFFFFF"/>
            <w:noWrap/>
            <w:tcMar>
              <w:left w:w="29" w:type="dxa"/>
              <w:right w:w="58" w:type="dxa"/>
            </w:tcMar>
            <w:vAlign w:val="center"/>
          </w:tcPr>
          <w:p w14:paraId="221D9E6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1,682</w:t>
            </w:r>
          </w:p>
        </w:tc>
        <w:tc>
          <w:tcPr>
            <w:tcW w:w="711" w:type="dxa"/>
            <w:shd w:val="clear" w:color="auto" w:fill="FFFFFF"/>
            <w:noWrap/>
            <w:tcMar>
              <w:left w:w="29" w:type="dxa"/>
              <w:right w:w="58" w:type="dxa"/>
            </w:tcMar>
            <w:vAlign w:val="center"/>
          </w:tcPr>
          <w:p w14:paraId="6553CCC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1,831</w:t>
            </w:r>
          </w:p>
        </w:tc>
        <w:tc>
          <w:tcPr>
            <w:tcW w:w="680" w:type="dxa"/>
            <w:shd w:val="clear" w:color="auto" w:fill="FFFFFF"/>
            <w:noWrap/>
            <w:tcMar>
              <w:left w:w="29" w:type="dxa"/>
              <w:right w:w="58" w:type="dxa"/>
            </w:tcMar>
            <w:vAlign w:val="center"/>
          </w:tcPr>
          <w:p w14:paraId="5AE4FBC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FFFFFF"/>
            <w:noWrap/>
            <w:tcMar>
              <w:left w:w="29" w:type="dxa"/>
              <w:right w:w="58" w:type="dxa"/>
            </w:tcMar>
            <w:vAlign w:val="center"/>
          </w:tcPr>
          <w:p w14:paraId="1D9C3F0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698" w:type="dxa"/>
            <w:shd w:val="clear" w:color="auto" w:fill="FFFFFF"/>
            <w:noWrap/>
            <w:tcMar>
              <w:left w:w="29" w:type="dxa"/>
              <w:right w:w="58" w:type="dxa"/>
            </w:tcMar>
            <w:vAlign w:val="center"/>
          </w:tcPr>
          <w:p w14:paraId="0E2A2CA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275</w:t>
            </w:r>
          </w:p>
        </w:tc>
        <w:tc>
          <w:tcPr>
            <w:tcW w:w="724" w:type="dxa"/>
            <w:shd w:val="clear" w:color="auto" w:fill="FFFFFF"/>
            <w:noWrap/>
            <w:tcMar>
              <w:left w:w="29" w:type="dxa"/>
              <w:right w:w="58" w:type="dxa"/>
            </w:tcMar>
            <w:vAlign w:val="center"/>
          </w:tcPr>
          <w:p w14:paraId="02FF14D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283</w:t>
            </w:r>
          </w:p>
        </w:tc>
        <w:tc>
          <w:tcPr>
            <w:tcW w:w="626" w:type="dxa"/>
            <w:shd w:val="clear" w:color="auto" w:fill="FFFFFF"/>
            <w:noWrap/>
            <w:tcMar>
              <w:left w:w="29" w:type="dxa"/>
              <w:right w:w="58" w:type="dxa"/>
            </w:tcMar>
            <w:vAlign w:val="center"/>
          </w:tcPr>
          <w:p w14:paraId="0ECEB18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292</w:t>
            </w:r>
          </w:p>
        </w:tc>
        <w:tc>
          <w:tcPr>
            <w:tcW w:w="630" w:type="dxa"/>
            <w:shd w:val="clear" w:color="auto" w:fill="FFFFFF"/>
            <w:noWrap/>
            <w:tcMar>
              <w:left w:w="29" w:type="dxa"/>
              <w:right w:w="58" w:type="dxa"/>
            </w:tcMar>
            <w:vAlign w:val="center"/>
          </w:tcPr>
          <w:p w14:paraId="2A7E525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14:paraId="4B2944C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269</w:t>
            </w:r>
          </w:p>
        </w:tc>
        <w:tc>
          <w:tcPr>
            <w:tcW w:w="810" w:type="dxa"/>
            <w:shd w:val="clear" w:color="auto" w:fill="FFFFFF"/>
            <w:noWrap/>
            <w:tcMar>
              <w:left w:w="29" w:type="dxa"/>
              <w:right w:w="58" w:type="dxa"/>
            </w:tcMar>
            <w:vAlign w:val="center"/>
          </w:tcPr>
          <w:p w14:paraId="094014C2"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279</w:t>
            </w:r>
          </w:p>
        </w:tc>
        <w:tc>
          <w:tcPr>
            <w:tcW w:w="812" w:type="dxa"/>
            <w:shd w:val="clear" w:color="auto" w:fill="FFFFFF"/>
            <w:noWrap/>
            <w:tcMar>
              <w:left w:w="29" w:type="dxa"/>
              <w:right w:w="58" w:type="dxa"/>
            </w:tcMar>
            <w:vAlign w:val="center"/>
          </w:tcPr>
          <w:p w14:paraId="7A690C1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274</w:t>
            </w:r>
          </w:p>
        </w:tc>
        <w:tc>
          <w:tcPr>
            <w:tcW w:w="810" w:type="dxa"/>
            <w:shd w:val="clear" w:color="auto" w:fill="FFFFFF"/>
            <w:noWrap/>
            <w:tcMar>
              <w:left w:w="29" w:type="dxa"/>
              <w:right w:w="58" w:type="dxa"/>
            </w:tcMar>
            <w:vAlign w:val="center"/>
          </w:tcPr>
          <w:p w14:paraId="2B03039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286</w:t>
            </w:r>
          </w:p>
        </w:tc>
        <w:tc>
          <w:tcPr>
            <w:tcW w:w="596" w:type="dxa"/>
            <w:shd w:val="clear" w:color="auto" w:fill="FFFFFF"/>
            <w:noWrap/>
            <w:tcMar>
              <w:left w:w="29" w:type="dxa"/>
              <w:right w:w="58" w:type="dxa"/>
            </w:tcMar>
            <w:vAlign w:val="center"/>
          </w:tcPr>
          <w:p w14:paraId="2DAC805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14:paraId="35D0A9D2" w14:textId="77777777" w:rsidTr="00C66F55">
        <w:trPr>
          <w:cantSplit/>
          <w:trHeight w:val="255"/>
          <w:jc w:val="center"/>
        </w:trPr>
        <w:tc>
          <w:tcPr>
            <w:tcW w:w="1172" w:type="dxa"/>
            <w:shd w:val="clear" w:color="auto" w:fill="CCEAF9" w:themeFill="accent1" w:themeFillTint="33"/>
            <w:noWrap/>
            <w:tcMar>
              <w:left w:w="58" w:type="dxa"/>
              <w:right w:w="29" w:type="dxa"/>
            </w:tcMar>
            <w:vAlign w:val="center"/>
          </w:tcPr>
          <w:p w14:paraId="1A156A7F"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ME</w:t>
            </w:r>
          </w:p>
        </w:tc>
        <w:tc>
          <w:tcPr>
            <w:tcW w:w="709" w:type="dxa"/>
            <w:shd w:val="clear" w:color="auto" w:fill="CCEAF9" w:themeFill="accent1" w:themeFillTint="33"/>
            <w:noWrap/>
            <w:tcMar>
              <w:left w:w="29" w:type="dxa"/>
              <w:right w:w="58" w:type="dxa"/>
            </w:tcMar>
            <w:vAlign w:val="center"/>
          </w:tcPr>
          <w:p w14:paraId="42A3406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CF2B8B">
              <w:rPr>
                <w:rFonts w:ascii="Calibri" w:hAnsi="Calibri"/>
                <w:sz w:val="18"/>
                <w:szCs w:val="18"/>
              </w:rPr>
              <w:t>5,621</w:t>
            </w:r>
          </w:p>
        </w:tc>
        <w:tc>
          <w:tcPr>
            <w:tcW w:w="711" w:type="dxa"/>
            <w:shd w:val="clear" w:color="auto" w:fill="CCEAF9" w:themeFill="accent1" w:themeFillTint="33"/>
            <w:noWrap/>
            <w:tcMar>
              <w:left w:w="29" w:type="dxa"/>
              <w:right w:w="58" w:type="dxa"/>
            </w:tcMar>
            <w:vAlign w:val="center"/>
          </w:tcPr>
          <w:p w14:paraId="0BE9DCED"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6,118</w:t>
            </w:r>
          </w:p>
        </w:tc>
        <w:tc>
          <w:tcPr>
            <w:tcW w:w="680" w:type="dxa"/>
            <w:shd w:val="clear" w:color="auto" w:fill="CCEAF9" w:themeFill="accent1" w:themeFillTint="33"/>
            <w:noWrap/>
            <w:tcMar>
              <w:left w:w="29" w:type="dxa"/>
              <w:right w:w="58" w:type="dxa"/>
            </w:tcMar>
            <w:vAlign w:val="center"/>
          </w:tcPr>
          <w:p w14:paraId="25CD241A"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0.9</w:t>
            </w:r>
          </w:p>
        </w:tc>
        <w:tc>
          <w:tcPr>
            <w:tcW w:w="742" w:type="dxa"/>
            <w:shd w:val="clear" w:color="auto" w:fill="CCEAF9" w:themeFill="accent1" w:themeFillTint="33"/>
            <w:noWrap/>
            <w:tcMar>
              <w:left w:w="29" w:type="dxa"/>
              <w:right w:w="58" w:type="dxa"/>
            </w:tcMar>
            <w:vAlign w:val="center"/>
          </w:tcPr>
          <w:p w14:paraId="49EEAF2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900</w:t>
            </w:r>
          </w:p>
        </w:tc>
        <w:tc>
          <w:tcPr>
            <w:tcW w:w="698" w:type="dxa"/>
            <w:shd w:val="clear" w:color="auto" w:fill="CCEAF9" w:themeFill="accent1" w:themeFillTint="33"/>
            <w:noWrap/>
            <w:tcMar>
              <w:left w:w="29" w:type="dxa"/>
              <w:right w:w="58" w:type="dxa"/>
            </w:tcMar>
            <w:vAlign w:val="center"/>
          </w:tcPr>
          <w:p w14:paraId="64C2E78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923</w:t>
            </w:r>
          </w:p>
        </w:tc>
        <w:tc>
          <w:tcPr>
            <w:tcW w:w="724" w:type="dxa"/>
            <w:shd w:val="clear" w:color="auto" w:fill="CCEAF9" w:themeFill="accent1" w:themeFillTint="33"/>
            <w:noWrap/>
            <w:tcMar>
              <w:left w:w="29" w:type="dxa"/>
              <w:right w:w="58" w:type="dxa"/>
            </w:tcMar>
            <w:vAlign w:val="center"/>
          </w:tcPr>
          <w:p w14:paraId="2438F6E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948</w:t>
            </w:r>
          </w:p>
        </w:tc>
        <w:tc>
          <w:tcPr>
            <w:tcW w:w="626" w:type="dxa"/>
            <w:shd w:val="clear" w:color="auto" w:fill="CCEAF9" w:themeFill="accent1" w:themeFillTint="33"/>
            <w:noWrap/>
            <w:tcMar>
              <w:left w:w="29" w:type="dxa"/>
              <w:right w:w="58" w:type="dxa"/>
            </w:tcMar>
            <w:vAlign w:val="center"/>
          </w:tcPr>
          <w:p w14:paraId="3864624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979</w:t>
            </w:r>
          </w:p>
        </w:tc>
        <w:tc>
          <w:tcPr>
            <w:tcW w:w="630" w:type="dxa"/>
            <w:shd w:val="clear" w:color="auto" w:fill="CCEAF9" w:themeFill="accent1" w:themeFillTint="33"/>
            <w:noWrap/>
            <w:tcMar>
              <w:left w:w="29" w:type="dxa"/>
              <w:right w:w="58" w:type="dxa"/>
            </w:tcMar>
            <w:vAlign w:val="center"/>
          </w:tcPr>
          <w:p w14:paraId="7E1BAC7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14:paraId="06B332B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927</w:t>
            </w:r>
          </w:p>
        </w:tc>
        <w:tc>
          <w:tcPr>
            <w:tcW w:w="810" w:type="dxa"/>
            <w:shd w:val="clear" w:color="auto" w:fill="CCEAF9" w:themeFill="accent1" w:themeFillTint="33"/>
            <w:noWrap/>
            <w:tcMar>
              <w:left w:w="29" w:type="dxa"/>
              <w:right w:w="58" w:type="dxa"/>
            </w:tcMar>
            <w:vAlign w:val="center"/>
          </w:tcPr>
          <w:p w14:paraId="23AC2FE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965</w:t>
            </w:r>
          </w:p>
        </w:tc>
        <w:tc>
          <w:tcPr>
            <w:tcW w:w="812" w:type="dxa"/>
            <w:shd w:val="clear" w:color="auto" w:fill="CCEAF9" w:themeFill="accent1" w:themeFillTint="33"/>
            <w:noWrap/>
            <w:tcMar>
              <w:left w:w="29" w:type="dxa"/>
              <w:right w:w="58" w:type="dxa"/>
            </w:tcMar>
            <w:vAlign w:val="center"/>
          </w:tcPr>
          <w:p w14:paraId="1FB7747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810" w:type="dxa"/>
            <w:shd w:val="clear" w:color="auto" w:fill="CCEAF9" w:themeFill="accent1" w:themeFillTint="33"/>
            <w:noWrap/>
            <w:tcMar>
              <w:left w:w="29" w:type="dxa"/>
              <w:right w:w="58" w:type="dxa"/>
            </w:tcMar>
            <w:vAlign w:val="center"/>
          </w:tcPr>
          <w:p w14:paraId="5BFB92C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988</w:t>
            </w:r>
          </w:p>
        </w:tc>
        <w:tc>
          <w:tcPr>
            <w:tcW w:w="596" w:type="dxa"/>
            <w:shd w:val="clear" w:color="auto" w:fill="CCEAF9" w:themeFill="accent1" w:themeFillTint="33"/>
            <w:noWrap/>
            <w:tcMar>
              <w:left w:w="29" w:type="dxa"/>
              <w:right w:w="58" w:type="dxa"/>
            </w:tcMar>
            <w:vAlign w:val="center"/>
          </w:tcPr>
          <w:p w14:paraId="5D3ADA2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r>
      <w:tr w:rsidR="006F4BE7" w:rsidRPr="006F4BE7" w14:paraId="62F8E276" w14:textId="77777777" w:rsidTr="00C66F55">
        <w:trPr>
          <w:cantSplit/>
          <w:trHeight w:val="255"/>
          <w:jc w:val="center"/>
        </w:trPr>
        <w:tc>
          <w:tcPr>
            <w:tcW w:w="1172" w:type="dxa"/>
            <w:shd w:val="clear" w:color="auto" w:fill="FFFFFF"/>
            <w:noWrap/>
            <w:tcMar>
              <w:left w:w="58" w:type="dxa"/>
              <w:right w:w="29" w:type="dxa"/>
            </w:tcMar>
            <w:vAlign w:val="center"/>
          </w:tcPr>
          <w:p w14:paraId="210F9CFB"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SME</w:t>
            </w:r>
          </w:p>
        </w:tc>
        <w:tc>
          <w:tcPr>
            <w:tcW w:w="709" w:type="dxa"/>
            <w:shd w:val="clear" w:color="auto" w:fill="FFFFFF"/>
            <w:noWrap/>
            <w:tcMar>
              <w:left w:w="29" w:type="dxa"/>
              <w:right w:w="58" w:type="dxa"/>
            </w:tcMar>
            <w:vAlign w:val="center"/>
          </w:tcPr>
          <w:p w14:paraId="6F060BCB" w14:textId="77777777" w:rsidR="006F4BE7" w:rsidRPr="00CF2B8B" w:rsidRDefault="006F4BE7" w:rsidP="002F155F">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4,263</w:t>
            </w:r>
          </w:p>
        </w:tc>
        <w:tc>
          <w:tcPr>
            <w:tcW w:w="711" w:type="dxa"/>
            <w:shd w:val="clear" w:color="auto" w:fill="FFFFFF"/>
            <w:noWrap/>
            <w:tcMar>
              <w:left w:w="29" w:type="dxa"/>
              <w:right w:w="58" w:type="dxa"/>
            </w:tcMar>
            <w:vAlign w:val="center"/>
          </w:tcPr>
          <w:p w14:paraId="55FF56F1" w14:textId="77777777" w:rsidR="006F4BE7" w:rsidRPr="00CF2B8B" w:rsidRDefault="006F4BE7" w:rsidP="002F155F">
            <w:pPr>
              <w:keepNext/>
              <w:keepLines/>
              <w:spacing w:after="0" w:line="240" w:lineRule="auto"/>
              <w:jc w:val="right"/>
              <w:rPr>
                <w:rFonts w:asciiTheme="minorHAnsi" w:hAnsiTheme="minorHAnsi" w:cs="Calibri"/>
                <w:color w:val="000000"/>
                <w:sz w:val="18"/>
                <w:szCs w:val="18"/>
              </w:rPr>
            </w:pPr>
            <w:r w:rsidRPr="00CF2B8B">
              <w:rPr>
                <w:rFonts w:ascii="Calibri" w:hAnsi="Calibri"/>
                <w:color w:val="000000"/>
                <w:sz w:val="18"/>
                <w:szCs w:val="18"/>
              </w:rPr>
              <w:t>4,642</w:t>
            </w:r>
          </w:p>
        </w:tc>
        <w:tc>
          <w:tcPr>
            <w:tcW w:w="680" w:type="dxa"/>
            <w:shd w:val="clear" w:color="auto" w:fill="FFFFFF"/>
            <w:noWrap/>
            <w:tcMar>
              <w:left w:w="29" w:type="dxa"/>
              <w:right w:w="58" w:type="dxa"/>
            </w:tcMar>
            <w:vAlign w:val="center"/>
          </w:tcPr>
          <w:p w14:paraId="3FB7407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14:paraId="74317BD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680</w:t>
            </w:r>
          </w:p>
        </w:tc>
        <w:tc>
          <w:tcPr>
            <w:tcW w:w="698" w:type="dxa"/>
            <w:shd w:val="clear" w:color="auto" w:fill="FFFFFF"/>
            <w:noWrap/>
            <w:tcMar>
              <w:left w:w="29" w:type="dxa"/>
              <w:right w:w="58" w:type="dxa"/>
            </w:tcMar>
            <w:vAlign w:val="center"/>
          </w:tcPr>
          <w:p w14:paraId="2969843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696</w:t>
            </w:r>
          </w:p>
        </w:tc>
        <w:tc>
          <w:tcPr>
            <w:tcW w:w="724" w:type="dxa"/>
            <w:shd w:val="clear" w:color="auto" w:fill="FFFFFF"/>
            <w:noWrap/>
            <w:tcMar>
              <w:left w:w="29" w:type="dxa"/>
              <w:right w:w="58" w:type="dxa"/>
            </w:tcMar>
            <w:vAlign w:val="center"/>
          </w:tcPr>
          <w:p w14:paraId="5001C4A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716</w:t>
            </w:r>
          </w:p>
        </w:tc>
        <w:tc>
          <w:tcPr>
            <w:tcW w:w="626" w:type="dxa"/>
            <w:shd w:val="clear" w:color="auto" w:fill="FFFFFF"/>
            <w:noWrap/>
            <w:tcMar>
              <w:left w:w="29" w:type="dxa"/>
              <w:right w:w="58" w:type="dxa"/>
            </w:tcMar>
            <w:vAlign w:val="center"/>
          </w:tcPr>
          <w:p w14:paraId="6EE183D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739</w:t>
            </w:r>
          </w:p>
        </w:tc>
        <w:tc>
          <w:tcPr>
            <w:tcW w:w="630" w:type="dxa"/>
            <w:shd w:val="clear" w:color="auto" w:fill="FFFFFF"/>
            <w:noWrap/>
            <w:tcMar>
              <w:left w:w="29" w:type="dxa"/>
              <w:right w:w="58" w:type="dxa"/>
            </w:tcMar>
            <w:vAlign w:val="center"/>
          </w:tcPr>
          <w:p w14:paraId="5C8AEAA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0.3</w:t>
            </w:r>
          </w:p>
        </w:tc>
        <w:tc>
          <w:tcPr>
            <w:tcW w:w="810" w:type="dxa"/>
            <w:shd w:val="clear" w:color="auto" w:fill="FFFFFF"/>
            <w:noWrap/>
            <w:tcMar>
              <w:left w:w="29" w:type="dxa"/>
              <w:right w:w="58" w:type="dxa"/>
            </w:tcMar>
            <w:vAlign w:val="center"/>
          </w:tcPr>
          <w:p w14:paraId="5857E62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648</w:t>
            </w:r>
          </w:p>
        </w:tc>
        <w:tc>
          <w:tcPr>
            <w:tcW w:w="810" w:type="dxa"/>
            <w:shd w:val="clear" w:color="auto" w:fill="FFFFFF"/>
            <w:noWrap/>
            <w:tcMar>
              <w:left w:w="29" w:type="dxa"/>
              <w:right w:w="58" w:type="dxa"/>
            </w:tcMar>
            <w:vAlign w:val="center"/>
          </w:tcPr>
          <w:p w14:paraId="3F251A7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672</w:t>
            </w:r>
          </w:p>
        </w:tc>
        <w:tc>
          <w:tcPr>
            <w:tcW w:w="812" w:type="dxa"/>
            <w:shd w:val="clear" w:color="auto" w:fill="FFFFFF"/>
            <w:noWrap/>
            <w:tcMar>
              <w:left w:w="29" w:type="dxa"/>
              <w:right w:w="58" w:type="dxa"/>
            </w:tcMar>
            <w:vAlign w:val="center"/>
          </w:tcPr>
          <w:p w14:paraId="0D753F32"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661</w:t>
            </w:r>
          </w:p>
        </w:tc>
        <w:tc>
          <w:tcPr>
            <w:tcW w:w="810" w:type="dxa"/>
            <w:shd w:val="clear" w:color="auto" w:fill="FFFFFF"/>
            <w:noWrap/>
            <w:tcMar>
              <w:left w:w="29" w:type="dxa"/>
              <w:right w:w="58" w:type="dxa"/>
            </w:tcMar>
            <w:vAlign w:val="center"/>
          </w:tcPr>
          <w:p w14:paraId="66060D3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688</w:t>
            </w:r>
          </w:p>
        </w:tc>
        <w:tc>
          <w:tcPr>
            <w:tcW w:w="596" w:type="dxa"/>
            <w:shd w:val="clear" w:color="auto" w:fill="FFFFFF"/>
            <w:noWrap/>
            <w:tcMar>
              <w:left w:w="29" w:type="dxa"/>
              <w:right w:w="58" w:type="dxa"/>
            </w:tcMar>
            <w:vAlign w:val="center"/>
          </w:tcPr>
          <w:p w14:paraId="1136160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0.4</w:t>
            </w:r>
          </w:p>
        </w:tc>
      </w:tr>
      <w:tr w:rsidR="006F4BE7" w:rsidRPr="006F4BE7" w14:paraId="3DBBB783" w14:textId="77777777" w:rsidTr="00C66F55">
        <w:trPr>
          <w:cantSplit/>
          <w:trHeight w:val="255"/>
          <w:jc w:val="center"/>
        </w:trPr>
        <w:tc>
          <w:tcPr>
            <w:tcW w:w="1172" w:type="dxa"/>
            <w:shd w:val="clear" w:color="auto" w:fill="CCEAF9" w:themeFill="accent1" w:themeFillTint="33"/>
            <w:noWrap/>
            <w:tcMar>
              <w:left w:w="58" w:type="dxa"/>
              <w:right w:w="29" w:type="dxa"/>
            </w:tcMar>
            <w:vAlign w:val="center"/>
          </w:tcPr>
          <w:p w14:paraId="0114BEBC"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NH</w:t>
            </w:r>
          </w:p>
        </w:tc>
        <w:tc>
          <w:tcPr>
            <w:tcW w:w="709" w:type="dxa"/>
            <w:shd w:val="clear" w:color="auto" w:fill="CCEAF9" w:themeFill="accent1" w:themeFillTint="33"/>
            <w:noWrap/>
            <w:tcMar>
              <w:left w:w="29" w:type="dxa"/>
              <w:right w:w="58" w:type="dxa"/>
            </w:tcMar>
            <w:vAlign w:val="center"/>
          </w:tcPr>
          <w:p w14:paraId="13E5DB1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CF2B8B">
              <w:rPr>
                <w:rFonts w:ascii="Calibri" w:hAnsi="Calibri"/>
                <w:sz w:val="18"/>
                <w:szCs w:val="18"/>
              </w:rPr>
              <w:t>10,301</w:t>
            </w:r>
          </w:p>
        </w:tc>
        <w:tc>
          <w:tcPr>
            <w:tcW w:w="711" w:type="dxa"/>
            <w:shd w:val="clear" w:color="auto" w:fill="CCEAF9" w:themeFill="accent1" w:themeFillTint="33"/>
            <w:noWrap/>
            <w:tcMar>
              <w:left w:w="29" w:type="dxa"/>
              <w:right w:w="58" w:type="dxa"/>
            </w:tcMar>
            <w:vAlign w:val="center"/>
          </w:tcPr>
          <w:p w14:paraId="7411A11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CF2B8B">
              <w:rPr>
                <w:rFonts w:ascii="Calibri" w:hAnsi="Calibri"/>
                <w:sz w:val="18"/>
                <w:szCs w:val="18"/>
              </w:rPr>
              <w:t>10,788</w:t>
            </w:r>
          </w:p>
        </w:tc>
        <w:tc>
          <w:tcPr>
            <w:tcW w:w="680" w:type="dxa"/>
            <w:shd w:val="clear" w:color="auto" w:fill="CCEAF9" w:themeFill="accent1" w:themeFillTint="33"/>
            <w:noWrap/>
            <w:tcMar>
              <w:left w:w="29" w:type="dxa"/>
              <w:right w:w="58" w:type="dxa"/>
            </w:tcMar>
            <w:vAlign w:val="center"/>
          </w:tcPr>
          <w:p w14:paraId="635E087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14:paraId="2977D7A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1,929</w:t>
            </w:r>
          </w:p>
        </w:tc>
        <w:tc>
          <w:tcPr>
            <w:tcW w:w="698" w:type="dxa"/>
            <w:shd w:val="clear" w:color="auto" w:fill="CCEAF9" w:themeFill="accent1" w:themeFillTint="33"/>
            <w:noWrap/>
            <w:tcMar>
              <w:left w:w="29" w:type="dxa"/>
              <w:right w:w="58" w:type="dxa"/>
            </w:tcMar>
            <w:vAlign w:val="center"/>
          </w:tcPr>
          <w:p w14:paraId="75992FB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1,949</w:t>
            </w:r>
          </w:p>
        </w:tc>
        <w:tc>
          <w:tcPr>
            <w:tcW w:w="724" w:type="dxa"/>
            <w:shd w:val="clear" w:color="auto" w:fill="CCEAF9" w:themeFill="accent1" w:themeFillTint="33"/>
            <w:noWrap/>
            <w:tcMar>
              <w:left w:w="29" w:type="dxa"/>
              <w:right w:w="58" w:type="dxa"/>
            </w:tcMar>
            <w:vAlign w:val="center"/>
          </w:tcPr>
          <w:p w14:paraId="10C901C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2,032</w:t>
            </w:r>
          </w:p>
        </w:tc>
        <w:tc>
          <w:tcPr>
            <w:tcW w:w="626" w:type="dxa"/>
            <w:shd w:val="clear" w:color="auto" w:fill="CCEAF9" w:themeFill="accent1" w:themeFillTint="33"/>
            <w:noWrap/>
            <w:tcMar>
              <w:left w:w="29" w:type="dxa"/>
              <w:right w:w="58" w:type="dxa"/>
            </w:tcMar>
            <w:vAlign w:val="center"/>
          </w:tcPr>
          <w:p w14:paraId="0A554DD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2,061</w:t>
            </w:r>
          </w:p>
        </w:tc>
        <w:tc>
          <w:tcPr>
            <w:tcW w:w="630" w:type="dxa"/>
            <w:shd w:val="clear" w:color="auto" w:fill="CCEAF9" w:themeFill="accent1" w:themeFillTint="33"/>
            <w:noWrap/>
            <w:tcMar>
              <w:left w:w="29" w:type="dxa"/>
              <w:right w:w="58" w:type="dxa"/>
            </w:tcMar>
            <w:vAlign w:val="center"/>
          </w:tcPr>
          <w:p w14:paraId="0596F25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0.1</w:t>
            </w:r>
          </w:p>
        </w:tc>
        <w:tc>
          <w:tcPr>
            <w:tcW w:w="810" w:type="dxa"/>
            <w:shd w:val="clear" w:color="auto" w:fill="CCEAF9" w:themeFill="accent1" w:themeFillTint="33"/>
            <w:noWrap/>
            <w:tcMar>
              <w:left w:w="29" w:type="dxa"/>
              <w:right w:w="58" w:type="dxa"/>
            </w:tcMar>
            <w:vAlign w:val="center"/>
          </w:tcPr>
          <w:p w14:paraId="0ADBBBEA"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1,645</w:t>
            </w:r>
          </w:p>
        </w:tc>
        <w:tc>
          <w:tcPr>
            <w:tcW w:w="810" w:type="dxa"/>
            <w:shd w:val="clear" w:color="auto" w:fill="CCEAF9" w:themeFill="accent1" w:themeFillTint="33"/>
            <w:noWrap/>
            <w:tcMar>
              <w:left w:w="29" w:type="dxa"/>
              <w:right w:w="58" w:type="dxa"/>
            </w:tcMar>
            <w:vAlign w:val="center"/>
          </w:tcPr>
          <w:p w14:paraId="2AC4BE5A"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1,615</w:t>
            </w:r>
          </w:p>
        </w:tc>
        <w:tc>
          <w:tcPr>
            <w:tcW w:w="812" w:type="dxa"/>
            <w:shd w:val="clear" w:color="auto" w:fill="CCEAF9" w:themeFill="accent1" w:themeFillTint="33"/>
            <w:noWrap/>
            <w:tcMar>
              <w:left w:w="29" w:type="dxa"/>
              <w:right w:w="58" w:type="dxa"/>
            </w:tcMar>
            <w:vAlign w:val="center"/>
          </w:tcPr>
          <w:p w14:paraId="58C73AF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1,702</w:t>
            </w:r>
          </w:p>
        </w:tc>
        <w:tc>
          <w:tcPr>
            <w:tcW w:w="810" w:type="dxa"/>
            <w:shd w:val="clear" w:color="auto" w:fill="CCEAF9" w:themeFill="accent1" w:themeFillTint="33"/>
            <w:noWrap/>
            <w:tcMar>
              <w:left w:w="29" w:type="dxa"/>
              <w:right w:w="58" w:type="dxa"/>
            </w:tcMar>
            <w:vAlign w:val="center"/>
          </w:tcPr>
          <w:p w14:paraId="6E2DFF6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1,677</w:t>
            </w:r>
          </w:p>
        </w:tc>
        <w:tc>
          <w:tcPr>
            <w:tcW w:w="596" w:type="dxa"/>
            <w:shd w:val="clear" w:color="auto" w:fill="CCEAF9" w:themeFill="accent1" w:themeFillTint="33"/>
            <w:noWrap/>
            <w:tcMar>
              <w:left w:w="29" w:type="dxa"/>
              <w:right w:w="58" w:type="dxa"/>
            </w:tcMar>
            <w:vAlign w:val="center"/>
          </w:tcPr>
          <w:p w14:paraId="75AB0A6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0.2</w:t>
            </w:r>
          </w:p>
        </w:tc>
      </w:tr>
      <w:tr w:rsidR="006F4BE7" w:rsidRPr="006F4BE7" w14:paraId="5DA5C261" w14:textId="77777777" w:rsidTr="00C66F55">
        <w:trPr>
          <w:cantSplit/>
          <w:trHeight w:val="255"/>
          <w:jc w:val="center"/>
        </w:trPr>
        <w:tc>
          <w:tcPr>
            <w:tcW w:w="1172" w:type="dxa"/>
            <w:shd w:val="clear" w:color="auto" w:fill="FFFFFF"/>
            <w:noWrap/>
            <w:tcMar>
              <w:left w:w="58" w:type="dxa"/>
              <w:right w:w="29" w:type="dxa"/>
            </w:tcMar>
            <w:vAlign w:val="center"/>
          </w:tcPr>
          <w:p w14:paraId="657BF42E"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VT</w:t>
            </w:r>
          </w:p>
        </w:tc>
        <w:tc>
          <w:tcPr>
            <w:tcW w:w="709" w:type="dxa"/>
            <w:shd w:val="clear" w:color="auto" w:fill="FFFFFF"/>
            <w:noWrap/>
            <w:tcMar>
              <w:left w:w="29" w:type="dxa"/>
              <w:right w:w="58" w:type="dxa"/>
            </w:tcMar>
            <w:vAlign w:val="center"/>
          </w:tcPr>
          <w:p w14:paraId="5F536F8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6,668</w:t>
            </w:r>
          </w:p>
        </w:tc>
        <w:tc>
          <w:tcPr>
            <w:tcW w:w="711" w:type="dxa"/>
            <w:shd w:val="clear" w:color="auto" w:fill="FFFFFF"/>
            <w:noWrap/>
            <w:tcMar>
              <w:left w:w="29" w:type="dxa"/>
              <w:right w:w="58" w:type="dxa"/>
            </w:tcMar>
            <w:vAlign w:val="center"/>
          </w:tcPr>
          <w:p w14:paraId="1EE9D68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6,111</w:t>
            </w:r>
          </w:p>
        </w:tc>
        <w:tc>
          <w:tcPr>
            <w:tcW w:w="680" w:type="dxa"/>
            <w:shd w:val="clear" w:color="auto" w:fill="FFFFFF"/>
            <w:noWrap/>
            <w:tcMar>
              <w:left w:w="29" w:type="dxa"/>
              <w:right w:w="58" w:type="dxa"/>
            </w:tcMar>
            <w:vAlign w:val="center"/>
          </w:tcPr>
          <w:p w14:paraId="0BD795A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14:paraId="6895836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1,075</w:t>
            </w:r>
          </w:p>
        </w:tc>
        <w:tc>
          <w:tcPr>
            <w:tcW w:w="698" w:type="dxa"/>
            <w:shd w:val="clear" w:color="auto" w:fill="FFFFFF"/>
            <w:noWrap/>
            <w:tcMar>
              <w:left w:w="29" w:type="dxa"/>
              <w:right w:w="58" w:type="dxa"/>
            </w:tcMar>
            <w:vAlign w:val="center"/>
          </w:tcPr>
          <w:p w14:paraId="4AE009A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1,022</w:t>
            </w:r>
          </w:p>
        </w:tc>
        <w:tc>
          <w:tcPr>
            <w:tcW w:w="724" w:type="dxa"/>
            <w:shd w:val="clear" w:color="auto" w:fill="FFFFFF"/>
            <w:noWrap/>
            <w:tcMar>
              <w:left w:w="29" w:type="dxa"/>
              <w:right w:w="58" w:type="dxa"/>
            </w:tcMar>
            <w:vAlign w:val="center"/>
          </w:tcPr>
          <w:p w14:paraId="0FDEF45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1,121</w:t>
            </w:r>
          </w:p>
        </w:tc>
        <w:tc>
          <w:tcPr>
            <w:tcW w:w="626" w:type="dxa"/>
            <w:shd w:val="clear" w:color="auto" w:fill="FFFFFF"/>
            <w:noWrap/>
            <w:tcMar>
              <w:left w:w="29" w:type="dxa"/>
              <w:right w:w="58" w:type="dxa"/>
            </w:tcMar>
            <w:vAlign w:val="center"/>
          </w:tcPr>
          <w:p w14:paraId="775112B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1,072</w:t>
            </w:r>
          </w:p>
        </w:tc>
        <w:tc>
          <w:tcPr>
            <w:tcW w:w="630" w:type="dxa"/>
            <w:shd w:val="clear" w:color="auto" w:fill="FFFFFF"/>
            <w:noWrap/>
            <w:tcMar>
              <w:left w:w="29" w:type="dxa"/>
              <w:right w:w="58" w:type="dxa"/>
            </w:tcMar>
            <w:vAlign w:val="center"/>
          </w:tcPr>
          <w:p w14:paraId="7C48A1AA"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810" w:type="dxa"/>
            <w:shd w:val="clear" w:color="auto" w:fill="FFFFFF"/>
            <w:noWrap/>
            <w:tcMar>
              <w:left w:w="29" w:type="dxa"/>
              <w:right w:w="58" w:type="dxa"/>
            </w:tcMar>
            <w:vAlign w:val="center"/>
          </w:tcPr>
          <w:p w14:paraId="096F023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1,127</w:t>
            </w:r>
          </w:p>
        </w:tc>
        <w:tc>
          <w:tcPr>
            <w:tcW w:w="810" w:type="dxa"/>
            <w:shd w:val="clear" w:color="auto" w:fill="FFFFFF"/>
            <w:noWrap/>
            <w:tcMar>
              <w:left w:w="29" w:type="dxa"/>
              <w:right w:w="58" w:type="dxa"/>
            </w:tcMar>
            <w:vAlign w:val="center"/>
          </w:tcPr>
          <w:p w14:paraId="02B439B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1,088</w:t>
            </w:r>
          </w:p>
        </w:tc>
        <w:tc>
          <w:tcPr>
            <w:tcW w:w="812" w:type="dxa"/>
            <w:shd w:val="clear" w:color="auto" w:fill="FFFFFF"/>
            <w:noWrap/>
            <w:tcMar>
              <w:left w:w="29" w:type="dxa"/>
              <w:right w:w="58" w:type="dxa"/>
            </w:tcMar>
            <w:vAlign w:val="center"/>
          </w:tcPr>
          <w:p w14:paraId="5716FD7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1,169</w:t>
            </w:r>
          </w:p>
        </w:tc>
        <w:tc>
          <w:tcPr>
            <w:tcW w:w="810" w:type="dxa"/>
            <w:shd w:val="clear" w:color="auto" w:fill="FFFFFF"/>
            <w:noWrap/>
            <w:tcMar>
              <w:left w:w="29" w:type="dxa"/>
              <w:right w:w="58" w:type="dxa"/>
            </w:tcMar>
            <w:vAlign w:val="center"/>
          </w:tcPr>
          <w:p w14:paraId="2807A6B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1,122</w:t>
            </w:r>
          </w:p>
        </w:tc>
        <w:tc>
          <w:tcPr>
            <w:tcW w:w="596" w:type="dxa"/>
            <w:shd w:val="clear" w:color="auto" w:fill="FFFFFF"/>
            <w:noWrap/>
            <w:tcMar>
              <w:left w:w="29" w:type="dxa"/>
              <w:right w:w="58" w:type="dxa"/>
            </w:tcMar>
            <w:vAlign w:val="center"/>
          </w:tcPr>
          <w:p w14:paraId="4893801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r>
      <w:tr w:rsidR="006F4BE7" w:rsidRPr="006F4BE7" w14:paraId="6E6C5BDC" w14:textId="77777777" w:rsidTr="00C66F55">
        <w:trPr>
          <w:cantSplit/>
          <w:trHeight w:val="270"/>
          <w:jc w:val="center"/>
        </w:trPr>
        <w:tc>
          <w:tcPr>
            <w:tcW w:w="1172" w:type="dxa"/>
            <w:shd w:val="clear" w:color="auto" w:fill="CCEAF9" w:themeFill="accent1" w:themeFillTint="33"/>
            <w:noWrap/>
            <w:tcMar>
              <w:left w:w="58" w:type="dxa"/>
              <w:right w:w="29" w:type="dxa"/>
            </w:tcMar>
            <w:vAlign w:val="center"/>
          </w:tcPr>
          <w:p w14:paraId="3B1EDCC7"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BOSTON</w:t>
            </w:r>
          </w:p>
        </w:tc>
        <w:tc>
          <w:tcPr>
            <w:tcW w:w="709" w:type="dxa"/>
            <w:shd w:val="clear" w:color="auto" w:fill="CCEAF9" w:themeFill="accent1" w:themeFillTint="33"/>
            <w:noWrap/>
            <w:tcMar>
              <w:left w:w="29" w:type="dxa"/>
              <w:right w:w="58" w:type="dxa"/>
            </w:tcMar>
            <w:vAlign w:val="center"/>
          </w:tcPr>
          <w:p w14:paraId="2A089A7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27,411</w:t>
            </w:r>
          </w:p>
        </w:tc>
        <w:tc>
          <w:tcPr>
            <w:tcW w:w="711" w:type="dxa"/>
            <w:shd w:val="clear" w:color="auto" w:fill="CCEAF9" w:themeFill="accent1" w:themeFillTint="33"/>
            <w:noWrap/>
            <w:tcMar>
              <w:left w:w="29" w:type="dxa"/>
              <w:right w:w="58" w:type="dxa"/>
            </w:tcMar>
            <w:vAlign w:val="center"/>
          </w:tcPr>
          <w:p w14:paraId="271A3E0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26,134</w:t>
            </w:r>
          </w:p>
        </w:tc>
        <w:tc>
          <w:tcPr>
            <w:tcW w:w="680" w:type="dxa"/>
            <w:shd w:val="clear" w:color="auto" w:fill="CCEAF9" w:themeFill="accent1" w:themeFillTint="33"/>
            <w:noWrap/>
            <w:tcMar>
              <w:left w:w="29" w:type="dxa"/>
              <w:right w:w="58" w:type="dxa"/>
            </w:tcMar>
            <w:vAlign w:val="center"/>
          </w:tcPr>
          <w:p w14:paraId="34C9EC2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c>
          <w:tcPr>
            <w:tcW w:w="742" w:type="dxa"/>
            <w:shd w:val="clear" w:color="auto" w:fill="CCEAF9" w:themeFill="accent1" w:themeFillTint="33"/>
            <w:noWrap/>
            <w:tcMar>
              <w:left w:w="29" w:type="dxa"/>
              <w:right w:w="58" w:type="dxa"/>
            </w:tcMar>
            <w:vAlign w:val="center"/>
          </w:tcPr>
          <w:p w14:paraId="41767A8D"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5,640</w:t>
            </w:r>
          </w:p>
        </w:tc>
        <w:tc>
          <w:tcPr>
            <w:tcW w:w="698" w:type="dxa"/>
            <w:shd w:val="clear" w:color="auto" w:fill="CCEAF9" w:themeFill="accent1" w:themeFillTint="33"/>
            <w:noWrap/>
            <w:tcMar>
              <w:left w:w="29" w:type="dxa"/>
              <w:right w:w="58" w:type="dxa"/>
            </w:tcMar>
            <w:vAlign w:val="center"/>
          </w:tcPr>
          <w:p w14:paraId="794844E4" w14:textId="77777777" w:rsidR="006F4BE7" w:rsidRPr="006F4BE7" w:rsidRDefault="006F4BE7" w:rsidP="002F155F">
            <w:pPr>
              <w:keepNext/>
              <w:keepLines/>
              <w:spacing w:after="0" w:line="240" w:lineRule="auto"/>
              <w:jc w:val="right"/>
              <w:rPr>
                <w:rFonts w:asciiTheme="minorHAnsi" w:hAnsiTheme="minorHAnsi"/>
                <w:sz w:val="18"/>
                <w:szCs w:val="18"/>
              </w:rPr>
            </w:pPr>
            <w:r w:rsidRPr="006F4BE7">
              <w:rPr>
                <w:rFonts w:ascii="Calibri" w:hAnsi="Calibri"/>
                <w:sz w:val="18"/>
                <w:szCs w:val="18"/>
              </w:rPr>
              <w:t>5,445</w:t>
            </w:r>
          </w:p>
        </w:tc>
        <w:tc>
          <w:tcPr>
            <w:tcW w:w="724" w:type="dxa"/>
            <w:shd w:val="clear" w:color="auto" w:fill="CCEAF9" w:themeFill="accent1" w:themeFillTint="33"/>
            <w:noWrap/>
            <w:tcMar>
              <w:left w:w="29" w:type="dxa"/>
              <w:right w:w="58" w:type="dxa"/>
            </w:tcMar>
            <w:vAlign w:val="center"/>
          </w:tcPr>
          <w:p w14:paraId="6487DE9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6,113</w:t>
            </w:r>
          </w:p>
        </w:tc>
        <w:tc>
          <w:tcPr>
            <w:tcW w:w="626" w:type="dxa"/>
            <w:shd w:val="clear" w:color="auto" w:fill="CCEAF9" w:themeFill="accent1" w:themeFillTint="33"/>
            <w:noWrap/>
            <w:tcMar>
              <w:left w:w="29" w:type="dxa"/>
              <w:right w:w="58" w:type="dxa"/>
            </w:tcMar>
            <w:vAlign w:val="center"/>
          </w:tcPr>
          <w:p w14:paraId="4B72C86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6,005</w:t>
            </w:r>
          </w:p>
        </w:tc>
        <w:tc>
          <w:tcPr>
            <w:tcW w:w="630" w:type="dxa"/>
            <w:shd w:val="clear" w:color="auto" w:fill="CCEAF9" w:themeFill="accent1" w:themeFillTint="33"/>
            <w:noWrap/>
            <w:tcMar>
              <w:left w:w="29" w:type="dxa"/>
              <w:right w:w="58" w:type="dxa"/>
            </w:tcMar>
            <w:vAlign w:val="center"/>
          </w:tcPr>
          <w:p w14:paraId="0D7FF6A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CCEAF9" w:themeFill="accent1" w:themeFillTint="33"/>
            <w:noWrap/>
            <w:tcMar>
              <w:left w:w="29" w:type="dxa"/>
              <w:right w:w="58" w:type="dxa"/>
            </w:tcMar>
            <w:vAlign w:val="center"/>
          </w:tcPr>
          <w:p w14:paraId="01275F6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4,237</w:t>
            </w:r>
          </w:p>
        </w:tc>
        <w:tc>
          <w:tcPr>
            <w:tcW w:w="810" w:type="dxa"/>
            <w:shd w:val="clear" w:color="auto" w:fill="CCEAF9" w:themeFill="accent1" w:themeFillTint="33"/>
            <w:noWrap/>
            <w:tcMar>
              <w:left w:w="29" w:type="dxa"/>
              <w:right w:w="58" w:type="dxa"/>
            </w:tcMar>
            <w:vAlign w:val="center"/>
          </w:tcPr>
          <w:p w14:paraId="5E84E03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3,934</w:t>
            </w:r>
          </w:p>
        </w:tc>
        <w:tc>
          <w:tcPr>
            <w:tcW w:w="812" w:type="dxa"/>
            <w:shd w:val="clear" w:color="auto" w:fill="CCEAF9" w:themeFill="accent1" w:themeFillTint="33"/>
            <w:noWrap/>
            <w:tcMar>
              <w:left w:w="29" w:type="dxa"/>
              <w:right w:w="58" w:type="dxa"/>
            </w:tcMar>
            <w:vAlign w:val="center"/>
          </w:tcPr>
          <w:p w14:paraId="2A9A955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4,399</w:t>
            </w:r>
          </w:p>
        </w:tc>
        <w:tc>
          <w:tcPr>
            <w:tcW w:w="810" w:type="dxa"/>
            <w:shd w:val="clear" w:color="auto" w:fill="CCEAF9" w:themeFill="accent1" w:themeFillTint="33"/>
            <w:noWrap/>
            <w:tcMar>
              <w:left w:w="29" w:type="dxa"/>
              <w:right w:w="58" w:type="dxa"/>
            </w:tcMar>
            <w:vAlign w:val="center"/>
          </w:tcPr>
          <w:p w14:paraId="07601D7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4,118</w:t>
            </w:r>
          </w:p>
        </w:tc>
        <w:tc>
          <w:tcPr>
            <w:tcW w:w="596" w:type="dxa"/>
            <w:shd w:val="clear" w:color="auto" w:fill="CCEAF9" w:themeFill="accent1" w:themeFillTint="33"/>
            <w:noWrap/>
            <w:tcMar>
              <w:left w:w="29" w:type="dxa"/>
              <w:right w:w="58" w:type="dxa"/>
            </w:tcMar>
            <w:vAlign w:val="center"/>
          </w:tcPr>
          <w:p w14:paraId="0D576FE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6F4BE7" w:rsidRPr="006F4BE7" w14:paraId="1CD0555E" w14:textId="77777777" w:rsidTr="00C66F55">
        <w:trPr>
          <w:cantSplit/>
          <w:trHeight w:val="270"/>
          <w:jc w:val="center"/>
        </w:trPr>
        <w:tc>
          <w:tcPr>
            <w:tcW w:w="1172" w:type="dxa"/>
            <w:shd w:val="clear" w:color="auto" w:fill="FFFFFF"/>
            <w:noWrap/>
            <w:tcMar>
              <w:left w:w="58" w:type="dxa"/>
              <w:right w:w="29" w:type="dxa"/>
            </w:tcMar>
            <w:vAlign w:val="center"/>
          </w:tcPr>
          <w:p w14:paraId="4E0D058D"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CMA/NEMA</w:t>
            </w:r>
          </w:p>
        </w:tc>
        <w:tc>
          <w:tcPr>
            <w:tcW w:w="709" w:type="dxa"/>
            <w:shd w:val="clear" w:color="auto" w:fill="FFFFFF"/>
            <w:noWrap/>
            <w:tcMar>
              <w:left w:w="29" w:type="dxa"/>
              <w:right w:w="58" w:type="dxa"/>
            </w:tcMar>
            <w:vAlign w:val="center"/>
          </w:tcPr>
          <w:p w14:paraId="649ACB2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7,376</w:t>
            </w:r>
          </w:p>
        </w:tc>
        <w:tc>
          <w:tcPr>
            <w:tcW w:w="711" w:type="dxa"/>
            <w:shd w:val="clear" w:color="auto" w:fill="FFFFFF"/>
            <w:noWrap/>
            <w:tcMar>
              <w:left w:w="29" w:type="dxa"/>
              <w:right w:w="58" w:type="dxa"/>
            </w:tcMar>
            <w:vAlign w:val="center"/>
          </w:tcPr>
          <w:p w14:paraId="2170D50A"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6,997</w:t>
            </w:r>
          </w:p>
        </w:tc>
        <w:tc>
          <w:tcPr>
            <w:tcW w:w="680" w:type="dxa"/>
            <w:shd w:val="clear" w:color="auto" w:fill="FFFFFF"/>
            <w:noWrap/>
            <w:tcMar>
              <w:left w:w="29" w:type="dxa"/>
              <w:right w:w="58" w:type="dxa"/>
            </w:tcMar>
            <w:vAlign w:val="center"/>
          </w:tcPr>
          <w:p w14:paraId="00A99EC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14:paraId="063BF57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1,509</w:t>
            </w:r>
          </w:p>
        </w:tc>
        <w:tc>
          <w:tcPr>
            <w:tcW w:w="698" w:type="dxa"/>
            <w:shd w:val="clear" w:color="auto" w:fill="FFFFFF"/>
            <w:noWrap/>
            <w:tcMar>
              <w:left w:w="29" w:type="dxa"/>
              <w:right w:w="58" w:type="dxa"/>
            </w:tcMar>
            <w:vAlign w:val="center"/>
          </w:tcPr>
          <w:p w14:paraId="45453F55"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1,455</w:t>
            </w:r>
          </w:p>
        </w:tc>
        <w:tc>
          <w:tcPr>
            <w:tcW w:w="724" w:type="dxa"/>
            <w:shd w:val="clear" w:color="auto" w:fill="FFFFFF"/>
            <w:noWrap/>
            <w:tcMar>
              <w:left w:w="29" w:type="dxa"/>
              <w:right w:w="58" w:type="dxa"/>
            </w:tcMar>
            <w:vAlign w:val="center"/>
          </w:tcPr>
          <w:p w14:paraId="0C9B887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1,636</w:t>
            </w:r>
          </w:p>
        </w:tc>
        <w:tc>
          <w:tcPr>
            <w:tcW w:w="626" w:type="dxa"/>
            <w:shd w:val="clear" w:color="auto" w:fill="FFFFFF"/>
            <w:noWrap/>
            <w:tcMar>
              <w:left w:w="29" w:type="dxa"/>
              <w:right w:w="58" w:type="dxa"/>
            </w:tcMar>
            <w:vAlign w:val="center"/>
          </w:tcPr>
          <w:p w14:paraId="45CE0222"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1,606</w:t>
            </w:r>
          </w:p>
        </w:tc>
        <w:tc>
          <w:tcPr>
            <w:tcW w:w="630" w:type="dxa"/>
            <w:shd w:val="clear" w:color="auto" w:fill="FFFFFF"/>
            <w:noWrap/>
            <w:tcMar>
              <w:left w:w="29" w:type="dxa"/>
              <w:right w:w="58" w:type="dxa"/>
            </w:tcMar>
            <w:vAlign w:val="center"/>
          </w:tcPr>
          <w:p w14:paraId="0B34BD3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810" w:type="dxa"/>
            <w:shd w:val="clear" w:color="auto" w:fill="FFFFFF"/>
            <w:noWrap/>
            <w:tcMar>
              <w:left w:w="29" w:type="dxa"/>
              <w:right w:w="58" w:type="dxa"/>
            </w:tcMar>
            <w:vAlign w:val="center"/>
          </w:tcPr>
          <w:p w14:paraId="014B281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1,200</w:t>
            </w:r>
          </w:p>
        </w:tc>
        <w:tc>
          <w:tcPr>
            <w:tcW w:w="810" w:type="dxa"/>
            <w:shd w:val="clear" w:color="auto" w:fill="FFFFFF"/>
            <w:noWrap/>
            <w:tcMar>
              <w:left w:w="29" w:type="dxa"/>
              <w:right w:w="58" w:type="dxa"/>
            </w:tcMar>
            <w:vAlign w:val="center"/>
          </w:tcPr>
          <w:p w14:paraId="3B4ED18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1,106</w:t>
            </w:r>
          </w:p>
        </w:tc>
        <w:tc>
          <w:tcPr>
            <w:tcW w:w="812" w:type="dxa"/>
            <w:shd w:val="clear" w:color="auto" w:fill="FFFFFF"/>
            <w:noWrap/>
            <w:tcMar>
              <w:left w:w="29" w:type="dxa"/>
              <w:right w:w="58" w:type="dxa"/>
            </w:tcMar>
            <w:vAlign w:val="center"/>
          </w:tcPr>
          <w:p w14:paraId="59C8FE9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1,246</w:t>
            </w:r>
          </w:p>
        </w:tc>
        <w:tc>
          <w:tcPr>
            <w:tcW w:w="810" w:type="dxa"/>
            <w:shd w:val="clear" w:color="auto" w:fill="FFFFFF"/>
            <w:noWrap/>
            <w:tcMar>
              <w:left w:w="29" w:type="dxa"/>
              <w:right w:w="58" w:type="dxa"/>
            </w:tcMar>
            <w:vAlign w:val="center"/>
          </w:tcPr>
          <w:p w14:paraId="0EDB9DE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1,157</w:t>
            </w:r>
          </w:p>
        </w:tc>
        <w:tc>
          <w:tcPr>
            <w:tcW w:w="596" w:type="dxa"/>
            <w:shd w:val="clear" w:color="auto" w:fill="FFFFFF"/>
            <w:noWrap/>
            <w:tcMar>
              <w:left w:w="29" w:type="dxa"/>
              <w:right w:w="58" w:type="dxa"/>
            </w:tcMar>
            <w:vAlign w:val="center"/>
          </w:tcPr>
          <w:p w14:paraId="1A467A5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14:paraId="07DD6D5A" w14:textId="77777777" w:rsidTr="00C66F55">
        <w:trPr>
          <w:cantSplit/>
          <w:trHeight w:val="270"/>
          <w:jc w:val="center"/>
        </w:trPr>
        <w:tc>
          <w:tcPr>
            <w:tcW w:w="1172" w:type="dxa"/>
            <w:shd w:val="clear" w:color="auto" w:fill="CCEAF9" w:themeFill="accent1" w:themeFillTint="33"/>
            <w:noWrap/>
            <w:tcMar>
              <w:left w:w="58" w:type="dxa"/>
              <w:right w:w="29" w:type="dxa"/>
            </w:tcMar>
            <w:vAlign w:val="center"/>
          </w:tcPr>
          <w:p w14:paraId="7F67B0FD"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WMA</w:t>
            </w:r>
          </w:p>
        </w:tc>
        <w:tc>
          <w:tcPr>
            <w:tcW w:w="709" w:type="dxa"/>
            <w:shd w:val="clear" w:color="auto" w:fill="CCEAF9" w:themeFill="accent1" w:themeFillTint="33"/>
            <w:noWrap/>
            <w:tcMar>
              <w:left w:w="29" w:type="dxa"/>
              <w:right w:w="58" w:type="dxa"/>
            </w:tcMar>
            <w:vAlign w:val="center"/>
          </w:tcPr>
          <w:p w14:paraId="47FDE2C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8,850</w:t>
            </w:r>
          </w:p>
        </w:tc>
        <w:tc>
          <w:tcPr>
            <w:tcW w:w="711" w:type="dxa"/>
            <w:shd w:val="clear" w:color="auto" w:fill="CCEAF9" w:themeFill="accent1" w:themeFillTint="33"/>
            <w:noWrap/>
            <w:tcMar>
              <w:left w:w="29" w:type="dxa"/>
              <w:right w:w="58" w:type="dxa"/>
            </w:tcMar>
            <w:vAlign w:val="center"/>
          </w:tcPr>
          <w:p w14:paraId="71F2CD4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8,008</w:t>
            </w:r>
          </w:p>
        </w:tc>
        <w:tc>
          <w:tcPr>
            <w:tcW w:w="680" w:type="dxa"/>
            <w:shd w:val="clear" w:color="auto" w:fill="CCEAF9" w:themeFill="accent1" w:themeFillTint="33"/>
            <w:noWrap/>
            <w:tcMar>
              <w:left w:w="29" w:type="dxa"/>
              <w:right w:w="58" w:type="dxa"/>
            </w:tcMar>
            <w:vAlign w:val="center"/>
          </w:tcPr>
          <w:p w14:paraId="0ABA11D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1.1</w:t>
            </w:r>
          </w:p>
        </w:tc>
        <w:tc>
          <w:tcPr>
            <w:tcW w:w="742" w:type="dxa"/>
            <w:shd w:val="clear" w:color="auto" w:fill="CCEAF9" w:themeFill="accent1" w:themeFillTint="33"/>
            <w:noWrap/>
            <w:tcMar>
              <w:left w:w="29" w:type="dxa"/>
              <w:right w:w="58" w:type="dxa"/>
            </w:tcMar>
            <w:vAlign w:val="center"/>
          </w:tcPr>
          <w:p w14:paraId="1F4AE7BB"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1,798</w:t>
            </w:r>
          </w:p>
        </w:tc>
        <w:tc>
          <w:tcPr>
            <w:tcW w:w="698" w:type="dxa"/>
            <w:shd w:val="clear" w:color="auto" w:fill="CCEAF9" w:themeFill="accent1" w:themeFillTint="33"/>
            <w:noWrap/>
            <w:tcMar>
              <w:left w:w="29" w:type="dxa"/>
              <w:right w:w="58" w:type="dxa"/>
            </w:tcMar>
            <w:vAlign w:val="center"/>
          </w:tcPr>
          <w:p w14:paraId="17A8B22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724" w:type="dxa"/>
            <w:shd w:val="clear" w:color="auto" w:fill="CCEAF9" w:themeFill="accent1" w:themeFillTint="33"/>
            <w:noWrap/>
            <w:tcMar>
              <w:left w:w="29" w:type="dxa"/>
              <w:right w:w="58" w:type="dxa"/>
            </w:tcMar>
            <w:vAlign w:val="center"/>
          </w:tcPr>
          <w:p w14:paraId="3DC62A2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1,953</w:t>
            </w:r>
          </w:p>
        </w:tc>
        <w:tc>
          <w:tcPr>
            <w:tcW w:w="626" w:type="dxa"/>
            <w:shd w:val="clear" w:color="auto" w:fill="CCEAF9" w:themeFill="accent1" w:themeFillTint="33"/>
            <w:noWrap/>
            <w:tcMar>
              <w:left w:w="29" w:type="dxa"/>
              <w:right w:w="58" w:type="dxa"/>
            </w:tcMar>
            <w:vAlign w:val="center"/>
          </w:tcPr>
          <w:p w14:paraId="764BDA4E"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1,875</w:t>
            </w:r>
          </w:p>
        </w:tc>
        <w:tc>
          <w:tcPr>
            <w:tcW w:w="630" w:type="dxa"/>
            <w:shd w:val="clear" w:color="auto" w:fill="CCEAF9" w:themeFill="accent1" w:themeFillTint="33"/>
            <w:noWrap/>
            <w:tcMar>
              <w:left w:w="29" w:type="dxa"/>
              <w:right w:w="58" w:type="dxa"/>
            </w:tcMar>
            <w:vAlign w:val="center"/>
          </w:tcPr>
          <w:p w14:paraId="5702CEC2"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CCEAF9" w:themeFill="accent1" w:themeFillTint="33"/>
            <w:noWrap/>
            <w:tcMar>
              <w:left w:w="29" w:type="dxa"/>
              <w:right w:w="58" w:type="dxa"/>
            </w:tcMar>
            <w:vAlign w:val="center"/>
          </w:tcPr>
          <w:p w14:paraId="21C2BC0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1,593</w:t>
            </w:r>
          </w:p>
        </w:tc>
        <w:tc>
          <w:tcPr>
            <w:tcW w:w="810" w:type="dxa"/>
            <w:shd w:val="clear" w:color="auto" w:fill="CCEAF9" w:themeFill="accent1" w:themeFillTint="33"/>
            <w:noWrap/>
            <w:tcMar>
              <w:left w:w="29" w:type="dxa"/>
              <w:right w:w="58" w:type="dxa"/>
            </w:tcMar>
            <w:vAlign w:val="center"/>
          </w:tcPr>
          <w:p w14:paraId="46B3F9F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1,471</w:t>
            </w:r>
          </w:p>
        </w:tc>
        <w:tc>
          <w:tcPr>
            <w:tcW w:w="812" w:type="dxa"/>
            <w:shd w:val="clear" w:color="auto" w:fill="CCEAF9" w:themeFill="accent1" w:themeFillTint="33"/>
            <w:noWrap/>
            <w:tcMar>
              <w:left w:w="29" w:type="dxa"/>
              <w:right w:w="58" w:type="dxa"/>
            </w:tcMar>
            <w:vAlign w:val="center"/>
          </w:tcPr>
          <w:p w14:paraId="01892CA9"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1,654</w:t>
            </w:r>
          </w:p>
        </w:tc>
        <w:tc>
          <w:tcPr>
            <w:tcW w:w="810" w:type="dxa"/>
            <w:shd w:val="clear" w:color="auto" w:fill="CCEAF9" w:themeFill="accent1" w:themeFillTint="33"/>
            <w:noWrap/>
            <w:tcMar>
              <w:left w:w="29" w:type="dxa"/>
              <w:right w:w="58" w:type="dxa"/>
            </w:tcMar>
            <w:vAlign w:val="center"/>
          </w:tcPr>
          <w:p w14:paraId="0682FE2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1,538</w:t>
            </w:r>
          </w:p>
        </w:tc>
        <w:tc>
          <w:tcPr>
            <w:tcW w:w="596" w:type="dxa"/>
            <w:shd w:val="clear" w:color="auto" w:fill="CCEAF9" w:themeFill="accent1" w:themeFillTint="33"/>
            <w:noWrap/>
            <w:tcMar>
              <w:left w:w="29" w:type="dxa"/>
              <w:right w:w="58" w:type="dxa"/>
            </w:tcMar>
            <w:vAlign w:val="center"/>
          </w:tcPr>
          <w:p w14:paraId="6A5CDED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0.9</w:t>
            </w:r>
          </w:p>
        </w:tc>
      </w:tr>
      <w:tr w:rsidR="006F4BE7" w:rsidRPr="006F4BE7" w14:paraId="52326743" w14:textId="77777777" w:rsidTr="00C66F55">
        <w:trPr>
          <w:cantSplit/>
          <w:trHeight w:val="270"/>
          <w:jc w:val="center"/>
        </w:trPr>
        <w:tc>
          <w:tcPr>
            <w:tcW w:w="1172" w:type="dxa"/>
            <w:shd w:val="clear" w:color="auto" w:fill="FFFFFF"/>
            <w:noWrap/>
            <w:tcMar>
              <w:left w:w="58" w:type="dxa"/>
              <w:right w:w="29" w:type="dxa"/>
            </w:tcMar>
            <w:vAlign w:val="center"/>
          </w:tcPr>
          <w:p w14:paraId="54B8D35C" w14:textId="77777777" w:rsidR="006F4BE7" w:rsidRPr="006F4BE7" w:rsidRDefault="006F4BE7"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SEMA</w:t>
            </w:r>
          </w:p>
        </w:tc>
        <w:tc>
          <w:tcPr>
            <w:tcW w:w="709" w:type="dxa"/>
            <w:shd w:val="clear" w:color="auto" w:fill="FFFFFF"/>
            <w:noWrap/>
            <w:tcMar>
              <w:left w:w="29" w:type="dxa"/>
              <w:right w:w="58" w:type="dxa"/>
            </w:tcMar>
            <w:vAlign w:val="center"/>
          </w:tcPr>
          <w:p w14:paraId="51915D1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CF2B8B">
              <w:rPr>
                <w:rFonts w:ascii="Calibri" w:hAnsi="Calibri"/>
                <w:sz w:val="18"/>
                <w:szCs w:val="18"/>
              </w:rPr>
              <w:t>12,971</w:t>
            </w:r>
          </w:p>
        </w:tc>
        <w:tc>
          <w:tcPr>
            <w:tcW w:w="711" w:type="dxa"/>
            <w:shd w:val="clear" w:color="auto" w:fill="FFFFFF"/>
            <w:noWrap/>
            <w:tcMar>
              <w:left w:w="29" w:type="dxa"/>
              <w:right w:w="58" w:type="dxa"/>
            </w:tcMar>
            <w:vAlign w:val="center"/>
          </w:tcPr>
          <w:p w14:paraId="50AC3D8D"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11,863</w:t>
            </w:r>
          </w:p>
        </w:tc>
        <w:tc>
          <w:tcPr>
            <w:tcW w:w="680" w:type="dxa"/>
            <w:shd w:val="clear" w:color="auto" w:fill="FFFFFF"/>
            <w:noWrap/>
            <w:tcMar>
              <w:left w:w="29" w:type="dxa"/>
              <w:right w:w="58" w:type="dxa"/>
            </w:tcMar>
            <w:vAlign w:val="center"/>
          </w:tcPr>
          <w:p w14:paraId="7AC2250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c>
          <w:tcPr>
            <w:tcW w:w="742" w:type="dxa"/>
            <w:shd w:val="clear" w:color="auto" w:fill="FFFFFF"/>
            <w:noWrap/>
            <w:tcMar>
              <w:left w:w="29" w:type="dxa"/>
              <w:right w:w="58" w:type="dxa"/>
            </w:tcMar>
            <w:vAlign w:val="center"/>
          </w:tcPr>
          <w:p w14:paraId="0513A9CF"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2,672</w:t>
            </w:r>
          </w:p>
        </w:tc>
        <w:tc>
          <w:tcPr>
            <w:tcW w:w="698" w:type="dxa"/>
            <w:shd w:val="clear" w:color="auto" w:fill="FFFFFF"/>
            <w:noWrap/>
            <w:tcMar>
              <w:left w:w="29" w:type="dxa"/>
              <w:right w:w="58" w:type="dxa"/>
            </w:tcMar>
            <w:vAlign w:val="center"/>
          </w:tcPr>
          <w:p w14:paraId="5E660E17"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2,514</w:t>
            </w:r>
          </w:p>
        </w:tc>
        <w:tc>
          <w:tcPr>
            <w:tcW w:w="724" w:type="dxa"/>
            <w:shd w:val="clear" w:color="auto" w:fill="FFFFFF"/>
            <w:noWrap/>
            <w:tcMar>
              <w:left w:w="29" w:type="dxa"/>
              <w:right w:w="58" w:type="dxa"/>
            </w:tcMar>
            <w:vAlign w:val="center"/>
          </w:tcPr>
          <w:p w14:paraId="0C37626C"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2,907</w:t>
            </w:r>
          </w:p>
        </w:tc>
        <w:tc>
          <w:tcPr>
            <w:tcW w:w="626" w:type="dxa"/>
            <w:shd w:val="clear" w:color="auto" w:fill="FFFFFF"/>
            <w:noWrap/>
            <w:tcMar>
              <w:left w:w="29" w:type="dxa"/>
              <w:right w:w="58" w:type="dxa"/>
            </w:tcMar>
            <w:vAlign w:val="center"/>
          </w:tcPr>
          <w:p w14:paraId="43C78973"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2,789</w:t>
            </w:r>
          </w:p>
        </w:tc>
        <w:tc>
          <w:tcPr>
            <w:tcW w:w="630" w:type="dxa"/>
            <w:shd w:val="clear" w:color="auto" w:fill="FFFFFF"/>
            <w:noWrap/>
            <w:tcMar>
              <w:left w:w="29" w:type="dxa"/>
              <w:right w:w="58" w:type="dxa"/>
            </w:tcMar>
            <w:vAlign w:val="center"/>
          </w:tcPr>
          <w:p w14:paraId="58F0CDCD"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c>
          <w:tcPr>
            <w:tcW w:w="810" w:type="dxa"/>
            <w:shd w:val="clear" w:color="auto" w:fill="FFFFFF"/>
            <w:noWrap/>
            <w:tcMar>
              <w:left w:w="29" w:type="dxa"/>
              <w:right w:w="58" w:type="dxa"/>
            </w:tcMar>
            <w:vAlign w:val="center"/>
          </w:tcPr>
          <w:p w14:paraId="29142730"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2,069</w:t>
            </w:r>
          </w:p>
        </w:tc>
        <w:tc>
          <w:tcPr>
            <w:tcW w:w="810" w:type="dxa"/>
            <w:shd w:val="clear" w:color="auto" w:fill="FFFFFF"/>
            <w:noWrap/>
            <w:tcMar>
              <w:left w:w="29" w:type="dxa"/>
              <w:right w:w="58" w:type="dxa"/>
            </w:tcMar>
            <w:vAlign w:val="center"/>
          </w:tcPr>
          <w:p w14:paraId="05301DA1"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1,921</w:t>
            </w:r>
          </w:p>
        </w:tc>
        <w:tc>
          <w:tcPr>
            <w:tcW w:w="812" w:type="dxa"/>
            <w:shd w:val="clear" w:color="auto" w:fill="FFFFFF"/>
            <w:noWrap/>
            <w:tcMar>
              <w:left w:w="29" w:type="dxa"/>
              <w:right w:w="58" w:type="dxa"/>
            </w:tcMar>
            <w:vAlign w:val="center"/>
          </w:tcPr>
          <w:p w14:paraId="21ED5E04"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2,147</w:t>
            </w:r>
          </w:p>
        </w:tc>
        <w:tc>
          <w:tcPr>
            <w:tcW w:w="810" w:type="dxa"/>
            <w:shd w:val="clear" w:color="auto" w:fill="FFFFFF"/>
            <w:noWrap/>
            <w:tcMar>
              <w:left w:w="29" w:type="dxa"/>
              <w:right w:w="58" w:type="dxa"/>
            </w:tcMar>
            <w:vAlign w:val="center"/>
          </w:tcPr>
          <w:p w14:paraId="2A3C7F98"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2,011</w:t>
            </w:r>
          </w:p>
        </w:tc>
        <w:tc>
          <w:tcPr>
            <w:tcW w:w="596" w:type="dxa"/>
            <w:shd w:val="clear" w:color="auto" w:fill="FFFFFF"/>
            <w:noWrap/>
            <w:tcMar>
              <w:left w:w="29" w:type="dxa"/>
              <w:right w:w="58" w:type="dxa"/>
            </w:tcMar>
            <w:vAlign w:val="center"/>
          </w:tcPr>
          <w:p w14:paraId="6DF7B046" w14:textId="77777777" w:rsidR="006F4BE7" w:rsidRPr="006F4BE7" w:rsidRDefault="006F4BE7"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14:paraId="31E40336" w14:textId="77777777" w:rsidTr="00C66F55">
        <w:trPr>
          <w:cantSplit/>
          <w:trHeight w:val="270"/>
          <w:jc w:val="center"/>
        </w:trPr>
        <w:tc>
          <w:tcPr>
            <w:tcW w:w="1172" w:type="dxa"/>
            <w:shd w:val="clear" w:color="auto" w:fill="CCEAF9" w:themeFill="accent1" w:themeFillTint="33"/>
            <w:noWrap/>
            <w:tcMar>
              <w:left w:w="58" w:type="dxa"/>
              <w:right w:w="29" w:type="dxa"/>
            </w:tcMar>
            <w:vAlign w:val="center"/>
          </w:tcPr>
          <w:p w14:paraId="72B05CAA" w14:textId="77777777" w:rsidR="001B1F4D" w:rsidRPr="006F4BE7" w:rsidRDefault="001B1F4D"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RI</w:t>
            </w:r>
          </w:p>
        </w:tc>
        <w:tc>
          <w:tcPr>
            <w:tcW w:w="709" w:type="dxa"/>
            <w:shd w:val="clear" w:color="auto" w:fill="CCEAF9" w:themeFill="accent1" w:themeFillTint="33"/>
            <w:noWrap/>
            <w:tcMar>
              <w:left w:w="29" w:type="dxa"/>
              <w:right w:w="58" w:type="dxa"/>
            </w:tcMar>
            <w:vAlign w:val="center"/>
          </w:tcPr>
          <w:p w14:paraId="72DFD21A"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10,893</w:t>
            </w:r>
          </w:p>
        </w:tc>
        <w:tc>
          <w:tcPr>
            <w:tcW w:w="711" w:type="dxa"/>
            <w:shd w:val="clear" w:color="auto" w:fill="CCEAF9" w:themeFill="accent1" w:themeFillTint="33"/>
            <w:noWrap/>
            <w:tcMar>
              <w:left w:w="29" w:type="dxa"/>
              <w:right w:w="58" w:type="dxa"/>
            </w:tcMar>
            <w:vAlign w:val="center"/>
          </w:tcPr>
          <w:p w14:paraId="0F8C2277"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10,113</w:t>
            </w:r>
          </w:p>
        </w:tc>
        <w:tc>
          <w:tcPr>
            <w:tcW w:w="680" w:type="dxa"/>
            <w:shd w:val="clear" w:color="auto" w:fill="CCEAF9" w:themeFill="accent1" w:themeFillTint="33"/>
            <w:noWrap/>
            <w:tcMar>
              <w:left w:w="29" w:type="dxa"/>
              <w:right w:w="58" w:type="dxa"/>
            </w:tcMar>
            <w:vAlign w:val="center"/>
          </w:tcPr>
          <w:p w14:paraId="0E12DBD1"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742" w:type="dxa"/>
            <w:shd w:val="clear" w:color="auto" w:fill="CCEAF9" w:themeFill="accent1" w:themeFillTint="33"/>
            <w:noWrap/>
            <w:tcMar>
              <w:left w:w="29" w:type="dxa"/>
              <w:right w:w="58" w:type="dxa"/>
            </w:tcMar>
            <w:vAlign w:val="center"/>
          </w:tcPr>
          <w:p w14:paraId="0487975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2,458</w:t>
            </w:r>
          </w:p>
        </w:tc>
        <w:tc>
          <w:tcPr>
            <w:tcW w:w="698" w:type="dxa"/>
            <w:shd w:val="clear" w:color="auto" w:fill="CCEAF9" w:themeFill="accent1" w:themeFillTint="33"/>
            <w:noWrap/>
            <w:tcMar>
              <w:left w:w="29" w:type="dxa"/>
              <w:right w:w="58" w:type="dxa"/>
            </w:tcMar>
            <w:vAlign w:val="center"/>
          </w:tcPr>
          <w:p w14:paraId="60C5200B"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2,402</w:t>
            </w:r>
          </w:p>
        </w:tc>
        <w:tc>
          <w:tcPr>
            <w:tcW w:w="724" w:type="dxa"/>
            <w:shd w:val="clear" w:color="auto" w:fill="CCEAF9" w:themeFill="accent1" w:themeFillTint="33"/>
            <w:noWrap/>
            <w:tcMar>
              <w:left w:w="29" w:type="dxa"/>
              <w:right w:w="58" w:type="dxa"/>
            </w:tcMar>
            <w:vAlign w:val="center"/>
          </w:tcPr>
          <w:p w14:paraId="056B3E7C"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2,701</w:t>
            </w:r>
          </w:p>
        </w:tc>
        <w:tc>
          <w:tcPr>
            <w:tcW w:w="626" w:type="dxa"/>
            <w:shd w:val="clear" w:color="auto" w:fill="CCEAF9" w:themeFill="accent1" w:themeFillTint="33"/>
            <w:noWrap/>
            <w:tcMar>
              <w:left w:w="29" w:type="dxa"/>
              <w:right w:w="58" w:type="dxa"/>
            </w:tcMar>
            <w:vAlign w:val="center"/>
          </w:tcPr>
          <w:p w14:paraId="7E48D18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2,700</w:t>
            </w:r>
          </w:p>
        </w:tc>
        <w:tc>
          <w:tcPr>
            <w:tcW w:w="630" w:type="dxa"/>
            <w:shd w:val="clear" w:color="auto" w:fill="CCEAF9" w:themeFill="accent1" w:themeFillTint="33"/>
            <w:noWrap/>
            <w:tcMar>
              <w:left w:w="29" w:type="dxa"/>
              <w:right w:w="58" w:type="dxa"/>
            </w:tcMar>
            <w:vAlign w:val="center"/>
          </w:tcPr>
          <w:p w14:paraId="4A9AB72E"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CCEAF9" w:themeFill="accent1" w:themeFillTint="33"/>
            <w:noWrap/>
            <w:tcMar>
              <w:left w:w="29" w:type="dxa"/>
              <w:right w:w="58" w:type="dxa"/>
            </w:tcMar>
            <w:vAlign w:val="center"/>
          </w:tcPr>
          <w:p w14:paraId="2C722DDD"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1,736</w:t>
            </w:r>
          </w:p>
        </w:tc>
        <w:tc>
          <w:tcPr>
            <w:tcW w:w="810" w:type="dxa"/>
            <w:shd w:val="clear" w:color="auto" w:fill="CCEAF9" w:themeFill="accent1" w:themeFillTint="33"/>
            <w:noWrap/>
            <w:tcMar>
              <w:left w:w="29" w:type="dxa"/>
              <w:right w:w="58" w:type="dxa"/>
            </w:tcMar>
            <w:vAlign w:val="center"/>
          </w:tcPr>
          <w:p w14:paraId="33563C12"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1,589</w:t>
            </w:r>
          </w:p>
        </w:tc>
        <w:tc>
          <w:tcPr>
            <w:tcW w:w="812" w:type="dxa"/>
            <w:shd w:val="clear" w:color="auto" w:fill="CCEAF9" w:themeFill="accent1" w:themeFillTint="33"/>
            <w:noWrap/>
            <w:tcMar>
              <w:left w:w="29" w:type="dxa"/>
              <w:right w:w="58" w:type="dxa"/>
            </w:tcMar>
            <w:vAlign w:val="center"/>
          </w:tcPr>
          <w:p w14:paraId="0E4B4EA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1,794</w:t>
            </w:r>
          </w:p>
        </w:tc>
        <w:tc>
          <w:tcPr>
            <w:tcW w:w="810" w:type="dxa"/>
            <w:shd w:val="clear" w:color="auto" w:fill="CCEAF9" w:themeFill="accent1" w:themeFillTint="33"/>
            <w:noWrap/>
            <w:tcMar>
              <w:left w:w="29" w:type="dxa"/>
              <w:right w:w="58" w:type="dxa"/>
            </w:tcMar>
            <w:vAlign w:val="center"/>
          </w:tcPr>
          <w:p w14:paraId="7A14A3B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1,657</w:t>
            </w:r>
          </w:p>
        </w:tc>
        <w:tc>
          <w:tcPr>
            <w:tcW w:w="596" w:type="dxa"/>
            <w:shd w:val="clear" w:color="auto" w:fill="CCEAF9" w:themeFill="accent1" w:themeFillTint="33"/>
            <w:noWrap/>
            <w:tcMar>
              <w:left w:w="29" w:type="dxa"/>
              <w:right w:w="58" w:type="dxa"/>
            </w:tcMar>
            <w:vAlign w:val="center"/>
          </w:tcPr>
          <w:p w14:paraId="04D9C840"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1.0</w:t>
            </w:r>
          </w:p>
        </w:tc>
      </w:tr>
      <w:tr w:rsidR="001B1F4D" w:rsidRPr="006F4BE7" w14:paraId="1B0D83CF" w14:textId="77777777" w:rsidTr="00C66F55">
        <w:trPr>
          <w:cantSplit/>
          <w:trHeight w:val="270"/>
          <w:jc w:val="center"/>
        </w:trPr>
        <w:tc>
          <w:tcPr>
            <w:tcW w:w="1172" w:type="dxa"/>
            <w:shd w:val="clear" w:color="auto" w:fill="FFFFFF"/>
            <w:noWrap/>
            <w:tcMar>
              <w:left w:w="58" w:type="dxa"/>
              <w:right w:w="29" w:type="dxa"/>
            </w:tcMar>
            <w:vAlign w:val="center"/>
          </w:tcPr>
          <w:p w14:paraId="135BFECB" w14:textId="77777777" w:rsidR="001B1F4D" w:rsidRPr="006F4BE7" w:rsidRDefault="001B1F4D"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CT</w:t>
            </w:r>
          </w:p>
        </w:tc>
        <w:tc>
          <w:tcPr>
            <w:tcW w:w="709" w:type="dxa"/>
            <w:shd w:val="clear" w:color="auto" w:fill="FFFFFF"/>
            <w:noWrap/>
            <w:tcMar>
              <w:left w:w="29" w:type="dxa"/>
              <w:right w:w="58" w:type="dxa"/>
            </w:tcMar>
            <w:vAlign w:val="center"/>
          </w:tcPr>
          <w:p w14:paraId="4B4A72DC"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14,336</w:t>
            </w:r>
          </w:p>
        </w:tc>
        <w:tc>
          <w:tcPr>
            <w:tcW w:w="711" w:type="dxa"/>
            <w:shd w:val="clear" w:color="auto" w:fill="FFFFFF"/>
            <w:noWrap/>
            <w:tcMar>
              <w:left w:w="29" w:type="dxa"/>
              <w:right w:w="58" w:type="dxa"/>
            </w:tcMar>
            <w:vAlign w:val="center"/>
          </w:tcPr>
          <w:p w14:paraId="022535D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13,632</w:t>
            </w:r>
          </w:p>
        </w:tc>
        <w:tc>
          <w:tcPr>
            <w:tcW w:w="680" w:type="dxa"/>
            <w:shd w:val="clear" w:color="auto" w:fill="FFFFFF"/>
            <w:noWrap/>
            <w:tcMar>
              <w:left w:w="29" w:type="dxa"/>
              <w:right w:w="58" w:type="dxa"/>
            </w:tcMar>
            <w:vAlign w:val="center"/>
          </w:tcPr>
          <w:p w14:paraId="688F63BA"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0.6</w:t>
            </w:r>
          </w:p>
        </w:tc>
        <w:tc>
          <w:tcPr>
            <w:tcW w:w="742" w:type="dxa"/>
            <w:shd w:val="clear" w:color="auto" w:fill="FFFFFF"/>
            <w:noWrap/>
            <w:tcMar>
              <w:left w:w="29" w:type="dxa"/>
              <w:right w:w="58" w:type="dxa"/>
            </w:tcMar>
            <w:vAlign w:val="center"/>
          </w:tcPr>
          <w:p w14:paraId="5FF1C29E"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3,073</w:t>
            </w:r>
          </w:p>
        </w:tc>
        <w:tc>
          <w:tcPr>
            <w:tcW w:w="698" w:type="dxa"/>
            <w:shd w:val="clear" w:color="auto" w:fill="FFFFFF"/>
            <w:noWrap/>
            <w:tcMar>
              <w:left w:w="29" w:type="dxa"/>
              <w:right w:w="58" w:type="dxa"/>
            </w:tcMar>
            <w:vAlign w:val="center"/>
          </w:tcPr>
          <w:p w14:paraId="58C4156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2,865</w:t>
            </w:r>
          </w:p>
        </w:tc>
        <w:tc>
          <w:tcPr>
            <w:tcW w:w="724" w:type="dxa"/>
            <w:shd w:val="clear" w:color="auto" w:fill="FFFFFF"/>
            <w:noWrap/>
            <w:tcMar>
              <w:left w:w="29" w:type="dxa"/>
              <w:right w:w="58" w:type="dxa"/>
            </w:tcMar>
            <w:vAlign w:val="center"/>
          </w:tcPr>
          <w:p w14:paraId="7575900A"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3,270</w:t>
            </w:r>
          </w:p>
        </w:tc>
        <w:tc>
          <w:tcPr>
            <w:tcW w:w="626" w:type="dxa"/>
            <w:shd w:val="clear" w:color="auto" w:fill="FFFFFF"/>
            <w:noWrap/>
            <w:tcMar>
              <w:left w:w="29" w:type="dxa"/>
              <w:right w:w="58" w:type="dxa"/>
            </w:tcMar>
            <w:vAlign w:val="center"/>
          </w:tcPr>
          <w:p w14:paraId="3A23D35C"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3,068</w:t>
            </w:r>
          </w:p>
        </w:tc>
        <w:tc>
          <w:tcPr>
            <w:tcW w:w="630" w:type="dxa"/>
            <w:shd w:val="clear" w:color="auto" w:fill="FFFFFF"/>
            <w:noWrap/>
            <w:tcMar>
              <w:left w:w="29" w:type="dxa"/>
              <w:right w:w="58" w:type="dxa"/>
            </w:tcMar>
            <w:vAlign w:val="center"/>
          </w:tcPr>
          <w:p w14:paraId="0B70307D"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FFFFFF"/>
            <w:noWrap/>
            <w:tcMar>
              <w:left w:w="29" w:type="dxa"/>
              <w:right w:w="58" w:type="dxa"/>
            </w:tcMar>
            <w:vAlign w:val="center"/>
          </w:tcPr>
          <w:p w14:paraId="6A00EA7F"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2,429</w:t>
            </w:r>
          </w:p>
        </w:tc>
        <w:tc>
          <w:tcPr>
            <w:tcW w:w="810" w:type="dxa"/>
            <w:shd w:val="clear" w:color="auto" w:fill="FFFFFF"/>
            <w:noWrap/>
            <w:tcMar>
              <w:left w:w="29" w:type="dxa"/>
              <w:right w:w="58" w:type="dxa"/>
            </w:tcMar>
            <w:vAlign w:val="center"/>
          </w:tcPr>
          <w:p w14:paraId="40310817"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2,268</w:t>
            </w:r>
          </w:p>
        </w:tc>
        <w:tc>
          <w:tcPr>
            <w:tcW w:w="812" w:type="dxa"/>
            <w:shd w:val="clear" w:color="auto" w:fill="FFFFFF"/>
            <w:noWrap/>
            <w:tcMar>
              <w:left w:w="29" w:type="dxa"/>
              <w:right w:w="58" w:type="dxa"/>
            </w:tcMar>
            <w:vAlign w:val="center"/>
          </w:tcPr>
          <w:p w14:paraId="3410412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2,505</w:t>
            </w:r>
          </w:p>
        </w:tc>
        <w:tc>
          <w:tcPr>
            <w:tcW w:w="810" w:type="dxa"/>
            <w:shd w:val="clear" w:color="auto" w:fill="FFFFFF"/>
            <w:noWrap/>
            <w:tcMar>
              <w:left w:w="29" w:type="dxa"/>
              <w:right w:w="58" w:type="dxa"/>
            </w:tcMar>
            <w:vAlign w:val="center"/>
          </w:tcPr>
          <w:p w14:paraId="6EA07D76"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2,347</w:t>
            </w:r>
          </w:p>
        </w:tc>
        <w:tc>
          <w:tcPr>
            <w:tcW w:w="596" w:type="dxa"/>
            <w:shd w:val="clear" w:color="auto" w:fill="FFFFFF"/>
            <w:noWrap/>
            <w:tcMar>
              <w:left w:w="29" w:type="dxa"/>
              <w:right w:w="58" w:type="dxa"/>
            </w:tcMar>
            <w:vAlign w:val="center"/>
          </w:tcPr>
          <w:p w14:paraId="1DFA013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r>
      <w:tr w:rsidR="001B1F4D" w:rsidRPr="006F4BE7" w14:paraId="714A3316" w14:textId="77777777" w:rsidTr="00C66F55">
        <w:trPr>
          <w:cantSplit/>
          <w:trHeight w:val="270"/>
          <w:jc w:val="center"/>
        </w:trPr>
        <w:tc>
          <w:tcPr>
            <w:tcW w:w="1172" w:type="dxa"/>
            <w:shd w:val="clear" w:color="auto" w:fill="CCEAF9" w:themeFill="accent1" w:themeFillTint="33"/>
            <w:noWrap/>
            <w:tcMar>
              <w:left w:w="58" w:type="dxa"/>
              <w:right w:w="29" w:type="dxa"/>
            </w:tcMar>
            <w:vAlign w:val="center"/>
          </w:tcPr>
          <w:p w14:paraId="70865418" w14:textId="77777777" w:rsidR="001B1F4D" w:rsidRPr="006F4BE7" w:rsidRDefault="001B1F4D"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SWCT</w:t>
            </w:r>
          </w:p>
        </w:tc>
        <w:tc>
          <w:tcPr>
            <w:tcW w:w="709" w:type="dxa"/>
            <w:shd w:val="clear" w:color="auto" w:fill="CCEAF9" w:themeFill="accent1" w:themeFillTint="33"/>
            <w:noWrap/>
            <w:tcMar>
              <w:left w:w="29" w:type="dxa"/>
              <w:right w:w="58" w:type="dxa"/>
            </w:tcMar>
            <w:vAlign w:val="center"/>
          </w:tcPr>
          <w:p w14:paraId="6C5509E3"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9,717</w:t>
            </w:r>
          </w:p>
        </w:tc>
        <w:tc>
          <w:tcPr>
            <w:tcW w:w="711" w:type="dxa"/>
            <w:shd w:val="clear" w:color="auto" w:fill="CCEAF9" w:themeFill="accent1" w:themeFillTint="33"/>
            <w:noWrap/>
            <w:tcMar>
              <w:left w:w="29" w:type="dxa"/>
              <w:right w:w="58" w:type="dxa"/>
            </w:tcMar>
            <w:vAlign w:val="center"/>
          </w:tcPr>
          <w:p w14:paraId="15693C55"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9,370</w:t>
            </w:r>
          </w:p>
        </w:tc>
        <w:tc>
          <w:tcPr>
            <w:tcW w:w="680" w:type="dxa"/>
            <w:shd w:val="clear" w:color="auto" w:fill="CCEAF9" w:themeFill="accent1" w:themeFillTint="33"/>
            <w:noWrap/>
            <w:tcMar>
              <w:left w:w="29" w:type="dxa"/>
              <w:right w:w="58" w:type="dxa"/>
            </w:tcMar>
            <w:vAlign w:val="center"/>
          </w:tcPr>
          <w:p w14:paraId="013C4DE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0.4</w:t>
            </w:r>
          </w:p>
        </w:tc>
        <w:tc>
          <w:tcPr>
            <w:tcW w:w="742" w:type="dxa"/>
            <w:shd w:val="clear" w:color="auto" w:fill="CCEAF9" w:themeFill="accent1" w:themeFillTint="33"/>
            <w:noWrap/>
            <w:tcMar>
              <w:left w:w="29" w:type="dxa"/>
              <w:right w:w="58" w:type="dxa"/>
            </w:tcMar>
            <w:vAlign w:val="center"/>
          </w:tcPr>
          <w:p w14:paraId="0184E279"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2,086</w:t>
            </w:r>
          </w:p>
        </w:tc>
        <w:tc>
          <w:tcPr>
            <w:tcW w:w="698" w:type="dxa"/>
            <w:shd w:val="clear" w:color="auto" w:fill="CCEAF9" w:themeFill="accent1" w:themeFillTint="33"/>
            <w:noWrap/>
            <w:tcMar>
              <w:left w:w="29" w:type="dxa"/>
              <w:right w:w="58" w:type="dxa"/>
            </w:tcMar>
            <w:vAlign w:val="center"/>
          </w:tcPr>
          <w:p w14:paraId="61F0E9BD"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1,969</w:t>
            </w:r>
          </w:p>
        </w:tc>
        <w:tc>
          <w:tcPr>
            <w:tcW w:w="724" w:type="dxa"/>
            <w:shd w:val="clear" w:color="auto" w:fill="CCEAF9" w:themeFill="accent1" w:themeFillTint="33"/>
            <w:noWrap/>
            <w:tcMar>
              <w:left w:w="29" w:type="dxa"/>
              <w:right w:w="58" w:type="dxa"/>
            </w:tcMar>
            <w:vAlign w:val="center"/>
          </w:tcPr>
          <w:p w14:paraId="7243DC52"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2,219</w:t>
            </w:r>
          </w:p>
        </w:tc>
        <w:tc>
          <w:tcPr>
            <w:tcW w:w="626" w:type="dxa"/>
            <w:shd w:val="clear" w:color="auto" w:fill="CCEAF9" w:themeFill="accent1" w:themeFillTint="33"/>
            <w:noWrap/>
            <w:tcMar>
              <w:left w:w="29" w:type="dxa"/>
              <w:right w:w="58" w:type="dxa"/>
            </w:tcMar>
            <w:vAlign w:val="center"/>
          </w:tcPr>
          <w:p w14:paraId="30683385"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2,106</w:t>
            </w:r>
          </w:p>
        </w:tc>
        <w:tc>
          <w:tcPr>
            <w:tcW w:w="630" w:type="dxa"/>
            <w:shd w:val="clear" w:color="auto" w:fill="CCEAF9" w:themeFill="accent1" w:themeFillTint="33"/>
            <w:noWrap/>
            <w:tcMar>
              <w:left w:w="29" w:type="dxa"/>
              <w:right w:w="58" w:type="dxa"/>
            </w:tcMar>
            <w:vAlign w:val="center"/>
          </w:tcPr>
          <w:p w14:paraId="288D475D"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0.8</w:t>
            </w:r>
          </w:p>
        </w:tc>
        <w:tc>
          <w:tcPr>
            <w:tcW w:w="810" w:type="dxa"/>
            <w:shd w:val="clear" w:color="auto" w:fill="CCEAF9" w:themeFill="accent1" w:themeFillTint="33"/>
            <w:noWrap/>
            <w:tcMar>
              <w:left w:w="29" w:type="dxa"/>
              <w:right w:w="58" w:type="dxa"/>
            </w:tcMar>
            <w:vAlign w:val="center"/>
          </w:tcPr>
          <w:p w14:paraId="4EF790A7"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1,641</w:t>
            </w:r>
          </w:p>
        </w:tc>
        <w:tc>
          <w:tcPr>
            <w:tcW w:w="810" w:type="dxa"/>
            <w:shd w:val="clear" w:color="auto" w:fill="CCEAF9" w:themeFill="accent1" w:themeFillTint="33"/>
            <w:noWrap/>
            <w:tcMar>
              <w:left w:w="29" w:type="dxa"/>
              <w:right w:w="58" w:type="dxa"/>
            </w:tcMar>
            <w:vAlign w:val="center"/>
          </w:tcPr>
          <w:p w14:paraId="0A7536A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1,544</w:t>
            </w:r>
          </w:p>
        </w:tc>
        <w:tc>
          <w:tcPr>
            <w:tcW w:w="812" w:type="dxa"/>
            <w:shd w:val="clear" w:color="auto" w:fill="CCEAF9" w:themeFill="accent1" w:themeFillTint="33"/>
            <w:noWrap/>
            <w:tcMar>
              <w:left w:w="29" w:type="dxa"/>
              <w:right w:w="58" w:type="dxa"/>
            </w:tcMar>
            <w:vAlign w:val="center"/>
          </w:tcPr>
          <w:p w14:paraId="4DBE724B"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1,692</w:t>
            </w:r>
          </w:p>
        </w:tc>
        <w:tc>
          <w:tcPr>
            <w:tcW w:w="810" w:type="dxa"/>
            <w:shd w:val="clear" w:color="auto" w:fill="CCEAF9" w:themeFill="accent1" w:themeFillTint="33"/>
            <w:noWrap/>
            <w:tcMar>
              <w:left w:w="29" w:type="dxa"/>
              <w:right w:w="58" w:type="dxa"/>
            </w:tcMar>
            <w:vAlign w:val="center"/>
          </w:tcPr>
          <w:p w14:paraId="1E3387FB"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1,597</w:t>
            </w:r>
          </w:p>
        </w:tc>
        <w:tc>
          <w:tcPr>
            <w:tcW w:w="596" w:type="dxa"/>
            <w:shd w:val="clear" w:color="auto" w:fill="CCEAF9" w:themeFill="accent1" w:themeFillTint="33"/>
            <w:noWrap/>
            <w:tcMar>
              <w:left w:w="29" w:type="dxa"/>
              <w:right w:w="58" w:type="dxa"/>
            </w:tcMar>
            <w:vAlign w:val="center"/>
          </w:tcPr>
          <w:p w14:paraId="39F46EC4"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0.7</w:t>
            </w:r>
          </w:p>
        </w:tc>
      </w:tr>
      <w:tr w:rsidR="001B1F4D" w:rsidRPr="006F4BE7" w14:paraId="0196CA3B" w14:textId="77777777" w:rsidTr="00C66F55">
        <w:trPr>
          <w:cantSplit/>
          <w:trHeight w:val="270"/>
          <w:jc w:val="center"/>
        </w:trPr>
        <w:tc>
          <w:tcPr>
            <w:tcW w:w="1172" w:type="dxa"/>
            <w:shd w:val="clear" w:color="auto" w:fill="FFFFFF"/>
            <w:noWrap/>
            <w:tcMar>
              <w:left w:w="58" w:type="dxa"/>
              <w:right w:w="29" w:type="dxa"/>
            </w:tcMar>
            <w:vAlign w:val="center"/>
          </w:tcPr>
          <w:p w14:paraId="4696C3AF" w14:textId="77777777" w:rsidR="001B1F4D" w:rsidRPr="006F4BE7" w:rsidRDefault="001B1F4D" w:rsidP="002F155F">
            <w:pPr>
              <w:keepNext/>
              <w:keepLines/>
              <w:spacing w:after="0" w:line="240" w:lineRule="auto"/>
              <w:rPr>
                <w:rFonts w:asciiTheme="minorHAnsi" w:eastAsia="Arial Unicode MS" w:hAnsiTheme="minorHAnsi" w:cs="Arial"/>
                <w:b/>
                <w:sz w:val="18"/>
                <w:szCs w:val="18"/>
              </w:rPr>
            </w:pPr>
            <w:r w:rsidRPr="006F4BE7">
              <w:rPr>
                <w:rFonts w:asciiTheme="minorHAnsi" w:hAnsiTheme="minorHAnsi" w:cs="Arial"/>
                <w:b/>
                <w:sz w:val="18"/>
                <w:szCs w:val="18"/>
              </w:rPr>
              <w:t>NOR</w:t>
            </w:r>
          </w:p>
        </w:tc>
        <w:tc>
          <w:tcPr>
            <w:tcW w:w="709" w:type="dxa"/>
            <w:shd w:val="clear" w:color="auto" w:fill="FFFFFF"/>
            <w:noWrap/>
            <w:tcMar>
              <w:left w:w="29" w:type="dxa"/>
              <w:right w:w="58" w:type="dxa"/>
            </w:tcMar>
            <w:vAlign w:val="center"/>
          </w:tcPr>
          <w:p w14:paraId="20DDF19C"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5,735</w:t>
            </w:r>
          </w:p>
        </w:tc>
        <w:tc>
          <w:tcPr>
            <w:tcW w:w="711" w:type="dxa"/>
            <w:shd w:val="clear" w:color="auto" w:fill="FFFFFF"/>
            <w:noWrap/>
            <w:tcMar>
              <w:left w:w="29" w:type="dxa"/>
              <w:right w:w="58" w:type="dxa"/>
            </w:tcMar>
            <w:vAlign w:val="center"/>
          </w:tcPr>
          <w:p w14:paraId="7D8AA9C3"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5,729</w:t>
            </w:r>
          </w:p>
        </w:tc>
        <w:tc>
          <w:tcPr>
            <w:tcW w:w="680" w:type="dxa"/>
            <w:shd w:val="clear" w:color="auto" w:fill="FFFFFF"/>
            <w:noWrap/>
            <w:tcMar>
              <w:left w:w="29" w:type="dxa"/>
              <w:right w:w="58" w:type="dxa"/>
            </w:tcMar>
            <w:vAlign w:val="center"/>
          </w:tcPr>
          <w:p w14:paraId="4B9F919B"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0.0</w:t>
            </w:r>
          </w:p>
        </w:tc>
        <w:tc>
          <w:tcPr>
            <w:tcW w:w="742" w:type="dxa"/>
            <w:shd w:val="clear" w:color="auto" w:fill="FFFFFF"/>
            <w:noWrap/>
            <w:tcMar>
              <w:left w:w="29" w:type="dxa"/>
              <w:right w:w="58" w:type="dxa"/>
            </w:tcMar>
            <w:vAlign w:val="center"/>
          </w:tcPr>
          <w:p w14:paraId="43A1B336"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1,235</w:t>
            </w:r>
          </w:p>
        </w:tc>
        <w:tc>
          <w:tcPr>
            <w:tcW w:w="698" w:type="dxa"/>
            <w:shd w:val="clear" w:color="auto" w:fill="FFFFFF"/>
            <w:noWrap/>
            <w:tcMar>
              <w:left w:w="29" w:type="dxa"/>
              <w:right w:w="58" w:type="dxa"/>
            </w:tcMar>
            <w:vAlign w:val="center"/>
          </w:tcPr>
          <w:p w14:paraId="2D64F888"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1,201</w:t>
            </w:r>
          </w:p>
        </w:tc>
        <w:tc>
          <w:tcPr>
            <w:tcW w:w="724" w:type="dxa"/>
            <w:shd w:val="clear" w:color="auto" w:fill="FFFFFF"/>
            <w:noWrap/>
            <w:tcMar>
              <w:left w:w="29" w:type="dxa"/>
              <w:right w:w="58" w:type="dxa"/>
            </w:tcMar>
            <w:vAlign w:val="center"/>
          </w:tcPr>
          <w:p w14:paraId="159F520D"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1,313</w:t>
            </w:r>
          </w:p>
        </w:tc>
        <w:tc>
          <w:tcPr>
            <w:tcW w:w="626" w:type="dxa"/>
            <w:shd w:val="clear" w:color="auto" w:fill="FFFFFF"/>
            <w:noWrap/>
            <w:tcMar>
              <w:left w:w="29" w:type="dxa"/>
              <w:right w:w="58" w:type="dxa"/>
            </w:tcMar>
            <w:vAlign w:val="center"/>
          </w:tcPr>
          <w:p w14:paraId="1C1B6BA1"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1,283</w:t>
            </w:r>
          </w:p>
        </w:tc>
        <w:tc>
          <w:tcPr>
            <w:tcW w:w="630" w:type="dxa"/>
            <w:shd w:val="clear" w:color="auto" w:fill="FFFFFF"/>
            <w:noWrap/>
            <w:tcMar>
              <w:left w:w="29" w:type="dxa"/>
              <w:right w:w="58" w:type="dxa"/>
            </w:tcMar>
            <w:vAlign w:val="center"/>
          </w:tcPr>
          <w:p w14:paraId="62FCCE16"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0.3</w:t>
            </w:r>
          </w:p>
        </w:tc>
        <w:tc>
          <w:tcPr>
            <w:tcW w:w="810" w:type="dxa"/>
            <w:shd w:val="clear" w:color="auto" w:fill="FFFFFF"/>
            <w:noWrap/>
            <w:tcMar>
              <w:left w:w="29" w:type="dxa"/>
              <w:right w:w="58" w:type="dxa"/>
            </w:tcMar>
            <w:vAlign w:val="center"/>
          </w:tcPr>
          <w:p w14:paraId="177B1097"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955</w:t>
            </w:r>
          </w:p>
        </w:tc>
        <w:tc>
          <w:tcPr>
            <w:tcW w:w="810" w:type="dxa"/>
            <w:shd w:val="clear" w:color="auto" w:fill="FFFFFF"/>
            <w:noWrap/>
            <w:tcMar>
              <w:left w:w="29" w:type="dxa"/>
              <w:right w:w="58" w:type="dxa"/>
            </w:tcMar>
            <w:vAlign w:val="center"/>
          </w:tcPr>
          <w:p w14:paraId="6738283A"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914</w:t>
            </w:r>
          </w:p>
        </w:tc>
        <w:tc>
          <w:tcPr>
            <w:tcW w:w="812" w:type="dxa"/>
            <w:shd w:val="clear" w:color="auto" w:fill="FFFFFF"/>
            <w:noWrap/>
            <w:tcMar>
              <w:left w:w="29" w:type="dxa"/>
              <w:right w:w="58" w:type="dxa"/>
            </w:tcMar>
            <w:vAlign w:val="center"/>
          </w:tcPr>
          <w:p w14:paraId="706C1BD3"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985</w:t>
            </w:r>
          </w:p>
        </w:tc>
        <w:tc>
          <w:tcPr>
            <w:tcW w:w="810" w:type="dxa"/>
            <w:shd w:val="clear" w:color="auto" w:fill="FFFFFF"/>
            <w:noWrap/>
            <w:tcMar>
              <w:left w:w="29" w:type="dxa"/>
              <w:right w:w="58" w:type="dxa"/>
            </w:tcMar>
            <w:vAlign w:val="center"/>
          </w:tcPr>
          <w:p w14:paraId="7E7456EC"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sz w:val="18"/>
                <w:szCs w:val="18"/>
              </w:rPr>
              <w:t>946</w:t>
            </w:r>
          </w:p>
        </w:tc>
        <w:tc>
          <w:tcPr>
            <w:tcW w:w="596" w:type="dxa"/>
            <w:shd w:val="clear" w:color="auto" w:fill="FFFFFF"/>
            <w:noWrap/>
            <w:tcMar>
              <w:left w:w="29" w:type="dxa"/>
              <w:right w:w="58" w:type="dxa"/>
            </w:tcMar>
            <w:vAlign w:val="center"/>
          </w:tcPr>
          <w:p w14:paraId="5037A3E1" w14:textId="77777777" w:rsidR="001B1F4D" w:rsidRPr="006F4BE7" w:rsidRDefault="001B1F4D" w:rsidP="002F155F">
            <w:pPr>
              <w:keepNext/>
              <w:keepLines/>
              <w:spacing w:after="0" w:line="240" w:lineRule="auto"/>
              <w:jc w:val="right"/>
              <w:rPr>
                <w:rFonts w:asciiTheme="minorHAnsi" w:hAnsiTheme="minorHAnsi" w:cs="Calibri"/>
                <w:sz w:val="18"/>
                <w:szCs w:val="18"/>
              </w:rPr>
            </w:pPr>
            <w:r w:rsidRPr="006F4BE7">
              <w:rPr>
                <w:rFonts w:ascii="Calibri" w:hAnsi="Calibri"/>
                <w:color w:val="000000"/>
                <w:sz w:val="18"/>
                <w:szCs w:val="18"/>
              </w:rPr>
              <w:t>−</w:t>
            </w:r>
            <w:r w:rsidRPr="006F4BE7">
              <w:rPr>
                <w:rFonts w:ascii="Calibri" w:hAnsi="Calibri"/>
                <w:sz w:val="18"/>
                <w:szCs w:val="18"/>
              </w:rPr>
              <w:t>0.5</w:t>
            </w:r>
          </w:p>
        </w:tc>
      </w:tr>
      <w:tr w:rsidR="001B1F4D" w:rsidRPr="001B1F4D" w14:paraId="6723E77F" w14:textId="77777777" w:rsidTr="00C66F55">
        <w:trPr>
          <w:cantSplit/>
          <w:trHeight w:val="270"/>
          <w:jc w:val="center"/>
        </w:trPr>
        <w:tc>
          <w:tcPr>
            <w:tcW w:w="1172" w:type="dxa"/>
            <w:shd w:val="clear" w:color="auto" w:fill="1795D2" w:themeFill="accent1"/>
            <w:noWrap/>
            <w:tcMar>
              <w:left w:w="58" w:type="dxa"/>
              <w:right w:w="29" w:type="dxa"/>
            </w:tcMar>
            <w:vAlign w:val="center"/>
          </w:tcPr>
          <w:p w14:paraId="10D8E498" w14:textId="77777777" w:rsidR="001B1F4D" w:rsidRPr="006F4BE7" w:rsidRDefault="001B1F4D" w:rsidP="002F155F">
            <w:pPr>
              <w:keepNext/>
              <w:keepLines/>
              <w:spacing w:after="0" w:line="240" w:lineRule="auto"/>
              <w:rPr>
                <w:rFonts w:asciiTheme="minorHAnsi" w:hAnsiTheme="minorHAnsi" w:cs="Arial"/>
                <w:b/>
                <w:color w:val="FFFFFF" w:themeColor="background1"/>
                <w:sz w:val="18"/>
                <w:szCs w:val="18"/>
              </w:rPr>
            </w:pPr>
            <w:r w:rsidRPr="006F4BE7">
              <w:rPr>
                <w:rFonts w:asciiTheme="minorHAnsi" w:hAnsiTheme="minorHAnsi" w:cs="Arial"/>
                <w:b/>
                <w:color w:val="FFFFFF" w:themeColor="background1"/>
                <w:sz w:val="18"/>
                <w:szCs w:val="18"/>
              </w:rPr>
              <w:t>ISO tota</w:t>
            </w:r>
            <w:r w:rsidRPr="00E0236F">
              <w:rPr>
                <w:rFonts w:asciiTheme="minorHAnsi" w:hAnsiTheme="minorHAnsi" w:cs="Arial"/>
                <w:b/>
                <w:color w:val="FFFFFF" w:themeColor="background1"/>
                <w:sz w:val="18"/>
                <w:szCs w:val="18"/>
              </w:rPr>
              <w:t>l</w:t>
            </w:r>
            <w:r w:rsidR="00E0236F" w:rsidRPr="00E0236F">
              <w:rPr>
                <w:rFonts w:asciiTheme="minorHAnsi" w:hAnsiTheme="minorHAnsi" w:cs="Arial"/>
                <w:b/>
                <w:color w:val="FFFFFF"/>
                <w:sz w:val="18"/>
                <w:szCs w:val="18"/>
                <w:vertAlign w:val="superscript"/>
              </w:rPr>
              <w:t>(c, d)</w:t>
            </w:r>
          </w:p>
        </w:tc>
        <w:tc>
          <w:tcPr>
            <w:tcW w:w="709" w:type="dxa"/>
            <w:shd w:val="clear" w:color="auto" w:fill="1795D2" w:themeFill="accent1"/>
            <w:noWrap/>
            <w:tcMar>
              <w:left w:w="29" w:type="dxa"/>
              <w:right w:w="58" w:type="dxa"/>
            </w:tcMar>
            <w:vAlign w:val="center"/>
          </w:tcPr>
          <w:p w14:paraId="6BC666AC"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125,478</w:t>
            </w:r>
          </w:p>
        </w:tc>
        <w:tc>
          <w:tcPr>
            <w:tcW w:w="711" w:type="dxa"/>
            <w:shd w:val="clear" w:color="auto" w:fill="1795D2" w:themeFill="accent1"/>
            <w:noWrap/>
            <w:tcMar>
              <w:left w:w="29" w:type="dxa"/>
              <w:right w:w="58" w:type="dxa"/>
            </w:tcMar>
            <w:vAlign w:val="center"/>
          </w:tcPr>
          <w:p w14:paraId="355DB674"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120,613</w:t>
            </w:r>
          </w:p>
        </w:tc>
        <w:tc>
          <w:tcPr>
            <w:tcW w:w="680" w:type="dxa"/>
            <w:shd w:val="clear" w:color="auto" w:fill="1795D2" w:themeFill="accent1"/>
            <w:noWrap/>
            <w:tcMar>
              <w:left w:w="29" w:type="dxa"/>
              <w:right w:w="58" w:type="dxa"/>
            </w:tcMar>
            <w:vAlign w:val="center"/>
          </w:tcPr>
          <w:p w14:paraId="672D59D4"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color w:val="FFFFFF" w:themeColor="background1"/>
                <w:sz w:val="18"/>
                <w:szCs w:val="18"/>
              </w:rPr>
              <w:t>−</w:t>
            </w:r>
            <w:r w:rsidRPr="006F4BE7">
              <w:rPr>
                <w:rFonts w:ascii="Calibri" w:hAnsi="Calibri"/>
                <w:b/>
                <w:bCs/>
                <w:color w:val="FFFFFF" w:themeColor="background1"/>
                <w:sz w:val="18"/>
                <w:szCs w:val="18"/>
              </w:rPr>
              <w:t>0.4</w:t>
            </w:r>
          </w:p>
        </w:tc>
        <w:tc>
          <w:tcPr>
            <w:tcW w:w="742" w:type="dxa"/>
            <w:shd w:val="clear" w:color="auto" w:fill="1795D2" w:themeFill="accent1"/>
            <w:noWrap/>
            <w:tcMar>
              <w:left w:w="29" w:type="dxa"/>
              <w:right w:w="58" w:type="dxa"/>
            </w:tcMar>
            <w:vAlign w:val="center"/>
          </w:tcPr>
          <w:p w14:paraId="51DC041D"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25,323</w:t>
            </w:r>
          </w:p>
        </w:tc>
        <w:tc>
          <w:tcPr>
            <w:tcW w:w="698" w:type="dxa"/>
            <w:shd w:val="clear" w:color="auto" w:fill="1795D2" w:themeFill="accent1"/>
            <w:noWrap/>
            <w:tcMar>
              <w:left w:w="29" w:type="dxa"/>
              <w:right w:w="58" w:type="dxa"/>
            </w:tcMar>
            <w:vAlign w:val="center"/>
          </w:tcPr>
          <w:p w14:paraId="0096AE2C"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24,408</w:t>
            </w:r>
          </w:p>
        </w:tc>
        <w:tc>
          <w:tcPr>
            <w:tcW w:w="724" w:type="dxa"/>
            <w:shd w:val="clear" w:color="auto" w:fill="1795D2" w:themeFill="accent1"/>
            <w:noWrap/>
            <w:tcMar>
              <w:left w:w="29" w:type="dxa"/>
              <w:right w:w="58" w:type="dxa"/>
            </w:tcMar>
            <w:vAlign w:val="center"/>
          </w:tcPr>
          <w:p w14:paraId="2FA47519"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27,212</w:t>
            </w:r>
          </w:p>
        </w:tc>
        <w:tc>
          <w:tcPr>
            <w:tcW w:w="626" w:type="dxa"/>
            <w:shd w:val="clear" w:color="auto" w:fill="1795D2" w:themeFill="accent1"/>
            <w:noWrap/>
            <w:tcMar>
              <w:left w:w="29" w:type="dxa"/>
              <w:right w:w="58" w:type="dxa"/>
            </w:tcMar>
            <w:vAlign w:val="center"/>
          </w:tcPr>
          <w:p w14:paraId="532D12E1"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26,576</w:t>
            </w:r>
          </w:p>
        </w:tc>
        <w:tc>
          <w:tcPr>
            <w:tcW w:w="630" w:type="dxa"/>
            <w:shd w:val="clear" w:color="auto" w:fill="1795D2" w:themeFill="accent1"/>
            <w:noWrap/>
            <w:tcMar>
              <w:left w:w="29" w:type="dxa"/>
              <w:right w:w="58" w:type="dxa"/>
            </w:tcMar>
            <w:vAlign w:val="center"/>
          </w:tcPr>
          <w:p w14:paraId="033A1C12" w14:textId="61C285A4" w:rsidR="001B1F4D" w:rsidRPr="006F4BE7" w:rsidRDefault="000566C4"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color w:val="FFFFFF" w:themeColor="background1"/>
                <w:sz w:val="18"/>
                <w:szCs w:val="18"/>
              </w:rPr>
              <w:t>−</w:t>
            </w:r>
            <w:r w:rsidR="001B1F4D" w:rsidRPr="006F4BE7">
              <w:rPr>
                <w:rFonts w:ascii="Calibri" w:hAnsi="Calibri"/>
                <w:b/>
                <w:bCs/>
                <w:color w:val="FFFFFF" w:themeColor="background1"/>
                <w:sz w:val="18"/>
                <w:szCs w:val="18"/>
              </w:rPr>
              <w:t>0.4</w:t>
            </w:r>
          </w:p>
        </w:tc>
        <w:tc>
          <w:tcPr>
            <w:tcW w:w="810" w:type="dxa"/>
            <w:shd w:val="clear" w:color="auto" w:fill="1795D2" w:themeFill="accent1"/>
            <w:noWrap/>
            <w:tcMar>
              <w:left w:w="29" w:type="dxa"/>
              <w:right w:w="58" w:type="dxa"/>
            </w:tcMar>
            <w:vAlign w:val="center"/>
          </w:tcPr>
          <w:p w14:paraId="67537D8F"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20,476</w:t>
            </w:r>
          </w:p>
        </w:tc>
        <w:tc>
          <w:tcPr>
            <w:tcW w:w="810" w:type="dxa"/>
            <w:shd w:val="clear" w:color="auto" w:fill="1795D2" w:themeFill="accent1"/>
            <w:noWrap/>
            <w:tcMar>
              <w:left w:w="29" w:type="dxa"/>
              <w:right w:w="58" w:type="dxa"/>
            </w:tcMar>
            <w:vAlign w:val="center"/>
          </w:tcPr>
          <w:p w14:paraId="0904B870"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19,368</w:t>
            </w:r>
          </w:p>
        </w:tc>
        <w:tc>
          <w:tcPr>
            <w:tcW w:w="812" w:type="dxa"/>
            <w:shd w:val="clear" w:color="auto" w:fill="1795D2" w:themeFill="accent1"/>
            <w:noWrap/>
            <w:tcMar>
              <w:left w:w="29" w:type="dxa"/>
              <w:right w:w="58" w:type="dxa"/>
            </w:tcMar>
            <w:vAlign w:val="center"/>
          </w:tcPr>
          <w:p w14:paraId="152450DF"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21,173</w:t>
            </w:r>
          </w:p>
        </w:tc>
        <w:tc>
          <w:tcPr>
            <w:tcW w:w="810" w:type="dxa"/>
            <w:shd w:val="clear" w:color="auto" w:fill="1795D2" w:themeFill="accent1"/>
            <w:noWrap/>
            <w:tcMar>
              <w:left w:w="29" w:type="dxa"/>
              <w:right w:w="58" w:type="dxa"/>
            </w:tcMar>
            <w:vAlign w:val="center"/>
          </w:tcPr>
          <w:p w14:paraId="2D3F269F" w14:textId="77777777" w:rsidR="001B1F4D" w:rsidRPr="006F4BE7" w:rsidRDefault="001B1F4D" w:rsidP="002F155F">
            <w:pPr>
              <w:keepNext/>
              <w:keepLines/>
              <w:spacing w:after="0" w:line="240" w:lineRule="auto"/>
              <w:jc w:val="right"/>
              <w:rPr>
                <w:rFonts w:asciiTheme="minorHAnsi" w:hAnsiTheme="minorHAnsi" w:cs="Calibri"/>
                <w:b/>
                <w:color w:val="FFFFFF" w:themeColor="background1"/>
                <w:sz w:val="18"/>
                <w:szCs w:val="18"/>
              </w:rPr>
            </w:pPr>
            <w:r w:rsidRPr="006F4BE7">
              <w:rPr>
                <w:rFonts w:ascii="Calibri" w:hAnsi="Calibri"/>
                <w:b/>
                <w:bCs/>
                <w:color w:val="FFFFFF" w:themeColor="background1"/>
                <w:sz w:val="18"/>
                <w:szCs w:val="18"/>
              </w:rPr>
              <w:t>20,130</w:t>
            </w:r>
          </w:p>
        </w:tc>
        <w:tc>
          <w:tcPr>
            <w:tcW w:w="596" w:type="dxa"/>
            <w:shd w:val="clear" w:color="auto" w:fill="1795D2" w:themeFill="accent1"/>
            <w:noWrap/>
            <w:tcMar>
              <w:left w:w="29" w:type="dxa"/>
              <w:right w:w="58" w:type="dxa"/>
            </w:tcMar>
            <w:vAlign w:val="center"/>
          </w:tcPr>
          <w:p w14:paraId="6AB970A9" w14:textId="77777777" w:rsidR="001B1F4D" w:rsidRPr="001B1F4D" w:rsidRDefault="001B1F4D" w:rsidP="002F155F">
            <w:pPr>
              <w:keepNext/>
              <w:keepLines/>
              <w:spacing w:after="0" w:line="240" w:lineRule="auto"/>
              <w:jc w:val="right"/>
              <w:rPr>
                <w:rFonts w:asciiTheme="minorHAnsi" w:hAnsiTheme="minorHAnsi" w:cs="Calibri"/>
                <w:b/>
                <w:color w:val="FFFFFF" w:themeColor="background1"/>
                <w:sz w:val="18"/>
                <w:szCs w:val="18"/>
              </w:rPr>
            </w:pPr>
            <w:r w:rsidRPr="00E0236F">
              <w:rPr>
                <w:rFonts w:ascii="Calibri" w:hAnsi="Calibri"/>
                <w:b/>
                <w:color w:val="FFFFFF" w:themeColor="background1"/>
                <w:sz w:val="18"/>
                <w:szCs w:val="18"/>
              </w:rPr>
              <w:t>−</w:t>
            </w:r>
            <w:r w:rsidRPr="006F4BE7">
              <w:rPr>
                <w:rFonts w:ascii="Calibri" w:hAnsi="Calibri"/>
                <w:b/>
                <w:bCs/>
                <w:color w:val="FFFFFF" w:themeColor="background1"/>
                <w:sz w:val="18"/>
                <w:szCs w:val="18"/>
              </w:rPr>
              <w:t>0.6</w:t>
            </w:r>
          </w:p>
        </w:tc>
      </w:tr>
    </w:tbl>
    <w:p w14:paraId="6774E6C0" w14:textId="77777777" w:rsidR="001B1F4D" w:rsidRPr="00C66F55" w:rsidRDefault="001B1F4D" w:rsidP="00F4759D">
      <w:pPr>
        <w:pStyle w:val="ListParagraph"/>
        <w:keepNext/>
        <w:keepLines/>
        <w:numPr>
          <w:ilvl w:val="0"/>
          <w:numId w:val="752"/>
        </w:numPr>
        <w:tabs>
          <w:tab w:val="left" w:pos="8820"/>
        </w:tabs>
        <w:spacing w:before="120" w:after="80" w:line="240" w:lineRule="auto"/>
        <w:ind w:left="-450" w:right="-810" w:hanging="270"/>
        <w:rPr>
          <w:rFonts w:asciiTheme="minorHAnsi" w:hAnsiTheme="minorHAnsi" w:cs="Arial"/>
          <w:bCs/>
          <w:sz w:val="16"/>
          <w:szCs w:val="16"/>
        </w:rPr>
      </w:pPr>
      <w:r w:rsidRPr="00C66F55">
        <w:rPr>
          <w:rFonts w:asciiTheme="minorHAnsi" w:hAnsiTheme="minorHAnsi" w:cs="Arial"/>
          <w:sz w:val="16"/>
          <w:szCs w:val="16"/>
        </w:rPr>
        <w:t>The total load-zone projections are similar to the state load projections and are available at t</w:t>
      </w:r>
      <w:r w:rsidRPr="00924DE8">
        <w:rPr>
          <w:rFonts w:asciiTheme="minorHAnsi" w:hAnsiTheme="minorHAnsi" w:cs="Arial"/>
          <w:sz w:val="16"/>
          <w:szCs w:val="16"/>
        </w:rPr>
        <w:t>he ISO’s “2019 Forecast Data File</w:t>
      </w:r>
      <w:r w:rsidRPr="00D1271D">
        <w:rPr>
          <w:rFonts w:asciiTheme="minorHAnsi" w:hAnsiTheme="minorHAnsi" w:cs="Arial"/>
          <w:color w:val="000000"/>
          <w:sz w:val="16"/>
          <w:szCs w:val="16"/>
        </w:rPr>
        <w:t>;”</w:t>
      </w:r>
      <w:r w:rsidRPr="00924DE8">
        <w:rPr>
          <w:rFonts w:asciiTheme="minorHAnsi" w:hAnsiTheme="minorHAnsi" w:cs="Arial"/>
          <w:sz w:val="16"/>
          <w:szCs w:val="16"/>
        </w:rPr>
        <w:t xml:space="preserve"> </w:t>
      </w:r>
      <w:hyperlink r:id="rId39" w:history="1">
        <w:r w:rsidR="00924DE8" w:rsidRPr="00924DE8">
          <w:rPr>
            <w:rStyle w:val="Hyperlink"/>
            <w:rFonts w:asciiTheme="minorHAnsi" w:hAnsiTheme="minorHAnsi"/>
            <w:sz w:val="16"/>
            <w:szCs w:val="16"/>
          </w:rPr>
          <w:t>https://www.iso-ne.com/static-assets/documents/2019/04/forecast_data_2019.xlsx</w:t>
        </w:r>
      </w:hyperlink>
      <w:r w:rsidRPr="00CF2B8B">
        <w:rPr>
          <w:rFonts w:asciiTheme="minorHAnsi" w:hAnsiTheme="minorHAnsi" w:cs="Arial"/>
          <w:sz w:val="16"/>
          <w:szCs w:val="16"/>
        </w:rPr>
        <w:t>,</w:t>
      </w:r>
      <w:r w:rsidRPr="00D1271D">
        <w:rPr>
          <w:rFonts w:asciiTheme="minorHAnsi" w:hAnsiTheme="minorHAnsi" w:cs="Arial"/>
          <w:sz w:val="16"/>
          <w:szCs w:val="16"/>
        </w:rPr>
        <w:t xml:space="preserve"> tabs #2A-2C, “</w:t>
      </w:r>
      <w:r w:rsidRPr="00924DE8">
        <w:rPr>
          <w:rFonts w:asciiTheme="minorHAnsi" w:hAnsiTheme="minorHAnsi" w:cs="Arial"/>
          <w:bCs/>
          <w:sz w:val="16"/>
          <w:szCs w:val="16"/>
        </w:rPr>
        <w:t>ISO-NE Control Area, States, RSP Subareas, and SMD Load Zones.”</w:t>
      </w:r>
    </w:p>
    <w:p w14:paraId="0AC53802" w14:textId="77777777" w:rsidR="00C66F55" w:rsidRPr="00C66F55" w:rsidRDefault="00C66F55" w:rsidP="00F4759D">
      <w:pPr>
        <w:pStyle w:val="ListParagraph"/>
        <w:keepNext/>
        <w:keepLines/>
        <w:numPr>
          <w:ilvl w:val="0"/>
          <w:numId w:val="752"/>
        </w:numPr>
        <w:tabs>
          <w:tab w:val="left" w:pos="8820"/>
        </w:tabs>
        <w:spacing w:before="120" w:after="80" w:line="240" w:lineRule="auto"/>
        <w:ind w:left="-450" w:right="-720" w:hanging="270"/>
        <w:rPr>
          <w:rFonts w:asciiTheme="minorHAnsi" w:hAnsiTheme="minorHAnsi" w:cs="Arial"/>
          <w:bCs/>
          <w:sz w:val="16"/>
          <w:szCs w:val="16"/>
        </w:rPr>
      </w:pPr>
      <w:r w:rsidRPr="00C66F55">
        <w:rPr>
          <w:rFonts w:asciiTheme="minorHAnsi" w:hAnsiTheme="minorHAnsi" w:cs="Arial"/>
          <w:bCs/>
          <w:sz w:val="16"/>
          <w:szCs w:val="16"/>
        </w:rPr>
        <w:t>CAGR values shown for the summer and winter peak loads are for the 50/50 forecasts.</w:t>
      </w:r>
    </w:p>
    <w:p w14:paraId="4B02598D" w14:textId="77777777" w:rsidR="001B1F4D" w:rsidRPr="001B1F4D" w:rsidRDefault="001B1F4D" w:rsidP="00F4759D">
      <w:pPr>
        <w:keepNext/>
        <w:keepLines/>
        <w:tabs>
          <w:tab w:val="left" w:pos="8820"/>
        </w:tabs>
        <w:spacing w:after="80"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c</w:t>
      </w:r>
      <w:r w:rsidRPr="001B1F4D">
        <w:rPr>
          <w:rFonts w:asciiTheme="minorHAnsi" w:hAnsiTheme="minorHAnsi" w:cs="Arial"/>
          <w:bCs/>
          <w:sz w:val="16"/>
          <w:szCs w:val="16"/>
        </w:rPr>
        <w:t xml:space="preserve">) </w:t>
      </w:r>
      <w:r w:rsidRPr="001B1F4D">
        <w:rPr>
          <w:rFonts w:asciiTheme="minorHAnsi" w:hAnsiTheme="minorHAnsi" w:cs="Arial"/>
          <w:bCs/>
          <w:sz w:val="16"/>
          <w:szCs w:val="16"/>
        </w:rPr>
        <w:tab/>
        <w:t>The net forecasts are not used in the development of the Installed Capacity Requirement</w:t>
      </w:r>
    </w:p>
    <w:p w14:paraId="3432523C" w14:textId="77777777" w:rsidR="001B1F4D" w:rsidRPr="001B1F4D" w:rsidRDefault="001B1F4D" w:rsidP="002F155F">
      <w:pPr>
        <w:tabs>
          <w:tab w:val="left" w:pos="8820"/>
        </w:tabs>
        <w:spacing w:line="240" w:lineRule="auto"/>
        <w:ind w:left="-450" w:right="-720" w:hanging="270"/>
        <w:rPr>
          <w:rFonts w:asciiTheme="minorHAnsi" w:hAnsiTheme="minorHAnsi" w:cs="Arial"/>
          <w:bCs/>
          <w:sz w:val="16"/>
          <w:szCs w:val="16"/>
        </w:rPr>
      </w:pPr>
      <w:r w:rsidRPr="001B1F4D">
        <w:rPr>
          <w:rFonts w:asciiTheme="minorHAnsi" w:hAnsiTheme="minorHAnsi" w:cs="Arial"/>
          <w:bCs/>
          <w:sz w:val="16"/>
          <w:szCs w:val="16"/>
        </w:rPr>
        <w:t>(</w:t>
      </w:r>
      <w:r w:rsidR="00C66F55">
        <w:rPr>
          <w:rFonts w:asciiTheme="minorHAnsi" w:hAnsiTheme="minorHAnsi" w:cs="Arial"/>
          <w:bCs/>
          <w:sz w:val="16"/>
          <w:szCs w:val="16"/>
        </w:rPr>
        <w:t>d</w:t>
      </w:r>
      <w:r w:rsidRPr="001B1F4D">
        <w:rPr>
          <w:rFonts w:asciiTheme="minorHAnsi" w:hAnsiTheme="minorHAnsi" w:cs="Arial"/>
          <w:bCs/>
          <w:sz w:val="16"/>
          <w:szCs w:val="16"/>
        </w:rPr>
        <w:t>)</w:t>
      </w:r>
      <w:r w:rsidRPr="001B1F4D">
        <w:rPr>
          <w:rFonts w:asciiTheme="minorHAnsi" w:hAnsiTheme="minorHAnsi" w:cs="Arial"/>
          <w:bCs/>
          <w:sz w:val="16"/>
          <w:szCs w:val="16"/>
        </w:rPr>
        <w:tab/>
        <w:t>Totals may not equal the sum because of rounding and may not exactly match the results for other tables in this section.</w:t>
      </w:r>
    </w:p>
    <w:p w14:paraId="0989A3BD" w14:textId="0B9FD427" w:rsidR="001B1F4D" w:rsidRPr="001B1F4D" w:rsidRDefault="001B1F4D" w:rsidP="002F155F">
      <w:pPr>
        <w:pStyle w:val="Heading2"/>
        <w:keepNext w:val="0"/>
        <w:keepLines w:val="0"/>
      </w:pPr>
      <w:bookmarkStart w:id="316" w:name="_Toc396807619"/>
      <w:bookmarkStart w:id="317" w:name="_Toc484957897"/>
      <w:bookmarkStart w:id="318" w:name="_Toc490323022"/>
      <w:bookmarkStart w:id="319" w:name="_Ref12108126"/>
      <w:bookmarkStart w:id="320" w:name="_Toc12795163"/>
      <w:bookmarkEnd w:id="271"/>
      <w:r w:rsidRPr="001B1F4D">
        <w:t>Summary of Key Findings of the Demand, Energy-Efficiency, and PV Forecasts</w:t>
      </w:r>
      <w:bookmarkEnd w:id="262"/>
      <w:bookmarkEnd w:id="316"/>
      <w:bookmarkEnd w:id="317"/>
      <w:bookmarkEnd w:id="318"/>
      <w:bookmarkEnd w:id="319"/>
      <w:bookmarkEnd w:id="320"/>
      <w:r w:rsidRPr="001B1F4D">
        <w:t xml:space="preserve"> </w:t>
      </w:r>
    </w:p>
    <w:p w14:paraId="005B3845" w14:textId="562BF6A0" w:rsidR="001B1F4D" w:rsidRPr="001B1F4D" w:rsidRDefault="001B1F4D" w:rsidP="003F778D">
      <w:pPr>
        <w:spacing w:after="200" w:line="276" w:lineRule="auto"/>
      </w:pPr>
      <w:r w:rsidRPr="001B1F4D">
        <w:t xml:space="preserve">The RSP19 forecasts of annual energy use and peak loads are key inputs in establishing the system needs discussed in </w:t>
      </w:r>
      <w:r w:rsidR="009C718F">
        <w:fldChar w:fldCharType="begin"/>
      </w:r>
      <w:r w:rsidR="009C718F">
        <w:instrText xml:space="preserve"> REF _Ref418680938 \r \h </w:instrText>
      </w:r>
      <w:r w:rsidR="009C718F">
        <w:fldChar w:fldCharType="separate"/>
      </w:r>
      <w:r w:rsidR="005D0B73">
        <w:t>Section 4</w:t>
      </w:r>
      <w:r w:rsidR="009C718F">
        <w:fldChar w:fldCharType="end"/>
      </w:r>
      <w:r w:rsidR="009C718F">
        <w:t xml:space="preserve"> through </w:t>
      </w:r>
      <w:r w:rsidR="00E64775">
        <w:fldChar w:fldCharType="begin"/>
      </w:r>
      <w:r w:rsidR="00E64775">
        <w:instrText xml:space="preserve"> REF _Ref418883814 \r \h </w:instrText>
      </w:r>
      <w:r w:rsidR="00E64775">
        <w:fldChar w:fldCharType="separate"/>
      </w:r>
      <w:r w:rsidR="005D0B73">
        <w:t>Section 9</w:t>
      </w:r>
      <w:r w:rsidR="00E64775">
        <w:fldChar w:fldCharType="end"/>
      </w:r>
      <w:r w:rsidRPr="001B1F4D">
        <w:t>. The key points of the forecast are as follows:</w:t>
      </w:r>
    </w:p>
    <w:p w14:paraId="468A61CB" w14:textId="77777777"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The 10-year net energy for load, accounting for both EE and PV, is projected to decrease from 125,82</w:t>
      </w:r>
      <w:r w:rsidR="00D903D5">
        <w:rPr>
          <w:rFonts w:eastAsia="Times New Roman"/>
          <w:color w:val="000000"/>
          <w:szCs w:val="24"/>
        </w:rPr>
        <w:t>3</w:t>
      </w:r>
      <w:r w:rsidRPr="001B1F4D">
        <w:rPr>
          <w:rFonts w:eastAsia="Times New Roman"/>
          <w:color w:val="000000"/>
          <w:szCs w:val="24"/>
        </w:rPr>
        <w:t xml:space="preserve"> GWh in 2019 to 121,33</w:t>
      </w:r>
      <w:r w:rsidR="00D903D5">
        <w:rPr>
          <w:rFonts w:eastAsia="Times New Roman"/>
          <w:color w:val="000000"/>
          <w:szCs w:val="24"/>
        </w:rPr>
        <w:t>6</w:t>
      </w:r>
      <w:r w:rsidRPr="001B1F4D">
        <w:rPr>
          <w:rFonts w:eastAsia="Times New Roman"/>
          <w:color w:val="000000"/>
          <w:szCs w:val="24"/>
        </w:rPr>
        <w:t xml:space="preserve"> GWh in 2028, which represents a decline of 0.4% per year. The RSP19 50/50 net summer peak forecast is 25,323 MW for 2019, which declines to 24,408 MW for 2028. The 90/10 net summer peak forecast, which represents more extreme summer heat waves, is 27,212 MW for 2019 and declines by 0.3% per year to 26,576 MW in 2028. </w:t>
      </w:r>
    </w:p>
    <w:p w14:paraId="45D68176" w14:textId="77777777" w:rsidR="001B1F4D" w:rsidRPr="001B1F4D" w:rsidRDefault="001B1F4D" w:rsidP="00955D2D">
      <w:pPr>
        <w:keepNext/>
        <w:keepLines/>
        <w:numPr>
          <w:ilvl w:val="0"/>
          <w:numId w:val="41"/>
        </w:numPr>
        <w:spacing w:after="120"/>
        <w:rPr>
          <w:rFonts w:eastAsia="Times New Roman"/>
          <w:color w:val="000000"/>
          <w:szCs w:val="24"/>
        </w:rPr>
      </w:pPr>
      <w:r w:rsidRPr="001B1F4D">
        <w:rPr>
          <w:rFonts w:eastAsia="Times New Roman"/>
          <w:color w:val="000000"/>
          <w:szCs w:val="24"/>
        </w:rPr>
        <w:t xml:space="preserve">The EE forecast drives the reduction of the growth rate of the 10-year gross winter peak demand from 0.6% to a net annual value of −0.6%. The projected decline of the net peak load </w:t>
      </w:r>
      <w:r w:rsidR="00AD774C">
        <w:rPr>
          <w:rFonts w:eastAsia="Times New Roman"/>
          <w:color w:val="000000"/>
          <w:szCs w:val="24"/>
        </w:rPr>
        <w:t xml:space="preserve">may </w:t>
      </w:r>
      <w:r w:rsidRPr="001B1F4D">
        <w:rPr>
          <w:rFonts w:eastAsia="Times New Roman"/>
          <w:color w:val="000000"/>
          <w:szCs w:val="24"/>
        </w:rPr>
        <w:t>help</w:t>
      </w:r>
      <w:r w:rsidR="00AD774C">
        <w:rPr>
          <w:rFonts w:eastAsia="Times New Roman"/>
          <w:color w:val="000000"/>
          <w:szCs w:val="24"/>
        </w:rPr>
        <w:t xml:space="preserve"> </w:t>
      </w:r>
      <w:r w:rsidRPr="001B1F4D">
        <w:rPr>
          <w:rFonts w:eastAsia="Times New Roman"/>
          <w:color w:val="000000"/>
          <w:szCs w:val="24"/>
        </w:rPr>
        <w:t xml:space="preserve">mitigate winter reliability concerns. </w:t>
      </w:r>
    </w:p>
    <w:p w14:paraId="5131767D" w14:textId="77777777" w:rsidR="001B1F4D" w:rsidRPr="001B1F4D" w:rsidRDefault="001B1F4D" w:rsidP="00955D2D">
      <w:pPr>
        <w:numPr>
          <w:ilvl w:val="0"/>
          <w:numId w:val="41"/>
        </w:numPr>
        <w:spacing w:after="120"/>
        <w:rPr>
          <w:rFonts w:eastAsia="Times New Roman"/>
          <w:color w:val="000000"/>
          <w:szCs w:val="24"/>
        </w:rPr>
      </w:pPr>
      <w:r w:rsidRPr="001B1F4D">
        <w:rPr>
          <w:rFonts w:eastAsia="Times New Roman"/>
          <w:color w:val="000000"/>
          <w:szCs w:val="24"/>
        </w:rPr>
        <w:t xml:space="preserve">Regional </w:t>
      </w:r>
      <w:r w:rsidR="00D903D5">
        <w:rPr>
          <w:rFonts w:eastAsia="Times New Roman"/>
          <w:color w:val="000000"/>
          <w:szCs w:val="24"/>
        </w:rPr>
        <w:t xml:space="preserve">summer </w:t>
      </w:r>
      <w:r w:rsidRPr="001B1F4D">
        <w:rPr>
          <w:rFonts w:eastAsia="Times New Roman"/>
          <w:color w:val="000000"/>
          <w:szCs w:val="24"/>
        </w:rPr>
        <w:t xml:space="preserve">demand savings from energy efficiency are expected to grow from 2,913 MW in 2019 to 5,372 MW in 2028. New England states’ annual investments in EE programs are expected to be more than $1 billion per year for 2019 through 2028. These EE investments </w:t>
      </w:r>
      <w:r w:rsidRPr="001B1F4D">
        <w:rPr>
          <w:rFonts w:eastAsia="Times New Roman"/>
          <w:color w:val="000000"/>
          <w:szCs w:val="24"/>
        </w:rPr>
        <w:lastRenderedPageBreak/>
        <w:t xml:space="preserve">remain a major factor in the expansion of passive demand resources in the region, which are projected to grow at an average rate of 273 MW per year across the 10-year horizon. </w:t>
      </w:r>
    </w:p>
    <w:p w14:paraId="719B8574" w14:textId="77777777" w:rsidR="001B1F4D" w:rsidRP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Photovoltaic resources reached 2,884 MWac in nameplate capacity by the end of 2018 and are expected to grow to 6,744 MWac by 2028. The estimated reductions in summer seasonal peak loads due to BTM PV resources are 708 MW in 2019 and 1,051 MW in 2028; BTM PV does not reduce winter peaks because they typically occur after </w:t>
      </w:r>
      <w:r w:rsidR="00BC3CBC">
        <w:rPr>
          <w:rFonts w:eastAsia="Times New Roman"/>
          <w:color w:val="000000"/>
          <w:szCs w:val="24"/>
        </w:rPr>
        <w:t>the sun has set</w:t>
      </w:r>
      <w:r w:rsidRPr="001B1F4D">
        <w:rPr>
          <w:rFonts w:eastAsia="Times New Roman"/>
          <w:color w:val="000000"/>
          <w:szCs w:val="24"/>
        </w:rPr>
        <w:t>.</w:t>
      </w:r>
    </w:p>
    <w:p w14:paraId="765BB07E" w14:textId="16629E44" w:rsidR="001B1F4D" w:rsidRDefault="001B1F4D" w:rsidP="00955D2D">
      <w:pPr>
        <w:numPr>
          <w:ilvl w:val="0"/>
          <w:numId w:val="42"/>
        </w:numPr>
        <w:spacing w:after="120"/>
        <w:rPr>
          <w:rFonts w:eastAsia="Times New Roman"/>
          <w:color w:val="000000"/>
          <w:szCs w:val="24"/>
        </w:rPr>
      </w:pPr>
      <w:r w:rsidRPr="001B1F4D">
        <w:rPr>
          <w:rFonts w:eastAsia="Times New Roman"/>
          <w:color w:val="000000"/>
          <w:szCs w:val="24"/>
        </w:rPr>
        <w:t xml:space="preserve">The ISO is closely monitoring the preliminary strategic electrification initiatives implemented by the New England states to meet </w:t>
      </w:r>
      <w:r w:rsidR="0052617A">
        <w:rPr>
          <w:rFonts w:eastAsia="Times New Roman"/>
          <w:color w:val="000000"/>
          <w:szCs w:val="24"/>
        </w:rPr>
        <w:t xml:space="preserve">mandates and goals for reducing </w:t>
      </w:r>
      <w:r w:rsidRPr="001B1F4D">
        <w:rPr>
          <w:rFonts w:eastAsia="Times New Roman"/>
          <w:color w:val="000000"/>
          <w:szCs w:val="24"/>
        </w:rPr>
        <w:t>greenhouse gas</w:t>
      </w:r>
      <w:r w:rsidR="0052617A">
        <w:rPr>
          <w:rFonts w:eastAsia="Times New Roman"/>
          <w:color w:val="000000"/>
          <w:szCs w:val="24"/>
        </w:rPr>
        <w:t>es</w:t>
      </w:r>
      <w:r w:rsidR="00F06A6F">
        <w:rPr>
          <w:rFonts w:eastAsia="Times New Roman"/>
          <w:color w:val="000000"/>
          <w:szCs w:val="24"/>
        </w:rPr>
        <w:t xml:space="preserve"> (see Section</w:t>
      </w:r>
      <w:r w:rsidR="00384444">
        <w:rPr>
          <w:rFonts w:eastAsia="Times New Roman"/>
          <w:color w:val="000000"/>
          <w:szCs w:val="24"/>
        </w:rPr>
        <w:t> </w:t>
      </w:r>
      <w:r w:rsidR="00384444" w:rsidRPr="009A74ED">
        <w:rPr>
          <w:rFonts w:eastAsia="Times New Roman"/>
          <w:color w:val="000000"/>
          <w:szCs w:val="24"/>
        </w:rPr>
        <w:fldChar w:fldCharType="begin"/>
      </w:r>
      <w:r w:rsidR="00384444" w:rsidRPr="00384444">
        <w:rPr>
          <w:rFonts w:eastAsia="Times New Roman"/>
          <w:color w:val="000000"/>
          <w:szCs w:val="24"/>
        </w:rPr>
        <w:instrText xml:space="preserve"> REF _Ref12125800 \r \h </w:instrText>
      </w:r>
      <w:r w:rsidR="00384444">
        <w:rPr>
          <w:rFonts w:eastAsia="Times New Roman"/>
          <w:color w:val="000000"/>
          <w:szCs w:val="24"/>
        </w:rPr>
        <w:instrText xml:space="preserve"> \* MERGEFORMAT </w:instrText>
      </w:r>
      <w:r w:rsidR="00384444" w:rsidRPr="009A74ED">
        <w:rPr>
          <w:rFonts w:eastAsia="Times New Roman"/>
          <w:color w:val="000000"/>
          <w:szCs w:val="24"/>
        </w:rPr>
      </w:r>
      <w:r w:rsidR="00384444" w:rsidRPr="009A74ED">
        <w:rPr>
          <w:rFonts w:eastAsia="Times New Roman"/>
          <w:color w:val="000000"/>
          <w:szCs w:val="24"/>
        </w:rPr>
        <w:fldChar w:fldCharType="separate"/>
      </w:r>
      <w:r w:rsidR="005D0B73">
        <w:rPr>
          <w:rFonts w:eastAsia="Times New Roman"/>
          <w:color w:val="000000"/>
          <w:szCs w:val="24"/>
        </w:rPr>
        <w:t>8.2.2</w:t>
      </w:r>
      <w:r w:rsidR="00384444" w:rsidRPr="009A74ED">
        <w:rPr>
          <w:rFonts w:eastAsia="Times New Roman"/>
          <w:color w:val="000000"/>
          <w:szCs w:val="24"/>
        </w:rPr>
        <w:fldChar w:fldCharType="end"/>
      </w:r>
      <w:r w:rsidR="00F06A6F" w:rsidRPr="00384444">
        <w:rPr>
          <w:rFonts w:eastAsia="Times New Roman"/>
          <w:color w:val="000000"/>
          <w:szCs w:val="24"/>
        </w:rPr>
        <w:t>)</w:t>
      </w:r>
      <w:r w:rsidRPr="00384444">
        <w:rPr>
          <w:rFonts w:eastAsia="Times New Roman"/>
          <w:color w:val="000000"/>
          <w:szCs w:val="24"/>
        </w:rPr>
        <w:t>. Th</w:t>
      </w:r>
      <w:r w:rsidRPr="001B1F4D">
        <w:rPr>
          <w:rFonts w:eastAsia="Times New Roman"/>
          <w:color w:val="000000"/>
          <w:szCs w:val="24"/>
        </w:rPr>
        <w:t xml:space="preserve">ese initiatives are just beginning but are expected to promote the growth of emerging technologies, such as electric vehicles and air-sourced cold-climate heat pumps. Depending in part on the timing and rate of their adoption, these new electric uses will be important considerations in the long-term outlook for electric energy and peak demand in the coming years. </w:t>
      </w:r>
    </w:p>
    <w:p w14:paraId="368ECDA1" w14:textId="77777777" w:rsidR="00EB271B" w:rsidRDefault="00EB271B" w:rsidP="00EB271B">
      <w:pPr>
        <w:spacing w:after="120"/>
        <w:ind w:left="720"/>
        <w:rPr>
          <w:rFonts w:eastAsia="Times New Roman"/>
          <w:color w:val="000000"/>
          <w:szCs w:val="24"/>
        </w:rPr>
        <w:sectPr w:rsidR="00EB271B" w:rsidSect="00806C40">
          <w:pgSz w:w="12240" w:h="15840"/>
          <w:pgMar w:top="1440" w:right="1440" w:bottom="1440" w:left="1800" w:header="720" w:footer="720" w:gutter="0"/>
          <w:cols w:space="720"/>
          <w:docGrid w:linePitch="360"/>
        </w:sectPr>
      </w:pPr>
    </w:p>
    <w:p w14:paraId="1F737D12" w14:textId="77777777" w:rsidR="004C7089" w:rsidRPr="004C7089" w:rsidRDefault="004C7089" w:rsidP="004C7089">
      <w:pPr>
        <w:pStyle w:val="Heading1"/>
      </w:pPr>
      <w:r w:rsidRPr="004C7089">
        <w:lastRenderedPageBreak/>
        <w:br/>
      </w:r>
      <w:bookmarkStart w:id="321" w:name="_Ref418680938"/>
      <w:bookmarkStart w:id="322" w:name="_Toc481053246"/>
      <w:bookmarkStart w:id="323" w:name="_Toc490323023"/>
      <w:bookmarkStart w:id="324" w:name="_Toc12795164"/>
      <w:bookmarkStart w:id="325" w:name="_Ref387327898"/>
      <w:r w:rsidRPr="004C7089">
        <w:t>Resource Adequacy—Resources, Capacity, and Reserves</w:t>
      </w:r>
      <w:bookmarkEnd w:id="321"/>
      <w:bookmarkEnd w:id="322"/>
      <w:bookmarkEnd w:id="323"/>
      <w:bookmarkEnd w:id="324"/>
      <w:r w:rsidRPr="004C7089">
        <w:t xml:space="preserve"> </w:t>
      </w:r>
    </w:p>
    <w:p w14:paraId="2C91DE60" w14:textId="1F80F3A8" w:rsidR="004C7089" w:rsidRPr="004C7089" w:rsidRDefault="004C7089" w:rsidP="004C7089">
      <w:r w:rsidRPr="004C7089">
        <w:t xml:space="preserve">The ISO’s system planning process identifies the amounts and locations of capacity resources the system needs for ensuring resource adequacy and how the region is meeting these needs through the Forward Capacity Market (FCM) and the locational Forward Reserve Market (FRM). The amount of capacity the system requires in a given year is determined through the Installed Capacity Requirement </w:t>
      </w:r>
      <w:r w:rsidR="002668BA">
        <w:t xml:space="preserve">(ICR) </w:t>
      </w:r>
      <w:r w:rsidRPr="004C7089">
        <w:t xml:space="preserve">calculation, which accounts for uncertainties, contingencies, and resource performance under a wide range of existing and future system conditions. The procurement of resources providing operating reserves for the system and local areas addresses contingencies, such as unplanned outages. </w:t>
      </w:r>
      <w:r w:rsidRPr="00841225">
        <w:t>Collectively, the forecasts</w:t>
      </w:r>
      <w:r w:rsidRPr="004C7089">
        <w:t xml:space="preserve"> of future electricity demand (as discussed in </w:t>
      </w:r>
      <w:r w:rsidRPr="004C7089">
        <w:fldChar w:fldCharType="begin"/>
      </w:r>
      <w:r w:rsidRPr="004C7089">
        <w:instrText xml:space="preserve"> REF _Ref418518333 \n \h  \* MERGEFORMAT </w:instrText>
      </w:r>
      <w:r w:rsidRPr="004C7089">
        <w:fldChar w:fldCharType="separate"/>
      </w:r>
      <w:r w:rsidR="005D0B73">
        <w:t>Section 3</w:t>
      </w:r>
      <w:r w:rsidRPr="004C7089">
        <w:fldChar w:fldCharType="end"/>
      </w:r>
      <w:r w:rsidRPr="004C7089">
        <w:t xml:space="preserve">), the </w:t>
      </w:r>
      <w:r w:rsidRPr="00A1119B">
        <w:t>ICR</w:t>
      </w:r>
      <w:r w:rsidRPr="004C7089">
        <w:t xml:space="preserve"> calculation, the procurement of resources providing capacity and reserves, and the operable-capacity </w:t>
      </w:r>
      <w:r w:rsidRPr="009C718F">
        <w:t xml:space="preserve">analyses that consider future scenarios of load forecasts and operating conditions are referred to as the </w:t>
      </w:r>
      <w:r w:rsidRPr="00A1119B">
        <w:t>resource-adequacy</w:t>
      </w:r>
      <w:r w:rsidRPr="00AF2D85">
        <w:t xml:space="preserve"> process.</w:t>
      </w:r>
      <w:r w:rsidRPr="004C7089">
        <w:t xml:space="preserve"> </w:t>
      </w:r>
    </w:p>
    <w:p w14:paraId="730CE39C" w14:textId="77777777" w:rsidR="002668BA" w:rsidRDefault="004C7089" w:rsidP="004C7089">
      <w:r w:rsidRPr="004C7089">
        <w:t>This section d</w:t>
      </w:r>
      <w:r w:rsidR="007E3CE9">
        <w:t xml:space="preserve">iscusses </w:t>
      </w:r>
      <w:r w:rsidRPr="004C7089">
        <w:t xml:space="preserve">the </w:t>
      </w:r>
      <w:r w:rsidR="002668BA">
        <w:t>following</w:t>
      </w:r>
      <w:r w:rsidR="007E3CE9">
        <w:t xml:space="preserve"> topics</w:t>
      </w:r>
      <w:r w:rsidR="002668BA">
        <w:t>:</w:t>
      </w:r>
    </w:p>
    <w:p w14:paraId="5084D69A" w14:textId="77777777" w:rsidR="002668BA" w:rsidRDefault="002668BA" w:rsidP="007E3CE9">
      <w:pPr>
        <w:pStyle w:val="ListParagraph"/>
        <w:numPr>
          <w:ilvl w:val="0"/>
          <w:numId w:val="770"/>
        </w:numPr>
      </w:pPr>
      <w:r>
        <w:t>R</w:t>
      </w:r>
      <w:r w:rsidR="004C7089" w:rsidRPr="004C7089">
        <w:t>equirements for resource adequacy over the 10-year planning period</w:t>
      </w:r>
    </w:p>
    <w:p w14:paraId="1329A066" w14:textId="77777777" w:rsidR="007E3CE9" w:rsidRDefault="002668BA" w:rsidP="007E3CE9">
      <w:pPr>
        <w:pStyle w:val="ListParagraph"/>
        <w:numPr>
          <w:ilvl w:val="0"/>
          <w:numId w:val="770"/>
        </w:numPr>
      </w:pPr>
      <w:r>
        <w:t>A</w:t>
      </w:r>
      <w:r w:rsidR="004C7089" w:rsidRPr="004C7089">
        <w:t>nalyses conducted to determine the systemwide and local-area needs for ensuring resource adequacy</w:t>
      </w:r>
    </w:p>
    <w:p w14:paraId="3EFB2359" w14:textId="77777777" w:rsidR="007E3CE9" w:rsidRDefault="007E3CE9" w:rsidP="007E3CE9">
      <w:pPr>
        <w:pStyle w:val="ListParagraph"/>
        <w:numPr>
          <w:ilvl w:val="0"/>
          <w:numId w:val="770"/>
        </w:numPr>
      </w:pPr>
      <w:r>
        <w:t>T</w:t>
      </w:r>
      <w:r w:rsidR="004C7089" w:rsidRPr="004C7089">
        <w:t>he region’s efforts to meet the need for resources through market initiatives, such as the FCM and FRM</w:t>
      </w:r>
    </w:p>
    <w:p w14:paraId="4387F34F" w14:textId="77777777" w:rsidR="007E3CE9" w:rsidRDefault="007E3CE9" w:rsidP="007E3CE9">
      <w:pPr>
        <w:pStyle w:val="ListParagraph"/>
        <w:numPr>
          <w:ilvl w:val="0"/>
          <w:numId w:val="770"/>
        </w:numPr>
        <w:spacing w:after="240"/>
      </w:pPr>
      <w:r>
        <w:t>E</w:t>
      </w:r>
      <w:r w:rsidR="004C7089" w:rsidRPr="004C7089">
        <w:t>nergy efficiency (EE) and renewable resources being developed by initiatives prompted through policy changes by the six New England states</w:t>
      </w:r>
    </w:p>
    <w:p w14:paraId="518DFFB4" w14:textId="77777777" w:rsidR="004C7089" w:rsidRPr="004C7089" w:rsidRDefault="004C7089" w:rsidP="004C7089">
      <w:r w:rsidRPr="004C7089">
        <w:t>This section also discusses the results of the net operable-capacity assessments of the system under a variety of deterministic stressed-system conditions.</w:t>
      </w:r>
      <w:r w:rsidRPr="004C7089">
        <w:rPr>
          <w:vertAlign w:val="superscript"/>
        </w:rPr>
        <w:footnoteReference w:id="93"/>
      </w:r>
      <w:r w:rsidRPr="004C7089">
        <w:t xml:space="preserve"> Also addressed are existing and future generating resources, including the capacity supply obligations (CSOs) to the markets and the seasonal claimed capability (SCC) of existing resources and projects proposed </w:t>
      </w:r>
      <w:r w:rsidRPr="00AF2D85">
        <w:t xml:space="preserve">through the ISO’s </w:t>
      </w:r>
      <w:r w:rsidRPr="00A1119B">
        <w:t>interconnection queue that can help meet the long-term needs of the system.</w:t>
      </w:r>
      <w:r w:rsidRPr="00AF2D85">
        <w:rPr>
          <w:vertAlign w:val="superscript"/>
        </w:rPr>
        <w:footnoteReference w:id="94"/>
      </w:r>
    </w:p>
    <w:p w14:paraId="4F978CB5" w14:textId="77777777" w:rsidR="004C7089" w:rsidRPr="00367A18" w:rsidRDefault="004C7089" w:rsidP="004C7089">
      <w:pPr>
        <w:pStyle w:val="Heading2"/>
      </w:pPr>
      <w:bookmarkStart w:id="326" w:name="_Ref327866184"/>
      <w:bookmarkStart w:id="327" w:name="_Toc334601025"/>
      <w:bookmarkStart w:id="328" w:name="_Toc365440992"/>
      <w:bookmarkStart w:id="329" w:name="_Toc396807621"/>
      <w:bookmarkStart w:id="330" w:name="_Toc481053247"/>
      <w:bookmarkStart w:id="331" w:name="_Toc490323024"/>
      <w:bookmarkStart w:id="332" w:name="_Toc12795165"/>
      <w:r w:rsidRPr="00367A18">
        <w:t>Determining Systemwide and Local-Area Capacity Needs</w:t>
      </w:r>
      <w:bookmarkEnd w:id="326"/>
      <w:bookmarkEnd w:id="327"/>
      <w:bookmarkEnd w:id="328"/>
      <w:bookmarkEnd w:id="329"/>
      <w:bookmarkEnd w:id="330"/>
      <w:bookmarkEnd w:id="331"/>
      <w:bookmarkEnd w:id="332"/>
      <w:r w:rsidRPr="00367A18">
        <w:t xml:space="preserve"> </w:t>
      </w:r>
    </w:p>
    <w:p w14:paraId="03FDE050" w14:textId="568B9815" w:rsidR="004C7089" w:rsidRPr="004C7089" w:rsidRDefault="004C7089" w:rsidP="004C7089">
      <w:r w:rsidRPr="004C7089">
        <w:t xml:space="preserve">The Installed Capacity Requirement forms the basis for determining the future systemwide capacity needs. The planning process also determines the need for </w:t>
      </w:r>
      <w:r w:rsidR="007E366A">
        <w:t xml:space="preserve">localized </w:t>
      </w:r>
      <w:r w:rsidRPr="004C7089">
        <w:t xml:space="preserve">capacity, accounting for export and import transmission capabilities (or limitations) of these </w:t>
      </w:r>
      <w:r w:rsidR="007E366A">
        <w:t xml:space="preserve">capacity </w:t>
      </w:r>
      <w:r w:rsidRPr="004C7089">
        <w:t>zones</w:t>
      </w:r>
      <w:r w:rsidR="007E366A">
        <w:t xml:space="preserve"> (see Section </w:t>
      </w:r>
      <w:r w:rsidR="007E366A">
        <w:fldChar w:fldCharType="begin"/>
      </w:r>
      <w:r w:rsidR="007E366A">
        <w:instrText xml:space="preserve"> REF _Ref356659320 \r \h </w:instrText>
      </w:r>
      <w:r w:rsidR="007E366A">
        <w:fldChar w:fldCharType="separate"/>
      </w:r>
      <w:r w:rsidR="005D0B73">
        <w:t>2.4</w:t>
      </w:r>
      <w:r w:rsidR="007E366A">
        <w:fldChar w:fldCharType="end"/>
      </w:r>
      <w:r w:rsidR="007E366A">
        <w:t>)</w:t>
      </w:r>
      <w:r w:rsidRPr="004C7089">
        <w:t>. The annual Forward Capacity Auction</w:t>
      </w:r>
      <w:r w:rsidR="00492E61">
        <w:t>s</w:t>
      </w:r>
      <w:r w:rsidRPr="004C7089">
        <w:t xml:space="preserve"> (FCA</w:t>
      </w:r>
      <w:r w:rsidR="00492E61">
        <w:t>s</w:t>
      </w:r>
      <w:r w:rsidRPr="004C7089">
        <w:t xml:space="preserve">) and annual </w:t>
      </w:r>
      <w:r w:rsidR="00492E61">
        <w:t xml:space="preserve">and monthly </w:t>
      </w:r>
      <w:r w:rsidRPr="004C7089">
        <w:t xml:space="preserve">reconfiguration auctions are intended to </w:t>
      </w:r>
      <w:r w:rsidRPr="004C7089">
        <w:lastRenderedPageBreak/>
        <w:t>procure the needed capacity, systemwide and for identified capacity zones. This section provides the results of the systemwide and local-area analyses for the planning period.</w:t>
      </w:r>
    </w:p>
    <w:p w14:paraId="3D930766" w14:textId="77777777" w:rsidR="004C7089" w:rsidRPr="004C7089" w:rsidRDefault="004C7089" w:rsidP="004C7089">
      <w:pPr>
        <w:pStyle w:val="Heading3"/>
      </w:pPr>
      <w:bookmarkStart w:id="333" w:name="_Ref387673339"/>
      <w:bookmarkStart w:id="334" w:name="_Toc396807622"/>
      <w:bookmarkStart w:id="335" w:name="_Toc481053248"/>
      <w:bookmarkStart w:id="336" w:name="_Toc490323025"/>
      <w:bookmarkStart w:id="337" w:name="_Toc12795166"/>
      <w:r w:rsidRPr="004C7089">
        <w:t>Systemwide Installed Capacity Requirements</w:t>
      </w:r>
      <w:bookmarkEnd w:id="333"/>
      <w:bookmarkEnd w:id="334"/>
      <w:bookmarkEnd w:id="335"/>
      <w:bookmarkEnd w:id="336"/>
      <w:bookmarkEnd w:id="337"/>
    </w:p>
    <w:p w14:paraId="4C8F9F95" w14:textId="77777777" w:rsidR="004C7089" w:rsidRPr="004C7089" w:rsidRDefault="004C7089" w:rsidP="004C7089">
      <w:r w:rsidRPr="004C7089">
        <w:t>The ISO develops the I</w:t>
      </w:r>
      <w:r w:rsidR="007E3CE9">
        <w:t>CR</w:t>
      </w:r>
      <w:r w:rsidRPr="004C7089">
        <w:t xml:space="preserve"> in consultation with NEPOOL and other interested parties through an extensive stakeholder process. The ISO vets the assumptions used to develop the ICR </w:t>
      </w:r>
      <w:r w:rsidRPr="009C718F">
        <w:t>with the New England stakeholders, and the Power Supply Planning Committee (PSPC) reviews th</w:t>
      </w:r>
      <w:r w:rsidRPr="00AF2D85">
        <w:t>e values developed by the ISO. They are then reviewed, discussed</w:t>
      </w:r>
      <w:r w:rsidR="003C6C05">
        <w:t>,</w:t>
      </w:r>
      <w:r w:rsidRPr="00AF2D85">
        <w:t xml:space="preserve"> and voted </w:t>
      </w:r>
      <w:r w:rsidR="003C6C05">
        <w:t xml:space="preserve">on </w:t>
      </w:r>
      <w:r w:rsidRPr="00AF2D85">
        <w:t xml:space="preserve">by the Reliability Committee </w:t>
      </w:r>
      <w:r w:rsidRPr="00A1119B">
        <w:t xml:space="preserve">(RC) </w:t>
      </w:r>
      <w:r w:rsidRPr="00AF2D85">
        <w:t>and the Participants Committee</w:t>
      </w:r>
      <w:r w:rsidRPr="00A1119B">
        <w:t xml:space="preserve"> (PC)</w:t>
      </w:r>
      <w:r w:rsidR="006A701E">
        <w:t xml:space="preserve"> </w:t>
      </w:r>
      <w:r w:rsidRPr="00AF2D85">
        <w:t xml:space="preserve">before </w:t>
      </w:r>
      <w:r w:rsidR="003C6C05">
        <w:t xml:space="preserve">they are </w:t>
      </w:r>
      <w:r w:rsidRPr="00AF2D85">
        <w:t>fil</w:t>
      </w:r>
      <w:r w:rsidR="003C6C05">
        <w:t xml:space="preserve">ed </w:t>
      </w:r>
      <w:r w:rsidRPr="00AF2D85">
        <w:t>with FERC.</w:t>
      </w:r>
    </w:p>
    <w:p w14:paraId="3CE9F491" w14:textId="77777777" w:rsidR="004C7089" w:rsidRPr="004C7089" w:rsidRDefault="004C7089" w:rsidP="004C7089">
      <w:r w:rsidRPr="004C7089">
        <w:t xml:space="preserve">As part of a stakeholder process conducted in 2018, the methodologies used to develop various assumptions associated with the development of the ICRs have been changed to better reflect modeling of the system conditions. The changes were implemented over a two-year period. The development of the ICR calculations performed for 2018 captured the modeling of the load-reduction uncertainty associated with BTM PV and the increase in </w:t>
      </w:r>
      <w:r w:rsidRPr="00533A2C">
        <w:t xml:space="preserve">the minimum system operating reserve (from 200 MW to 700 MW) needed for reliable system operations. </w:t>
      </w:r>
      <w:r w:rsidR="00533A2C" w:rsidRPr="00533A2C">
        <w:t>A</w:t>
      </w:r>
      <w:r w:rsidR="00533A2C">
        <w:t>n</w:t>
      </w:r>
      <w:r w:rsidR="00533A2C" w:rsidRPr="00533A2C">
        <w:t xml:space="preserve"> </w:t>
      </w:r>
      <w:r w:rsidRPr="00533A2C">
        <w:t xml:space="preserve">equivalent demand forced-outage rate (EFORd) </w:t>
      </w:r>
      <w:r w:rsidR="00533A2C">
        <w:t xml:space="preserve">was used </w:t>
      </w:r>
      <w:r w:rsidRPr="00533A2C">
        <w:t xml:space="preserve">instead of an assumed 20% derate to model fast-start generator performance in </w:t>
      </w:r>
      <w:r w:rsidR="00533A2C" w:rsidRPr="00CF2B8B">
        <w:t xml:space="preserve">the </w:t>
      </w:r>
      <w:r w:rsidRPr="00533A2C">
        <w:t>Transmission Security Analysis (TSA) calculations, and the</w:t>
      </w:r>
      <w:r w:rsidR="00533A2C">
        <w:t xml:space="preserve"> </w:t>
      </w:r>
      <w:r w:rsidRPr="00533A2C">
        <w:t>load relief due to a 5% voltage reduction was decreased from 1.5% to 1.0%.</w:t>
      </w:r>
      <w:r w:rsidRPr="00533A2C">
        <w:rPr>
          <w:vertAlign w:val="superscript"/>
        </w:rPr>
        <w:footnoteReference w:id="95"/>
      </w:r>
      <w:r w:rsidRPr="004C7089">
        <w:t xml:space="preserve"> These changes were effective starting with ICR calculations performed in 2019.</w:t>
      </w:r>
    </w:p>
    <w:p w14:paraId="7658258E" w14:textId="77777777" w:rsidR="004C7089" w:rsidRPr="004C7089" w:rsidRDefault="004C7089" w:rsidP="004C7089">
      <w:r w:rsidRPr="004C7089">
        <w:t>This section of RSP19 discusses the established net ICR values for the 2019/2020 through 2022/2023 capacity commitment periods (CCPs) and illustrates representative net ICR values for the 2024/2025 through 2028/2029 periods.</w:t>
      </w:r>
      <w:r w:rsidRPr="004C7089">
        <w:rPr>
          <w:vertAlign w:val="superscript"/>
        </w:rPr>
        <w:footnoteReference w:id="96"/>
      </w:r>
      <w:r w:rsidRPr="004C7089">
        <w:t xml:space="preserve"> The established net ICR values for the 2019/2020 through 2022/2023 </w:t>
      </w:r>
      <w:r w:rsidR="00404DD4">
        <w:t>CCPs</w:t>
      </w:r>
      <w:r w:rsidRPr="004C7089">
        <w:t xml:space="preserve"> reflect the latest ICR values approved by FERC and were developed using the 2018 CELT Report load data.</w:t>
      </w:r>
      <w:r w:rsidRPr="004C7089">
        <w:rPr>
          <w:vertAlign w:val="superscript"/>
        </w:rPr>
        <w:footnoteReference w:id="97"/>
      </w:r>
      <w:r w:rsidRPr="004C7089">
        <w:t xml:space="preserve"> The representative net ICR values for 2024/2025 through 2028/2029 are calculated using the same assumptions used to develop the net ICR for 2022/2023 except for the demand forecast net of BTM PV.</w:t>
      </w:r>
      <w:r w:rsidRPr="004C7089">
        <w:rPr>
          <w:vertAlign w:val="superscript"/>
        </w:rPr>
        <w:footnoteReference w:id="98"/>
      </w:r>
      <w:r w:rsidRPr="004C7089">
        <w:t xml:space="preserve"> The net demand forecast used to calculate the representative net ICR values are based on the 2019 CELT forecast.</w:t>
      </w:r>
      <w:r w:rsidRPr="004C7089">
        <w:rPr>
          <w:vertAlign w:val="superscript"/>
        </w:rPr>
        <w:footnoteReference w:id="99"/>
      </w:r>
      <w:r w:rsidRPr="004C7089">
        <w:t xml:space="preserve"> </w:t>
      </w:r>
    </w:p>
    <w:p w14:paraId="2EA5B259" w14:textId="77777777" w:rsidR="004C7089" w:rsidRPr="004C7089" w:rsidRDefault="004C7089" w:rsidP="004C7089">
      <w:r w:rsidRPr="004C7089">
        <w:t xml:space="preserve">The representative net ICR values do not indicate the definitive amount of capacity the region will purchase for that period but provides stakeholders with a general forecast of the likely capacity needs of the region into the future. The actual amount of capacity the region will purchase in an FCA and </w:t>
      </w:r>
      <w:r w:rsidRPr="004C7089">
        <w:lastRenderedPageBreak/>
        <w:t>subsequent reconfiguration auctions will be based on the net ICR and the resource offers resulting from the use of demand curves. Specifically, beginning with FCA 11 for capacity commitment period 2020/2021, the ISO has developed systemwide and zonal demand curves using a marginal-reliability-impact (MRI)-based methodology to procure capacity.</w:t>
      </w:r>
      <w:r w:rsidRPr="004C7089">
        <w:rPr>
          <w:vertAlign w:val="superscript"/>
        </w:rPr>
        <w:footnoteReference w:id="100"/>
      </w:r>
      <w:r w:rsidR="00B707AC">
        <w:t xml:space="preserve"> </w:t>
      </w:r>
    </w:p>
    <w:p w14:paraId="25B7BA41" w14:textId="6A3574C9" w:rsidR="004C7089" w:rsidRPr="004C7089" w:rsidRDefault="004C7089" w:rsidP="004C7089">
      <w:r w:rsidRPr="004C7089">
        <w:fldChar w:fldCharType="begin"/>
      </w:r>
      <w:r w:rsidRPr="004C7089">
        <w:instrText xml:space="preserve"> REF _Ref484975569 \h  \* MERGEFORMAT </w:instrText>
      </w:r>
      <w:r w:rsidRPr="004C7089">
        <w:fldChar w:fldCharType="separate"/>
      </w:r>
      <w:r w:rsidR="005D0B73" w:rsidRPr="005D0B73">
        <w:rPr>
          <w:bCs/>
          <w:szCs w:val="18"/>
        </w:rPr>
        <w:t>Table 4</w:t>
      </w:r>
      <w:r w:rsidR="005D0B73" w:rsidRPr="005D0B73">
        <w:rPr>
          <w:bCs/>
          <w:szCs w:val="18"/>
        </w:rPr>
        <w:noBreakHyphen/>
        <w:t>1</w:t>
      </w:r>
      <w:r w:rsidRPr="004C7089">
        <w:fldChar w:fldCharType="end"/>
      </w:r>
      <w:r w:rsidRPr="004C7089">
        <w:t xml:space="preserve"> shows the actual and representative New England net ICRs for 2019/2020 to 2028/2029 and the resulting reserves expressed as a percentage of the 2019 CELT Report forecast of the </w:t>
      </w:r>
      <w:r w:rsidRPr="00A1119B">
        <w:t>50/50 pea</w:t>
      </w:r>
      <w:r w:rsidRPr="00AF2D85">
        <w:t>k</w:t>
      </w:r>
      <w:r w:rsidRPr="004C7089">
        <w:t xml:space="preserve"> demands.</w:t>
      </w:r>
      <w:r w:rsidRPr="004C7089">
        <w:rPr>
          <w:vertAlign w:val="superscript"/>
        </w:rPr>
        <w:footnoteReference w:id="101"/>
      </w:r>
      <w:r w:rsidRPr="004C7089">
        <w:t xml:space="preserve"> The percentage resulting reserves associated with the actual net ICRs would be approximately 1.6% lower if these requirements were expressed as a percentage of the 2018 CELT 50/50 peak demands. The 2018 CELT 50/50 peak demands are approximately 340 MW to 420 MW higher than the corresponding forecast in the 2019 CELT Report. The 50/50 peak forecast for the years shown in Table 4-1 is equal to the gross demand forecast minus reductions for BTM PV (see </w:t>
      </w:r>
      <w:r w:rsidRPr="00A1119B">
        <w:t xml:space="preserve">Section </w:t>
      </w:r>
      <w:r w:rsidR="0080457A">
        <w:fldChar w:fldCharType="begin"/>
      </w:r>
      <w:r w:rsidR="0080457A">
        <w:instrText xml:space="preserve"> REF _Ref11050602 \r \h </w:instrText>
      </w:r>
      <w:r w:rsidR="0080457A">
        <w:fldChar w:fldCharType="separate"/>
      </w:r>
      <w:r w:rsidR="005D0B73">
        <w:t>3.3</w:t>
      </w:r>
      <w:r w:rsidR="0080457A">
        <w:fldChar w:fldCharType="end"/>
      </w:r>
      <w:r w:rsidRPr="004C7089">
        <w:t>).</w:t>
      </w:r>
    </w:p>
    <w:p w14:paraId="147112C1" w14:textId="1084B428" w:rsidR="004C7089" w:rsidRPr="004C7089" w:rsidRDefault="004C7089" w:rsidP="004C7089">
      <w:pPr>
        <w:keepNext/>
        <w:keepLines/>
        <w:spacing w:after="80" w:line="240" w:lineRule="auto"/>
        <w:ind w:left="547" w:right="547"/>
        <w:jc w:val="center"/>
        <w:rPr>
          <w:rFonts w:ascii="Calibri" w:hAnsi="Calibri"/>
          <w:b/>
          <w:bCs/>
          <w:szCs w:val="18"/>
        </w:rPr>
      </w:pPr>
      <w:bookmarkStart w:id="338" w:name="_Ref484975569"/>
      <w:bookmarkStart w:id="339" w:name="_Toc491244005"/>
      <w:bookmarkStart w:id="340" w:name="_Toc12795332"/>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338"/>
      <w:r w:rsidRPr="004C7089">
        <w:rPr>
          <w:rFonts w:ascii="Calibri" w:hAnsi="Calibri"/>
          <w:b/>
          <w:bCs/>
          <w:szCs w:val="18"/>
        </w:rPr>
        <w:t xml:space="preserve"> </w:t>
      </w:r>
      <w:r w:rsidRPr="004C7089">
        <w:rPr>
          <w:rFonts w:ascii="Calibri" w:hAnsi="Calibri"/>
          <w:b/>
          <w:bCs/>
          <w:szCs w:val="18"/>
        </w:rPr>
        <w:br/>
        <w:t>Actual and Representative New England Net Installed Capacity Requirements</w:t>
      </w:r>
      <w:r w:rsidRPr="004C7089">
        <w:rPr>
          <w:rFonts w:ascii="Calibri" w:hAnsi="Calibri"/>
          <w:b/>
          <w:bCs/>
          <w:szCs w:val="18"/>
        </w:rPr>
        <w:br/>
        <w:t>and Resulting Reserves (MW, %)</w:t>
      </w:r>
      <w:bookmarkEnd w:id="339"/>
      <w:bookmarkEnd w:id="340"/>
      <w:r w:rsidRPr="004C7089">
        <w:rPr>
          <w:rFonts w:ascii="Calibri" w:hAnsi="Calibri"/>
          <w:b/>
          <w:bCs/>
          <w:szCs w:val="18"/>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4C7089" w:rsidRPr="004C7089" w14:paraId="545F54BE" w14:textId="77777777" w:rsidTr="004C7089">
        <w:trPr>
          <w:cantSplit/>
          <w:tblHeader/>
          <w:jc w:val="center"/>
        </w:trPr>
        <w:tc>
          <w:tcPr>
            <w:tcW w:w="1495" w:type="dxa"/>
            <w:shd w:val="clear" w:color="auto" w:fill="1795D2" w:themeFill="accent1"/>
            <w:vAlign w:val="center"/>
          </w:tcPr>
          <w:p w14:paraId="50E91FFF" w14:textId="77777777"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Commitment Periods</w:t>
            </w:r>
          </w:p>
        </w:tc>
        <w:tc>
          <w:tcPr>
            <w:tcW w:w="2020" w:type="dxa"/>
            <w:shd w:val="clear" w:color="auto" w:fill="1795D2" w:themeFill="accent1"/>
            <w:vAlign w:val="center"/>
          </w:tcPr>
          <w:p w14:paraId="1A7D6815" w14:textId="77777777" w:rsidR="004C7089" w:rsidRPr="004C7089" w:rsidRDefault="004C7089" w:rsidP="00B707AC">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2019 CELT Forecast</w:t>
            </w:r>
            <w:r w:rsidRPr="004C7089">
              <w:rPr>
                <w:rFonts w:asciiTheme="minorHAnsi" w:hAnsiTheme="minorHAnsi"/>
                <w:b/>
                <w:color w:val="FFFFFF" w:themeColor="background1"/>
                <w:sz w:val="18"/>
                <w:szCs w:val="18"/>
              </w:rPr>
              <w:br/>
              <w:t>50/50 Peak (MW)</w:t>
            </w:r>
            <w:r w:rsidRPr="004C7089">
              <w:rPr>
                <w:rFonts w:asciiTheme="minorHAnsi" w:hAnsiTheme="minorHAnsi"/>
                <w:b/>
                <w:color w:val="FFFFFF" w:themeColor="background1"/>
                <w:sz w:val="18"/>
                <w:szCs w:val="18"/>
                <w:vertAlign w:val="superscript"/>
              </w:rPr>
              <w:t>(a)</w:t>
            </w:r>
          </w:p>
        </w:tc>
        <w:tc>
          <w:tcPr>
            <w:tcW w:w="2019" w:type="dxa"/>
            <w:shd w:val="clear" w:color="auto" w:fill="1795D2" w:themeFill="accent1"/>
            <w:vAlign w:val="center"/>
          </w:tcPr>
          <w:p w14:paraId="580EBD6D" w14:textId="77777777" w:rsidR="004C7089" w:rsidRPr="004C7089" w:rsidRDefault="004C7089" w:rsidP="004C7089">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r w:rsidRPr="004C7089">
              <w:rPr>
                <w:rFonts w:asciiTheme="minorHAnsi" w:hAnsiTheme="minorHAnsi"/>
                <w:b/>
                <w:color w:val="FFFFFF" w:themeColor="background1"/>
                <w:sz w:val="18"/>
                <w:szCs w:val="18"/>
              </w:rPr>
              <w:t>Actual and Representative</w:t>
            </w:r>
            <w:r w:rsidRPr="004C7089">
              <w:rPr>
                <w:rFonts w:asciiTheme="minorHAnsi" w:hAnsiTheme="minorHAnsi"/>
                <w:b/>
                <w:color w:val="FFFFFF" w:themeColor="background1"/>
                <w:sz w:val="18"/>
                <w:szCs w:val="18"/>
              </w:rPr>
              <w:br/>
              <w:t>Future Net ICR</w:t>
            </w:r>
            <w:r w:rsidRPr="004C7089" w:rsidDel="00A04777">
              <w:rPr>
                <w:rFonts w:asciiTheme="minorHAnsi" w:hAnsiTheme="minorHAnsi"/>
                <w:b/>
                <w:color w:val="FFFFFF" w:themeColor="background1"/>
                <w:sz w:val="18"/>
                <w:szCs w:val="18"/>
                <w:vertAlign w:val="superscript"/>
              </w:rPr>
              <w:t xml:space="preserve"> </w:t>
            </w:r>
            <w:r w:rsidRPr="004C7089">
              <w:rPr>
                <w:rFonts w:asciiTheme="minorHAnsi" w:hAnsiTheme="minorHAnsi"/>
                <w:b/>
                <w:bCs/>
                <w:color w:val="FFFFFF" w:themeColor="background1"/>
                <w:sz w:val="18"/>
                <w:szCs w:val="18"/>
              </w:rPr>
              <w:t>(MW)</w:t>
            </w:r>
            <w:r w:rsidRPr="004C7089">
              <w:rPr>
                <w:rFonts w:asciiTheme="minorHAnsi" w:hAnsiTheme="minorHAnsi"/>
                <w:b/>
                <w:color w:val="FFFFFF" w:themeColor="background1"/>
                <w:sz w:val="18"/>
                <w:szCs w:val="18"/>
                <w:vertAlign w:val="superscript"/>
              </w:rPr>
              <w:t>(b)</w:t>
            </w:r>
          </w:p>
        </w:tc>
        <w:tc>
          <w:tcPr>
            <w:tcW w:w="2020" w:type="dxa"/>
            <w:shd w:val="clear" w:color="auto" w:fill="1795D2" w:themeFill="accent1"/>
            <w:vAlign w:val="center"/>
          </w:tcPr>
          <w:p w14:paraId="4885E998" w14:textId="77777777" w:rsidR="004C7089" w:rsidRPr="004C7089" w:rsidRDefault="004C7089" w:rsidP="004C7089">
            <w:pPr>
              <w:keepNext/>
              <w:keepLines/>
              <w:spacing w:before="20" w:after="20" w:line="240" w:lineRule="auto"/>
              <w:jc w:val="center"/>
              <w:rPr>
                <w:rFonts w:asciiTheme="minorHAnsi" w:hAnsiTheme="minorHAnsi"/>
                <w:b/>
                <w:bCs/>
                <w:color w:val="FFFFFF" w:themeColor="background1"/>
                <w:sz w:val="18"/>
                <w:szCs w:val="18"/>
              </w:rPr>
            </w:pPr>
            <w:r w:rsidRPr="004C7089">
              <w:rPr>
                <w:rFonts w:asciiTheme="minorHAnsi" w:hAnsiTheme="minorHAnsi"/>
                <w:b/>
                <w:color w:val="FFFFFF" w:themeColor="background1"/>
                <w:sz w:val="18"/>
                <w:szCs w:val="18"/>
              </w:rPr>
              <w:t>Resulting Reserves</w:t>
            </w:r>
            <w:r w:rsidRPr="004C7089">
              <w:rPr>
                <w:rFonts w:asciiTheme="minorHAnsi" w:hAnsiTheme="minorHAnsi"/>
                <w:b/>
                <w:color w:val="FFFFFF" w:themeColor="background1"/>
                <w:sz w:val="18"/>
                <w:szCs w:val="18"/>
                <w:vertAlign w:val="superscript"/>
              </w:rPr>
              <w:br/>
            </w:r>
            <w:r w:rsidRPr="004C7089">
              <w:rPr>
                <w:rFonts w:asciiTheme="minorHAnsi" w:hAnsiTheme="minorHAnsi"/>
                <w:b/>
                <w:color w:val="FFFFFF" w:themeColor="background1"/>
                <w:sz w:val="18"/>
                <w:szCs w:val="18"/>
              </w:rPr>
              <w:t>(%)</w:t>
            </w:r>
            <w:r w:rsidRPr="004C7089">
              <w:rPr>
                <w:rFonts w:asciiTheme="minorHAnsi" w:hAnsiTheme="minorHAnsi"/>
                <w:b/>
                <w:color w:val="FFFFFF" w:themeColor="background1"/>
                <w:sz w:val="18"/>
                <w:szCs w:val="18"/>
                <w:vertAlign w:val="superscript"/>
              </w:rPr>
              <w:t>(c)</w:t>
            </w:r>
          </w:p>
        </w:tc>
      </w:tr>
      <w:tr w:rsidR="004C7089" w:rsidRPr="004C7089" w14:paraId="4C800E8E" w14:textId="77777777" w:rsidTr="004C7089">
        <w:trPr>
          <w:cantSplit/>
          <w:trHeight w:val="331"/>
          <w:jc w:val="center"/>
        </w:trPr>
        <w:tc>
          <w:tcPr>
            <w:tcW w:w="1495" w:type="dxa"/>
            <w:shd w:val="clear" w:color="auto" w:fill="auto"/>
            <w:noWrap/>
            <w:tcMar>
              <w:left w:w="115" w:type="dxa"/>
              <w:right w:w="0" w:type="dxa"/>
            </w:tcMar>
            <w:vAlign w:val="center"/>
          </w:tcPr>
          <w:p w14:paraId="6842E5C5"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2019/2020</w:t>
            </w:r>
          </w:p>
        </w:tc>
        <w:tc>
          <w:tcPr>
            <w:tcW w:w="2020" w:type="dxa"/>
            <w:shd w:val="clear" w:color="auto" w:fill="auto"/>
            <w:noWrap/>
          </w:tcPr>
          <w:p w14:paraId="6975B438"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28,236</w:t>
            </w:r>
          </w:p>
        </w:tc>
        <w:tc>
          <w:tcPr>
            <w:tcW w:w="2019" w:type="dxa"/>
            <w:shd w:val="clear" w:color="auto" w:fill="auto"/>
            <w:noWrap/>
            <w:vAlign w:val="center"/>
          </w:tcPr>
          <w:p w14:paraId="638FB9A2"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33,390</w:t>
            </w:r>
          </w:p>
        </w:tc>
        <w:tc>
          <w:tcPr>
            <w:tcW w:w="2020" w:type="dxa"/>
            <w:shd w:val="clear" w:color="auto" w:fill="auto"/>
            <w:noWrap/>
            <w:vAlign w:val="center"/>
          </w:tcPr>
          <w:p w14:paraId="1BD16E45"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18.3</w:t>
            </w:r>
          </w:p>
        </w:tc>
      </w:tr>
      <w:tr w:rsidR="004C7089" w:rsidRPr="004C7089" w14:paraId="3C6F6931" w14:textId="77777777" w:rsidTr="004C7089">
        <w:trPr>
          <w:cantSplit/>
          <w:trHeight w:val="331"/>
          <w:jc w:val="center"/>
        </w:trPr>
        <w:tc>
          <w:tcPr>
            <w:tcW w:w="1495" w:type="dxa"/>
            <w:shd w:val="clear" w:color="auto" w:fill="CCEAF9" w:themeFill="accent1" w:themeFillTint="33"/>
            <w:noWrap/>
            <w:tcMar>
              <w:left w:w="115" w:type="dxa"/>
              <w:right w:w="0" w:type="dxa"/>
            </w:tcMar>
            <w:vAlign w:val="center"/>
          </w:tcPr>
          <w:p w14:paraId="67BB2DFB"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2020/2021</w:t>
            </w:r>
          </w:p>
        </w:tc>
        <w:tc>
          <w:tcPr>
            <w:tcW w:w="2020" w:type="dxa"/>
            <w:shd w:val="clear" w:color="auto" w:fill="CCEAF9" w:themeFill="accent1" w:themeFillTint="33"/>
            <w:noWrap/>
          </w:tcPr>
          <w:p w14:paraId="12DFF291"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28,353</w:t>
            </w:r>
          </w:p>
        </w:tc>
        <w:tc>
          <w:tcPr>
            <w:tcW w:w="2019" w:type="dxa"/>
            <w:shd w:val="clear" w:color="auto" w:fill="CCEAF9" w:themeFill="accent1" w:themeFillTint="33"/>
            <w:noWrap/>
            <w:vAlign w:val="center"/>
          </w:tcPr>
          <w:p w14:paraId="34696C3C"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33,520</w:t>
            </w:r>
          </w:p>
        </w:tc>
        <w:tc>
          <w:tcPr>
            <w:tcW w:w="2020" w:type="dxa"/>
            <w:shd w:val="clear" w:color="auto" w:fill="CCEAF9" w:themeFill="accent1" w:themeFillTint="33"/>
            <w:noWrap/>
            <w:vAlign w:val="center"/>
          </w:tcPr>
          <w:p w14:paraId="4B69FF2E"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18.2</w:t>
            </w:r>
          </w:p>
        </w:tc>
      </w:tr>
      <w:tr w:rsidR="004C7089" w:rsidRPr="004C7089" w14:paraId="0FB738BE" w14:textId="77777777" w:rsidTr="004C7089">
        <w:trPr>
          <w:cantSplit/>
          <w:trHeight w:val="331"/>
          <w:jc w:val="center"/>
        </w:trPr>
        <w:tc>
          <w:tcPr>
            <w:tcW w:w="1495" w:type="dxa"/>
            <w:shd w:val="clear" w:color="auto" w:fill="auto"/>
            <w:noWrap/>
            <w:tcMar>
              <w:left w:w="115" w:type="dxa"/>
              <w:right w:w="0" w:type="dxa"/>
            </w:tcMar>
            <w:vAlign w:val="center"/>
          </w:tcPr>
          <w:p w14:paraId="192362B5"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sz w:val="18"/>
                <w:szCs w:val="18"/>
              </w:rPr>
              <w:t>2021/2022</w:t>
            </w:r>
          </w:p>
        </w:tc>
        <w:tc>
          <w:tcPr>
            <w:tcW w:w="2020" w:type="dxa"/>
            <w:shd w:val="clear" w:color="auto" w:fill="auto"/>
            <w:noWrap/>
          </w:tcPr>
          <w:p w14:paraId="7D8E6E6D"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28,499</w:t>
            </w:r>
          </w:p>
        </w:tc>
        <w:tc>
          <w:tcPr>
            <w:tcW w:w="2019" w:type="dxa"/>
            <w:shd w:val="clear" w:color="auto" w:fill="auto"/>
            <w:noWrap/>
            <w:vAlign w:val="center"/>
          </w:tcPr>
          <w:p w14:paraId="5C2F4009"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33,550</w:t>
            </w:r>
          </w:p>
        </w:tc>
        <w:tc>
          <w:tcPr>
            <w:tcW w:w="2020" w:type="dxa"/>
            <w:shd w:val="clear" w:color="auto" w:fill="auto"/>
            <w:noWrap/>
            <w:vAlign w:val="center"/>
          </w:tcPr>
          <w:p w14:paraId="1BB87D9A"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14:paraId="2EB493E7" w14:textId="77777777" w:rsidTr="004C7089">
        <w:trPr>
          <w:cantSplit/>
          <w:trHeight w:val="331"/>
          <w:jc w:val="center"/>
        </w:trPr>
        <w:tc>
          <w:tcPr>
            <w:tcW w:w="1495" w:type="dxa"/>
            <w:shd w:val="clear" w:color="auto" w:fill="CCEAF9" w:themeFill="accent1" w:themeFillTint="33"/>
            <w:noWrap/>
            <w:tcMar>
              <w:left w:w="115" w:type="dxa"/>
              <w:right w:w="0" w:type="dxa"/>
            </w:tcMar>
            <w:vAlign w:val="center"/>
          </w:tcPr>
          <w:p w14:paraId="0308828E"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2022/2023</w:t>
            </w:r>
          </w:p>
        </w:tc>
        <w:tc>
          <w:tcPr>
            <w:tcW w:w="2020" w:type="dxa"/>
            <w:shd w:val="clear" w:color="auto" w:fill="CCEAF9" w:themeFill="accent1" w:themeFillTint="33"/>
            <w:noWrap/>
          </w:tcPr>
          <w:p w14:paraId="78853788"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28,670</w:t>
            </w:r>
          </w:p>
        </w:tc>
        <w:tc>
          <w:tcPr>
            <w:tcW w:w="2019" w:type="dxa"/>
            <w:shd w:val="clear" w:color="auto" w:fill="CCEAF9" w:themeFill="accent1" w:themeFillTint="33"/>
            <w:noWrap/>
            <w:vAlign w:val="center"/>
          </w:tcPr>
          <w:p w14:paraId="29B05438"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33,750</w:t>
            </w:r>
          </w:p>
        </w:tc>
        <w:tc>
          <w:tcPr>
            <w:tcW w:w="2020" w:type="dxa"/>
            <w:shd w:val="clear" w:color="auto" w:fill="CCEAF9" w:themeFill="accent1" w:themeFillTint="33"/>
            <w:noWrap/>
            <w:vAlign w:val="center"/>
          </w:tcPr>
          <w:p w14:paraId="6C9BC3D4"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sz w:val="18"/>
                <w:szCs w:val="18"/>
              </w:rPr>
              <w:t>17.7</w:t>
            </w:r>
          </w:p>
        </w:tc>
      </w:tr>
      <w:tr w:rsidR="004C7089" w:rsidRPr="004C7089" w14:paraId="3F02B23C" w14:textId="77777777" w:rsidTr="004C7089">
        <w:trPr>
          <w:cantSplit/>
          <w:trHeight w:val="331"/>
          <w:jc w:val="center"/>
        </w:trPr>
        <w:tc>
          <w:tcPr>
            <w:tcW w:w="1495" w:type="dxa"/>
            <w:shd w:val="clear" w:color="auto" w:fill="auto"/>
            <w:noWrap/>
            <w:tcMar>
              <w:left w:w="115" w:type="dxa"/>
              <w:right w:w="0" w:type="dxa"/>
            </w:tcMar>
            <w:vAlign w:val="center"/>
          </w:tcPr>
          <w:p w14:paraId="609AD05E"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2023/2024</w:t>
            </w:r>
          </w:p>
        </w:tc>
        <w:tc>
          <w:tcPr>
            <w:tcW w:w="2020" w:type="dxa"/>
            <w:shd w:val="clear" w:color="auto" w:fill="auto"/>
            <w:noWrap/>
          </w:tcPr>
          <w:p w14:paraId="2E38A2FB"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28,838</w:t>
            </w:r>
          </w:p>
        </w:tc>
        <w:tc>
          <w:tcPr>
            <w:tcW w:w="2019" w:type="dxa"/>
            <w:shd w:val="clear" w:color="auto" w:fill="auto"/>
            <w:noWrap/>
            <w:vAlign w:val="center"/>
          </w:tcPr>
          <w:p w14:paraId="4DD14230"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sz w:val="18"/>
                <w:szCs w:val="18"/>
              </w:rPr>
              <w:t>TBD</w:t>
            </w:r>
            <w:r w:rsidRPr="004C7089">
              <w:rPr>
                <w:rFonts w:asciiTheme="minorHAnsi" w:hAnsiTheme="minorHAnsi"/>
                <w:sz w:val="18"/>
                <w:szCs w:val="18"/>
                <w:vertAlign w:val="superscript"/>
              </w:rPr>
              <w:t>(d)</w:t>
            </w:r>
          </w:p>
        </w:tc>
        <w:tc>
          <w:tcPr>
            <w:tcW w:w="2020" w:type="dxa"/>
            <w:shd w:val="clear" w:color="auto" w:fill="auto"/>
            <w:noWrap/>
            <w:vAlign w:val="center"/>
          </w:tcPr>
          <w:p w14:paraId="6FE4FE75"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w:t>
            </w:r>
          </w:p>
        </w:tc>
      </w:tr>
      <w:tr w:rsidR="004C7089" w:rsidRPr="004C7089" w14:paraId="45A0A55D" w14:textId="77777777" w:rsidTr="004C7089">
        <w:trPr>
          <w:cantSplit/>
          <w:trHeight w:val="331"/>
          <w:jc w:val="center"/>
        </w:trPr>
        <w:tc>
          <w:tcPr>
            <w:tcW w:w="1495" w:type="dxa"/>
            <w:shd w:val="clear" w:color="auto" w:fill="CCEAF9" w:themeFill="accent1" w:themeFillTint="33"/>
            <w:noWrap/>
            <w:tcMar>
              <w:left w:w="115" w:type="dxa"/>
              <w:right w:w="0" w:type="dxa"/>
            </w:tcMar>
            <w:vAlign w:val="center"/>
          </w:tcPr>
          <w:p w14:paraId="657C78A4"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2024/2025</w:t>
            </w:r>
          </w:p>
        </w:tc>
        <w:tc>
          <w:tcPr>
            <w:tcW w:w="2020" w:type="dxa"/>
            <w:shd w:val="clear" w:color="auto" w:fill="CCEAF9" w:themeFill="accent1" w:themeFillTint="33"/>
            <w:noWrap/>
          </w:tcPr>
          <w:p w14:paraId="732D2B67"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rPr>
              <w:t>29,014</w:t>
            </w:r>
          </w:p>
        </w:tc>
        <w:tc>
          <w:tcPr>
            <w:tcW w:w="2019" w:type="dxa"/>
            <w:shd w:val="clear" w:color="auto" w:fill="CCEAF9" w:themeFill="accent1" w:themeFillTint="33"/>
            <w:noWrap/>
            <w:vAlign w:val="center"/>
          </w:tcPr>
          <w:p w14:paraId="26E709FA" w14:textId="77777777" w:rsidR="004C7089" w:rsidRPr="004C7089" w:rsidRDefault="004C7089" w:rsidP="004C7089">
            <w:pPr>
              <w:keepNext/>
              <w:keepLines/>
              <w:spacing w:before="20" w:after="20" w:line="240" w:lineRule="auto"/>
              <w:jc w:val="center"/>
              <w:rPr>
                <w:rFonts w:asciiTheme="minorHAnsi" w:hAnsiTheme="minorHAnsi" w:cs="Arial"/>
                <w:sz w:val="18"/>
                <w:szCs w:val="18"/>
              </w:rPr>
            </w:pPr>
            <w:r w:rsidRPr="004C7089">
              <w:rPr>
                <w:rFonts w:asciiTheme="minorHAnsi" w:hAnsiTheme="minorHAnsi" w:cs="Arial"/>
                <w:bCs/>
                <w:sz w:val="18"/>
                <w:szCs w:val="18"/>
              </w:rPr>
              <w:t>32,950</w:t>
            </w:r>
          </w:p>
        </w:tc>
        <w:tc>
          <w:tcPr>
            <w:tcW w:w="2020" w:type="dxa"/>
            <w:shd w:val="clear" w:color="auto" w:fill="CCEAF9" w:themeFill="accent1" w:themeFillTint="33"/>
            <w:noWrap/>
            <w:vAlign w:val="center"/>
          </w:tcPr>
          <w:p w14:paraId="08768388"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14:paraId="6C30505E" w14:textId="77777777" w:rsidTr="004C7089">
        <w:trPr>
          <w:cantSplit/>
          <w:trHeight w:val="331"/>
          <w:jc w:val="center"/>
        </w:trPr>
        <w:tc>
          <w:tcPr>
            <w:tcW w:w="1495" w:type="dxa"/>
            <w:shd w:val="clear" w:color="auto" w:fill="auto"/>
            <w:noWrap/>
            <w:tcMar>
              <w:left w:w="115" w:type="dxa"/>
              <w:right w:w="0" w:type="dxa"/>
            </w:tcMar>
            <w:vAlign w:val="center"/>
          </w:tcPr>
          <w:p w14:paraId="3EF4BA06"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2025/2026</w:t>
            </w:r>
          </w:p>
        </w:tc>
        <w:tc>
          <w:tcPr>
            <w:tcW w:w="2020" w:type="dxa"/>
            <w:shd w:val="clear" w:color="auto" w:fill="auto"/>
            <w:noWrap/>
          </w:tcPr>
          <w:p w14:paraId="4D915ED5" w14:textId="77777777" w:rsidR="004C7089" w:rsidRPr="004C7089" w:rsidRDefault="004C7089" w:rsidP="004C7089">
            <w:pPr>
              <w:keepNext/>
              <w:keepLines/>
              <w:spacing w:before="20" w:after="20" w:line="240" w:lineRule="auto"/>
              <w:jc w:val="center"/>
              <w:rPr>
                <w:rFonts w:asciiTheme="minorHAnsi" w:hAnsiTheme="minorHAnsi" w:cs="Arial"/>
                <w:b/>
                <w:sz w:val="18"/>
                <w:szCs w:val="18"/>
              </w:rPr>
            </w:pPr>
            <w:r w:rsidRPr="004C7089">
              <w:rPr>
                <w:rFonts w:asciiTheme="minorHAnsi" w:hAnsiTheme="minorHAnsi"/>
              </w:rPr>
              <w:t>29,196</w:t>
            </w:r>
          </w:p>
        </w:tc>
        <w:tc>
          <w:tcPr>
            <w:tcW w:w="2019" w:type="dxa"/>
            <w:shd w:val="clear" w:color="auto" w:fill="auto"/>
            <w:noWrap/>
            <w:vAlign w:val="center"/>
          </w:tcPr>
          <w:p w14:paraId="5CEFE55F"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33,165</w:t>
            </w:r>
          </w:p>
        </w:tc>
        <w:tc>
          <w:tcPr>
            <w:tcW w:w="2020" w:type="dxa"/>
            <w:shd w:val="clear" w:color="auto" w:fill="auto"/>
            <w:noWrap/>
            <w:vAlign w:val="center"/>
          </w:tcPr>
          <w:p w14:paraId="7A3F5F1A"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14:paraId="425B3892" w14:textId="77777777" w:rsidTr="004C7089">
        <w:trPr>
          <w:cantSplit/>
          <w:trHeight w:val="331"/>
          <w:jc w:val="center"/>
        </w:trPr>
        <w:tc>
          <w:tcPr>
            <w:tcW w:w="1495" w:type="dxa"/>
            <w:shd w:val="clear" w:color="auto" w:fill="CCEAF9" w:themeFill="accent1" w:themeFillTint="33"/>
            <w:noWrap/>
            <w:tcMar>
              <w:left w:w="115" w:type="dxa"/>
              <w:right w:w="0" w:type="dxa"/>
            </w:tcMar>
            <w:vAlign w:val="center"/>
          </w:tcPr>
          <w:p w14:paraId="148823F5"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2026/2027</w:t>
            </w:r>
          </w:p>
        </w:tc>
        <w:tc>
          <w:tcPr>
            <w:tcW w:w="2020" w:type="dxa"/>
            <w:shd w:val="clear" w:color="auto" w:fill="CCEAF9" w:themeFill="accent1" w:themeFillTint="33"/>
            <w:noWrap/>
          </w:tcPr>
          <w:p w14:paraId="45D82095"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rPr>
              <w:t>29,382</w:t>
            </w:r>
          </w:p>
        </w:tc>
        <w:tc>
          <w:tcPr>
            <w:tcW w:w="2019" w:type="dxa"/>
            <w:shd w:val="clear" w:color="auto" w:fill="CCEAF9" w:themeFill="accent1" w:themeFillTint="33"/>
            <w:noWrap/>
            <w:vAlign w:val="center"/>
          </w:tcPr>
          <w:p w14:paraId="0F66BEE9"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33,390</w:t>
            </w:r>
          </w:p>
        </w:tc>
        <w:tc>
          <w:tcPr>
            <w:tcW w:w="2020" w:type="dxa"/>
            <w:shd w:val="clear" w:color="auto" w:fill="CCEAF9" w:themeFill="accent1" w:themeFillTint="33"/>
            <w:noWrap/>
            <w:vAlign w:val="center"/>
          </w:tcPr>
          <w:p w14:paraId="73B6AEC2"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13.6</w:t>
            </w:r>
          </w:p>
        </w:tc>
      </w:tr>
      <w:tr w:rsidR="004C7089" w:rsidRPr="004C7089" w14:paraId="1B9FD535" w14:textId="77777777" w:rsidTr="004C7089">
        <w:trPr>
          <w:cantSplit/>
          <w:trHeight w:val="331"/>
          <w:jc w:val="center"/>
        </w:trPr>
        <w:tc>
          <w:tcPr>
            <w:tcW w:w="1495" w:type="dxa"/>
            <w:shd w:val="clear" w:color="auto" w:fill="auto"/>
            <w:noWrap/>
            <w:tcMar>
              <w:left w:w="115" w:type="dxa"/>
              <w:right w:w="0" w:type="dxa"/>
            </w:tcMar>
          </w:tcPr>
          <w:p w14:paraId="409608B0"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2027/2028</w:t>
            </w:r>
          </w:p>
        </w:tc>
        <w:tc>
          <w:tcPr>
            <w:tcW w:w="2020" w:type="dxa"/>
            <w:shd w:val="clear" w:color="auto" w:fill="auto"/>
            <w:noWrap/>
          </w:tcPr>
          <w:p w14:paraId="56D824FF" w14:textId="77777777"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29,576</w:t>
            </w:r>
          </w:p>
        </w:tc>
        <w:tc>
          <w:tcPr>
            <w:tcW w:w="2019" w:type="dxa"/>
            <w:shd w:val="clear" w:color="auto" w:fill="auto"/>
            <w:noWrap/>
          </w:tcPr>
          <w:p w14:paraId="3D103B68"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33,625</w:t>
            </w:r>
          </w:p>
        </w:tc>
        <w:tc>
          <w:tcPr>
            <w:tcW w:w="2020" w:type="dxa"/>
            <w:shd w:val="clear" w:color="auto" w:fill="auto"/>
            <w:noWrap/>
          </w:tcPr>
          <w:p w14:paraId="32C3C66B"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r w:rsidR="004C7089" w:rsidRPr="004C7089" w14:paraId="574183E2" w14:textId="77777777" w:rsidTr="004C7089">
        <w:trPr>
          <w:cantSplit/>
          <w:trHeight w:val="331"/>
          <w:jc w:val="center"/>
        </w:trPr>
        <w:tc>
          <w:tcPr>
            <w:tcW w:w="1495" w:type="dxa"/>
            <w:shd w:val="clear" w:color="auto" w:fill="CCEAF9" w:themeFill="accent1" w:themeFillTint="33"/>
            <w:noWrap/>
            <w:tcMar>
              <w:left w:w="115" w:type="dxa"/>
              <w:right w:w="0" w:type="dxa"/>
            </w:tcMar>
          </w:tcPr>
          <w:p w14:paraId="5DC32007" w14:textId="77777777" w:rsidR="004C7089" w:rsidRPr="004C7089" w:rsidRDefault="004C7089" w:rsidP="004C7089">
            <w:pPr>
              <w:keepNext/>
              <w:keepLines/>
              <w:spacing w:before="20" w:after="20" w:line="240" w:lineRule="auto"/>
              <w:rPr>
                <w:rFonts w:asciiTheme="minorHAnsi" w:hAnsiTheme="minorHAnsi"/>
                <w:b/>
                <w:bCs/>
                <w:sz w:val="18"/>
                <w:szCs w:val="18"/>
              </w:rPr>
            </w:pPr>
            <w:r w:rsidRPr="004C7089">
              <w:rPr>
                <w:rFonts w:asciiTheme="minorHAnsi" w:hAnsiTheme="minorHAnsi"/>
                <w:b/>
                <w:bCs/>
                <w:sz w:val="18"/>
                <w:szCs w:val="18"/>
              </w:rPr>
              <w:t>2028/2029</w:t>
            </w:r>
          </w:p>
        </w:tc>
        <w:tc>
          <w:tcPr>
            <w:tcW w:w="2020" w:type="dxa"/>
            <w:shd w:val="clear" w:color="auto" w:fill="CCEAF9" w:themeFill="accent1" w:themeFillTint="33"/>
            <w:noWrap/>
          </w:tcPr>
          <w:p w14:paraId="21B09B37" w14:textId="77777777" w:rsidR="004C7089" w:rsidRPr="004C7089" w:rsidRDefault="004C7089" w:rsidP="004C7089">
            <w:pPr>
              <w:keepNext/>
              <w:keepLines/>
              <w:spacing w:before="20" w:after="20" w:line="240" w:lineRule="auto"/>
              <w:jc w:val="center"/>
              <w:rPr>
                <w:rFonts w:asciiTheme="minorHAnsi" w:hAnsiTheme="minorHAnsi"/>
                <w:b/>
                <w:bCs/>
                <w:sz w:val="18"/>
                <w:szCs w:val="18"/>
              </w:rPr>
            </w:pPr>
            <w:r w:rsidRPr="004C7089">
              <w:rPr>
                <w:rFonts w:asciiTheme="minorHAnsi" w:hAnsiTheme="minorHAnsi"/>
              </w:rPr>
              <w:t>29,781</w:t>
            </w:r>
          </w:p>
        </w:tc>
        <w:tc>
          <w:tcPr>
            <w:tcW w:w="2019" w:type="dxa"/>
            <w:shd w:val="clear" w:color="auto" w:fill="CCEAF9" w:themeFill="accent1" w:themeFillTint="33"/>
            <w:noWrap/>
          </w:tcPr>
          <w:p w14:paraId="0F3F4B53"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33,870</w:t>
            </w:r>
          </w:p>
        </w:tc>
        <w:tc>
          <w:tcPr>
            <w:tcW w:w="2020" w:type="dxa"/>
            <w:shd w:val="clear" w:color="auto" w:fill="CCEAF9" w:themeFill="accent1" w:themeFillTint="33"/>
            <w:noWrap/>
          </w:tcPr>
          <w:p w14:paraId="0A39676D" w14:textId="77777777" w:rsidR="004C7089" w:rsidRPr="004C7089" w:rsidRDefault="004C7089" w:rsidP="004C7089">
            <w:pPr>
              <w:keepNext/>
              <w:keepLines/>
              <w:spacing w:before="20" w:after="20" w:line="240" w:lineRule="auto"/>
              <w:jc w:val="center"/>
              <w:rPr>
                <w:rFonts w:asciiTheme="minorHAnsi" w:hAnsiTheme="minorHAnsi" w:cs="Arial"/>
                <w:bCs/>
                <w:sz w:val="18"/>
                <w:szCs w:val="18"/>
              </w:rPr>
            </w:pPr>
            <w:r w:rsidRPr="004C7089">
              <w:rPr>
                <w:rFonts w:asciiTheme="minorHAnsi" w:hAnsiTheme="minorHAnsi" w:cs="Arial"/>
                <w:bCs/>
                <w:sz w:val="18"/>
                <w:szCs w:val="18"/>
              </w:rPr>
              <w:t>13.7</w:t>
            </w:r>
          </w:p>
        </w:tc>
      </w:tr>
    </w:tbl>
    <w:p w14:paraId="076D534A" w14:textId="41C2CF42" w:rsidR="004C7089" w:rsidRPr="004C7089" w:rsidRDefault="004C7089" w:rsidP="00330F0D">
      <w:pPr>
        <w:numPr>
          <w:ilvl w:val="0"/>
          <w:numId w:val="61"/>
        </w:numPr>
        <w:tabs>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The 2019 relevant CELT forecast 50/50 peak loads reflect the BTM load reductions from the PV forecast as des</w:t>
      </w:r>
      <w:r w:rsidRPr="0080457A">
        <w:rPr>
          <w:rFonts w:asciiTheme="minorHAnsi" w:eastAsia="Times New Roman" w:hAnsiTheme="minorHAnsi" w:cs="Arial"/>
          <w:color w:val="000000"/>
          <w:sz w:val="16"/>
          <w:szCs w:val="16"/>
        </w:rPr>
        <w:t xml:space="preserve">cribed in </w:t>
      </w:r>
      <w:r w:rsidRPr="0080457A">
        <w:rPr>
          <w:rFonts w:asciiTheme="minorHAnsi" w:eastAsia="Times New Roman" w:hAnsiTheme="minorHAnsi" w:cs="Arial"/>
          <w:color w:val="000000"/>
          <w:sz w:val="16"/>
          <w:szCs w:val="16"/>
        </w:rPr>
        <w:fldChar w:fldCharType="begin"/>
      </w:r>
      <w:r w:rsidRPr="0080457A">
        <w:rPr>
          <w:rFonts w:asciiTheme="minorHAnsi" w:eastAsia="Times New Roman" w:hAnsiTheme="minorHAnsi" w:cs="Arial"/>
          <w:color w:val="000000"/>
          <w:sz w:val="16"/>
          <w:szCs w:val="16"/>
        </w:rPr>
        <w:instrText xml:space="preserve"> REF _Ref418357222 \r \h  \* MERGEFORMAT </w:instrText>
      </w:r>
      <w:r w:rsidRPr="0080457A">
        <w:rPr>
          <w:rFonts w:asciiTheme="minorHAnsi" w:eastAsia="Times New Roman" w:hAnsiTheme="minorHAnsi" w:cs="Arial"/>
          <w:color w:val="000000"/>
          <w:sz w:val="16"/>
          <w:szCs w:val="16"/>
        </w:rPr>
      </w:r>
      <w:r w:rsidRPr="0080457A">
        <w:rPr>
          <w:rFonts w:asciiTheme="minorHAnsi" w:eastAsia="Times New Roman" w:hAnsiTheme="minorHAnsi" w:cs="Arial"/>
          <w:color w:val="000000"/>
          <w:sz w:val="16"/>
          <w:szCs w:val="16"/>
        </w:rPr>
        <w:fldChar w:fldCharType="separate"/>
      </w:r>
      <w:r w:rsidR="005D0B73">
        <w:rPr>
          <w:rFonts w:asciiTheme="minorHAnsi" w:eastAsia="Times New Roman" w:hAnsiTheme="minorHAnsi" w:cs="Arial"/>
          <w:color w:val="000000"/>
          <w:sz w:val="16"/>
          <w:szCs w:val="16"/>
        </w:rPr>
        <w:t>Section 3</w:t>
      </w:r>
      <w:r w:rsidRPr="0080457A">
        <w:rPr>
          <w:rFonts w:asciiTheme="minorHAnsi" w:eastAsia="Times New Roman" w:hAnsiTheme="minorHAnsi" w:cs="Arial"/>
          <w:color w:val="000000"/>
          <w:sz w:val="16"/>
          <w:szCs w:val="16"/>
        </w:rPr>
        <w:fldChar w:fldCharType="end"/>
      </w:r>
      <w:r w:rsidRPr="0080457A">
        <w:rPr>
          <w:rFonts w:asciiTheme="minorHAnsi" w:eastAsia="Times New Roman" w:hAnsiTheme="minorHAnsi" w:cs="Arial"/>
          <w:color w:val="000000"/>
          <w:sz w:val="16"/>
          <w:szCs w:val="16"/>
        </w:rPr>
        <w:t>.</w:t>
      </w:r>
      <w:r w:rsidRPr="004C7089">
        <w:rPr>
          <w:rFonts w:asciiTheme="minorHAnsi" w:eastAsia="Times New Roman" w:hAnsiTheme="minorHAnsi" w:cs="Arial"/>
          <w:color w:val="000000"/>
          <w:sz w:val="16"/>
          <w:szCs w:val="16"/>
        </w:rPr>
        <w:t xml:space="preserve"> </w:t>
      </w:r>
    </w:p>
    <w:p w14:paraId="0820FDBA" w14:textId="77777777" w:rsidR="004C7089" w:rsidRPr="004C7089" w:rsidRDefault="004C7089" w:rsidP="00330F0D">
      <w:pPr>
        <w:keepNext/>
        <w:keepLines/>
        <w:numPr>
          <w:ilvl w:val="0"/>
          <w:numId w:val="61"/>
        </w:numPr>
        <w:tabs>
          <w:tab w:val="num" w:pos="990"/>
        </w:tabs>
        <w:autoSpaceDE w:val="0"/>
        <w:autoSpaceDN w:val="0"/>
        <w:adjustRightInd w:val="0"/>
        <w:spacing w:after="80" w:line="240" w:lineRule="auto"/>
        <w:ind w:left="994" w:right="720" w:hanging="274"/>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Net ICR values for 2019/2020 to 2022/2023 are the latest values approved by FERC. These net ICR values were developed using 2018 CELT Report loads.</w:t>
      </w:r>
    </w:p>
    <w:p w14:paraId="74B272C1" w14:textId="77777777" w:rsidR="004C7089" w:rsidRPr="004C7089" w:rsidRDefault="004C7089" w:rsidP="001B6B81">
      <w:pPr>
        <w:numPr>
          <w:ilvl w:val="0"/>
          <w:numId w:val="61"/>
        </w:numPr>
        <w:tabs>
          <w:tab w:val="num" w:pos="990"/>
        </w:tabs>
        <w:spacing w:after="80" w:line="240" w:lineRule="auto"/>
        <w:ind w:left="990" w:right="630" w:hanging="270"/>
        <w:rPr>
          <w:rFonts w:asciiTheme="minorHAnsi" w:eastAsia="Times New Roman" w:hAnsiTheme="minorHAnsi" w:cs="Arial"/>
          <w:color w:val="000000"/>
          <w:sz w:val="16"/>
          <w:szCs w:val="16"/>
        </w:rPr>
      </w:pPr>
      <w:r w:rsidRPr="004C7089">
        <w:rPr>
          <w:rFonts w:asciiTheme="minorHAnsi" w:eastAsia="Times New Roman" w:hAnsiTheme="minorHAnsi" w:cs="Arial"/>
          <w:color w:val="000000"/>
          <w:sz w:val="16"/>
          <w:szCs w:val="16"/>
        </w:rPr>
        <w:t xml:space="preserve">The resulting reserves percentage is calculated using the 2019 CELT Report loads. The resulting reserves percentage for 2019/2020 to 2022/2023, when calculated using their respective 2018 CELT Report loads, ranged from 16.1 % to 16.8% (These values are not shown in the above table). </w:t>
      </w:r>
    </w:p>
    <w:p w14:paraId="7CE93A10" w14:textId="77777777" w:rsidR="004C7089" w:rsidRPr="004C7089" w:rsidRDefault="004C7089" w:rsidP="001B6B81">
      <w:pPr>
        <w:spacing w:line="240" w:lineRule="auto"/>
        <w:ind w:left="994" w:right="630" w:hanging="274"/>
      </w:pPr>
      <w:r w:rsidRPr="004C7089">
        <w:rPr>
          <w:rFonts w:asciiTheme="minorHAnsi" w:eastAsia="Times New Roman" w:hAnsiTheme="minorHAnsi" w:cs="Arial"/>
          <w:color w:val="000000"/>
          <w:sz w:val="16"/>
          <w:szCs w:val="16"/>
        </w:rPr>
        <w:t xml:space="preserve">(d) </w:t>
      </w:r>
      <w:r w:rsidRPr="004C7089">
        <w:rPr>
          <w:rFonts w:asciiTheme="minorHAnsi" w:eastAsia="Times New Roman" w:hAnsiTheme="minorHAnsi" w:cs="Arial"/>
          <w:color w:val="000000"/>
          <w:sz w:val="16"/>
          <w:szCs w:val="16"/>
        </w:rPr>
        <w:tab/>
        <w:t xml:space="preserve">As of the RSP19 publication date, the net ICR for 2023/2024 was under development and scheduled to be filed with FERC in November 2019. </w:t>
      </w:r>
    </w:p>
    <w:p w14:paraId="1A658402" w14:textId="5770BBBE" w:rsidR="004C7089" w:rsidRPr="004C7089" w:rsidRDefault="004C7089" w:rsidP="004C7089">
      <w:r w:rsidRPr="004C7089">
        <w:lastRenderedPageBreak/>
        <w:t xml:space="preserve">As shown in </w:t>
      </w:r>
      <w:r w:rsidRPr="004C7089">
        <w:fldChar w:fldCharType="begin"/>
      </w:r>
      <w:r w:rsidRPr="004C7089">
        <w:instrText xml:space="preserve"> REF _Ref484975569 \h  \* MERGEFORMAT </w:instrText>
      </w:r>
      <w:r w:rsidRPr="004C7089">
        <w:fldChar w:fldCharType="separate"/>
      </w:r>
      <w:r w:rsidR="005D0B73" w:rsidRPr="005D0B73">
        <w:rPr>
          <w:bCs/>
          <w:szCs w:val="18"/>
        </w:rPr>
        <w:t>Table 4</w:t>
      </w:r>
      <w:r w:rsidR="005D0B73" w:rsidRPr="005D0B73">
        <w:rPr>
          <w:bCs/>
          <w:szCs w:val="18"/>
        </w:rPr>
        <w:noBreakHyphen/>
        <w:t>1</w:t>
      </w:r>
      <w:r w:rsidRPr="004C7089">
        <w:fldChar w:fldCharType="end"/>
      </w:r>
      <w:r w:rsidRPr="004C7089">
        <w:t xml:space="preserve">, the region’s net ICR is expected to grow from 33,390 MW in 2019 to a representative value of 33,870 MW by 2028. This represents an average growth of approximately 53 MW per year, which is equivalent to approximately an annual compound growth rate (CAGR) of 0.16% per year compared with the 0.59% CAGR of the net 50/50 peak demand after reflecting the </w:t>
      </w:r>
      <w:r w:rsidR="001B6B81" w:rsidRPr="004C7089">
        <w:t>BTM</w:t>
      </w:r>
      <w:r w:rsidR="001B6B81">
        <w:t> </w:t>
      </w:r>
      <w:r w:rsidRPr="004C7089">
        <w:t>PV.</w:t>
      </w:r>
    </w:p>
    <w:p w14:paraId="4385EE82" w14:textId="77777777" w:rsidR="004C7089" w:rsidRPr="004C7089" w:rsidRDefault="004C7089" w:rsidP="004C7089">
      <w:pPr>
        <w:pStyle w:val="Heading3"/>
      </w:pPr>
      <w:bookmarkStart w:id="341" w:name="_Toc176244998"/>
      <w:bookmarkStart w:id="342" w:name="_Toc201669921"/>
      <w:bookmarkStart w:id="343" w:name="_Ref201985943"/>
      <w:bookmarkStart w:id="344" w:name="_Toc207531821"/>
      <w:bookmarkStart w:id="345" w:name="_Ref231194169"/>
      <w:bookmarkStart w:id="346" w:name="_Toc239157060"/>
      <w:bookmarkStart w:id="347" w:name="_Toc271632218"/>
      <w:bookmarkStart w:id="348" w:name="_Ref293769740"/>
      <w:bookmarkStart w:id="349" w:name="_Toc303086376"/>
      <w:bookmarkStart w:id="350" w:name="_Ref330138223"/>
      <w:bookmarkStart w:id="351" w:name="_Toc334601027"/>
      <w:bookmarkStart w:id="352" w:name="_Toc365440994"/>
      <w:bookmarkStart w:id="353" w:name="_Toc396807623"/>
      <w:bookmarkStart w:id="354" w:name="_Toc481053249"/>
      <w:bookmarkStart w:id="355" w:name="_Ref485807268"/>
      <w:bookmarkStart w:id="356" w:name="_Toc490323026"/>
      <w:bookmarkStart w:id="357" w:name="_Toc12795167"/>
      <w:r w:rsidRPr="004C7089">
        <w:t>Local Resource Requirements and Limits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4C7089">
        <w:t xml:space="preserve"> </w:t>
      </w:r>
    </w:p>
    <w:p w14:paraId="041BCA65" w14:textId="04A4BDC4" w:rsidR="004C7089" w:rsidRPr="004C7089" w:rsidRDefault="004C7089" w:rsidP="004C7089">
      <w:r w:rsidRPr="004C7089">
        <w:t xml:space="preserve">While the ICR addresses New England’s total capacity requirement assuming the system overall has no transmission constraints, certain subareas are limited in their ability to import or export power. To address the impacts of these constraints on subarea reliability, before each FCM auction, the ISO determines the </w:t>
      </w:r>
      <w:r w:rsidRPr="004C7089">
        <w:rPr>
          <w:i/>
        </w:rPr>
        <w:t>local sourcing requirement</w:t>
      </w:r>
      <w:r w:rsidRPr="004C7089">
        <w:t xml:space="preserve"> (LSR) and </w:t>
      </w:r>
      <w:r w:rsidRPr="004C7089">
        <w:rPr>
          <w:i/>
        </w:rPr>
        <w:t>maximum capacity limit</w:t>
      </w:r>
      <w:r w:rsidRPr="004C7089">
        <w:t xml:space="preserve"> (MCL) for certain subareas within New England.</w:t>
      </w:r>
      <w:r w:rsidRPr="004C7089" w:rsidDel="00084843">
        <w:t xml:space="preserve"> </w:t>
      </w:r>
      <w:r w:rsidRPr="004C7089">
        <w:t>An LSR is the minimum amount of capacity that must be electrically located within an import-constrained capacity zone to meet the net ICR. An MCL is the maximum amount of capacity electrically connected in an export-constrained capacity zone used to meet the net ICR for the New England region. Before each FCA, areas that meet certain objective criteria for zonal modeling</w:t>
      </w:r>
      <w:r w:rsidR="00880512">
        <w:t xml:space="preserve"> </w:t>
      </w:r>
      <w:r w:rsidRPr="004C7089">
        <w:t>are designated as capacity zones and assigned a</w:t>
      </w:r>
      <w:r w:rsidR="009B4A68">
        <w:t>n</w:t>
      </w:r>
      <w:r w:rsidRPr="004C7089">
        <w:t xml:space="preserve"> LSR or MCL.</w:t>
      </w:r>
      <w:r w:rsidRPr="004C7089">
        <w:rPr>
          <w:vertAlign w:val="superscript"/>
        </w:rPr>
        <w:footnoteReference w:id="102"/>
      </w:r>
      <w:r w:rsidRPr="004C7089">
        <w:t xml:space="preserve"> Establishing capacity zones is a mechanism to ensure that the appropriate amount of capacity is procured within each capacity zone and contributes effectively to meet total system reliability. (See Section </w:t>
      </w:r>
      <w:r w:rsidR="00834D8F">
        <w:fldChar w:fldCharType="begin"/>
      </w:r>
      <w:r w:rsidR="00834D8F">
        <w:instrText xml:space="preserve"> REF _Ref418883537 \r \h </w:instrText>
      </w:r>
      <w:r w:rsidR="00834D8F">
        <w:fldChar w:fldCharType="separate"/>
      </w:r>
      <w:r w:rsidR="005D0B73">
        <w:t>4.2</w:t>
      </w:r>
      <w:r w:rsidR="00834D8F">
        <w:fldChar w:fldCharType="end"/>
      </w:r>
      <w:r w:rsidRPr="004C7089">
        <w:t xml:space="preserve"> for further discussion of capacity zones.)</w:t>
      </w:r>
    </w:p>
    <w:p w14:paraId="39303E03" w14:textId="24E434E3" w:rsidR="004C7089" w:rsidRPr="004C7089" w:rsidRDefault="004C7089" w:rsidP="004C7089">
      <w:pPr>
        <w:autoSpaceDE w:val="0"/>
        <w:autoSpaceDN w:val="0"/>
        <w:adjustRightInd w:val="0"/>
      </w:pPr>
      <w:r w:rsidRPr="004C7089">
        <w:t xml:space="preserve">The latest LSR and MCL values for the last five capacity commitment periods, as approved by FERC, are tabulated in </w:t>
      </w:r>
      <w:r w:rsidRPr="004C7089">
        <w:fldChar w:fldCharType="begin"/>
      </w:r>
      <w:r w:rsidRPr="004C7089">
        <w:instrText xml:space="preserve"> REF _Ref485804869 \h  \* MERGEFORMAT </w:instrText>
      </w:r>
      <w:r w:rsidRPr="004C7089">
        <w:fldChar w:fldCharType="separate"/>
      </w:r>
      <w:r w:rsidR="005D0B73" w:rsidRPr="005D0B73">
        <w:rPr>
          <w:bCs/>
          <w:szCs w:val="18"/>
        </w:rPr>
        <w:t xml:space="preserve">Table </w:t>
      </w:r>
      <w:r w:rsidR="005D0B73" w:rsidRPr="005D0B73">
        <w:rPr>
          <w:bCs/>
          <w:noProof/>
          <w:szCs w:val="18"/>
        </w:rPr>
        <w:t>4</w:t>
      </w:r>
      <w:r w:rsidR="005D0B73" w:rsidRPr="005D0B73">
        <w:rPr>
          <w:bCs/>
          <w:noProof/>
          <w:szCs w:val="18"/>
        </w:rPr>
        <w:noBreakHyphen/>
        <w:t>2</w:t>
      </w:r>
      <w:r w:rsidRPr="004C7089">
        <w:fldChar w:fldCharType="end"/>
      </w:r>
      <w:r w:rsidRPr="004C7089">
        <w:t>.</w:t>
      </w:r>
      <w:bookmarkStart w:id="358" w:name="_Toc176244999"/>
      <w:r w:rsidRPr="004C7089">
        <w:rPr>
          <w:vertAlign w:val="superscript"/>
        </w:rPr>
        <w:footnoteReference w:id="103"/>
      </w:r>
      <w:r w:rsidRPr="004C7089">
        <w:t xml:space="preserve"> Future LSR and MCL values have not been developed because insufficient information exists for </w:t>
      </w:r>
      <w:r w:rsidR="00834D8F">
        <w:t xml:space="preserve">the </w:t>
      </w:r>
      <w:r w:rsidRPr="004C7089">
        <w:t>ISO to determine whether future import and export capacity zones, if any, will be established.</w:t>
      </w:r>
    </w:p>
    <w:p w14:paraId="0AC7D136" w14:textId="159F94C2" w:rsidR="004C7089" w:rsidRPr="00B310DB" w:rsidRDefault="004C7089" w:rsidP="004C7089">
      <w:pPr>
        <w:keepNext/>
        <w:keepLines/>
        <w:spacing w:after="120" w:line="240" w:lineRule="auto"/>
        <w:ind w:left="547" w:right="547"/>
        <w:jc w:val="center"/>
        <w:rPr>
          <w:rFonts w:asciiTheme="minorHAnsi" w:hAnsiTheme="minorHAnsi" w:cs="Arial"/>
          <w:sz w:val="16"/>
          <w:szCs w:val="16"/>
        </w:rPr>
      </w:pPr>
      <w:bookmarkStart w:id="359" w:name="_Ref485804869"/>
      <w:bookmarkStart w:id="360" w:name="_Toc491244006"/>
      <w:bookmarkStart w:id="361" w:name="_Toc12795333"/>
      <w:r w:rsidRPr="00B310DB">
        <w:rPr>
          <w:rFonts w:ascii="Calibri" w:hAnsi="Calibri"/>
          <w:b/>
          <w:bCs/>
          <w:szCs w:val="18"/>
        </w:rPr>
        <w:lastRenderedPageBreak/>
        <w:t xml:space="preserve">Table </w:t>
      </w:r>
      <w:r w:rsidR="0082639A" w:rsidRPr="00BF3CF1">
        <w:rPr>
          <w:rFonts w:ascii="Calibri" w:hAnsi="Calibri"/>
          <w:b/>
          <w:bCs/>
          <w:szCs w:val="18"/>
        </w:rPr>
        <w:fldChar w:fldCharType="begin"/>
      </w:r>
      <w:r w:rsidR="0082639A" w:rsidRPr="00B310DB">
        <w:rPr>
          <w:rFonts w:ascii="Calibri" w:hAnsi="Calibri"/>
          <w:b/>
          <w:bCs/>
          <w:szCs w:val="18"/>
        </w:rPr>
        <w:instrText xml:space="preserve"> STYLEREF 1 \s </w:instrText>
      </w:r>
      <w:r w:rsidR="0082639A" w:rsidRPr="00BF3CF1">
        <w:rPr>
          <w:rFonts w:ascii="Calibri" w:hAnsi="Calibri"/>
          <w:b/>
          <w:bCs/>
          <w:szCs w:val="18"/>
        </w:rPr>
        <w:fldChar w:fldCharType="separate"/>
      </w:r>
      <w:r w:rsidR="005D0B73" w:rsidRPr="00B310DB">
        <w:rPr>
          <w:rFonts w:ascii="Calibri" w:hAnsi="Calibri"/>
          <w:b/>
          <w:bCs/>
          <w:noProof/>
          <w:szCs w:val="18"/>
        </w:rPr>
        <w:t>4</w:t>
      </w:r>
      <w:r w:rsidR="0082639A" w:rsidRPr="00BF3CF1">
        <w:rPr>
          <w:rFonts w:ascii="Calibri" w:hAnsi="Calibri"/>
          <w:b/>
          <w:bCs/>
          <w:szCs w:val="18"/>
        </w:rPr>
        <w:fldChar w:fldCharType="end"/>
      </w:r>
      <w:r w:rsidR="0082639A" w:rsidRPr="00B310DB">
        <w:rPr>
          <w:rFonts w:ascii="Calibri" w:hAnsi="Calibri"/>
          <w:b/>
          <w:bCs/>
          <w:szCs w:val="18"/>
        </w:rPr>
        <w:noBreakHyphen/>
      </w:r>
      <w:r w:rsidR="0082639A" w:rsidRPr="00BF3CF1">
        <w:rPr>
          <w:rFonts w:ascii="Calibri" w:hAnsi="Calibri"/>
          <w:b/>
          <w:bCs/>
          <w:szCs w:val="18"/>
        </w:rPr>
        <w:fldChar w:fldCharType="begin"/>
      </w:r>
      <w:r w:rsidR="0082639A" w:rsidRPr="00B310DB">
        <w:rPr>
          <w:rFonts w:ascii="Calibri" w:hAnsi="Calibri"/>
          <w:b/>
          <w:bCs/>
          <w:szCs w:val="18"/>
        </w:rPr>
        <w:instrText xml:space="preserve"> SEQ Table \* ARABIC \s 1 </w:instrText>
      </w:r>
      <w:r w:rsidR="0082639A" w:rsidRPr="00BF3CF1">
        <w:rPr>
          <w:rFonts w:ascii="Calibri" w:hAnsi="Calibri"/>
          <w:b/>
          <w:bCs/>
          <w:szCs w:val="18"/>
        </w:rPr>
        <w:fldChar w:fldCharType="separate"/>
      </w:r>
      <w:r w:rsidR="005D0B73" w:rsidRPr="00B310DB">
        <w:rPr>
          <w:rFonts w:ascii="Calibri" w:hAnsi="Calibri"/>
          <w:b/>
          <w:bCs/>
          <w:noProof/>
          <w:szCs w:val="18"/>
        </w:rPr>
        <w:t>2</w:t>
      </w:r>
      <w:r w:rsidR="0082639A" w:rsidRPr="00BF3CF1">
        <w:rPr>
          <w:rFonts w:ascii="Calibri" w:hAnsi="Calibri"/>
          <w:b/>
          <w:bCs/>
          <w:szCs w:val="18"/>
        </w:rPr>
        <w:fldChar w:fldCharType="end"/>
      </w:r>
      <w:bookmarkEnd w:id="359"/>
      <w:r w:rsidRPr="00B310DB">
        <w:rPr>
          <w:rFonts w:ascii="Calibri" w:hAnsi="Calibri"/>
          <w:b/>
          <w:bCs/>
          <w:szCs w:val="18"/>
        </w:rPr>
        <w:br/>
        <w:t>Actual LSRs and MCLs (MW)</w:t>
      </w:r>
      <w:r w:rsidRPr="00B310DB">
        <w:rPr>
          <w:rFonts w:ascii="Calibri" w:hAnsi="Calibri"/>
          <w:b/>
          <w:bCs/>
          <w:szCs w:val="18"/>
          <w:vertAlign w:val="superscript"/>
        </w:rPr>
        <w:t>(a)</w:t>
      </w:r>
      <w:bookmarkEnd w:id="360"/>
      <w:bookmarkEnd w:id="361"/>
    </w:p>
    <w:tbl>
      <w:tblPr>
        <w:tblW w:w="85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0"/>
        <w:gridCol w:w="1360"/>
        <w:gridCol w:w="1160"/>
        <w:gridCol w:w="1160"/>
        <w:gridCol w:w="1160"/>
        <w:gridCol w:w="1160"/>
        <w:gridCol w:w="1160"/>
      </w:tblGrid>
      <w:tr w:rsidR="004C7089" w:rsidRPr="00B310DB" w14:paraId="5FA1EB97" w14:textId="77777777" w:rsidTr="00805C72">
        <w:trPr>
          <w:trHeight w:val="300"/>
          <w:jc w:val="center"/>
        </w:trPr>
        <w:tc>
          <w:tcPr>
            <w:tcW w:w="2720" w:type="dxa"/>
            <w:gridSpan w:val="2"/>
            <w:vMerge w:val="restart"/>
            <w:shd w:val="clear" w:color="000000" w:fill="1795D2"/>
            <w:vAlign w:val="center"/>
            <w:hideMark/>
          </w:tcPr>
          <w:p w14:paraId="2EB1A91C"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Capacity Commitment Period</w:t>
            </w:r>
          </w:p>
        </w:tc>
        <w:tc>
          <w:tcPr>
            <w:tcW w:w="4640" w:type="dxa"/>
            <w:gridSpan w:val="4"/>
            <w:shd w:val="clear" w:color="000000" w:fill="1795D2"/>
            <w:vAlign w:val="center"/>
            <w:hideMark/>
          </w:tcPr>
          <w:p w14:paraId="70B15C41"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LSR (MW)</w:t>
            </w:r>
            <w:r w:rsidRPr="00B310DB">
              <w:rPr>
                <w:rFonts w:ascii="Calibri" w:eastAsia="Times New Roman" w:hAnsi="Calibri" w:cs="Calibri"/>
                <w:b/>
                <w:bCs/>
                <w:color w:val="FFFFFF"/>
                <w:sz w:val="18"/>
                <w:szCs w:val="18"/>
                <w:vertAlign w:val="superscript"/>
              </w:rPr>
              <w:t>(b)</w:t>
            </w:r>
          </w:p>
        </w:tc>
        <w:tc>
          <w:tcPr>
            <w:tcW w:w="1160" w:type="dxa"/>
            <w:shd w:val="clear" w:color="000000" w:fill="1795D2"/>
            <w:vAlign w:val="center"/>
            <w:hideMark/>
          </w:tcPr>
          <w:p w14:paraId="5F2D1595"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MCL (MW)</w:t>
            </w:r>
            <w:r w:rsidRPr="00B310DB">
              <w:rPr>
                <w:rFonts w:ascii="Calibri" w:eastAsia="Times New Roman" w:hAnsi="Calibri" w:cs="Calibri"/>
                <w:b/>
                <w:bCs/>
                <w:color w:val="FFFFFF"/>
                <w:sz w:val="18"/>
                <w:szCs w:val="18"/>
                <w:vertAlign w:val="superscript"/>
              </w:rPr>
              <w:t>(b)</w:t>
            </w:r>
          </w:p>
        </w:tc>
      </w:tr>
      <w:tr w:rsidR="004C7089" w:rsidRPr="00B310DB" w14:paraId="5678B860" w14:textId="77777777" w:rsidTr="00805C72">
        <w:trPr>
          <w:trHeight w:val="480"/>
          <w:jc w:val="center"/>
        </w:trPr>
        <w:tc>
          <w:tcPr>
            <w:tcW w:w="2720" w:type="dxa"/>
            <w:gridSpan w:val="2"/>
            <w:vMerge/>
            <w:vAlign w:val="center"/>
            <w:hideMark/>
          </w:tcPr>
          <w:p w14:paraId="61D7E05D" w14:textId="77777777" w:rsidR="004C7089" w:rsidRPr="00B310DB" w:rsidRDefault="004C7089" w:rsidP="004C7089">
            <w:pPr>
              <w:keepNext/>
              <w:keepLines/>
              <w:spacing w:after="0" w:line="240" w:lineRule="auto"/>
              <w:rPr>
                <w:rFonts w:ascii="Calibri" w:eastAsia="Times New Roman" w:hAnsi="Calibri" w:cs="Calibri"/>
                <w:b/>
                <w:bCs/>
                <w:color w:val="FFFFFF"/>
                <w:sz w:val="18"/>
                <w:szCs w:val="18"/>
              </w:rPr>
            </w:pPr>
          </w:p>
        </w:tc>
        <w:tc>
          <w:tcPr>
            <w:tcW w:w="1160" w:type="dxa"/>
            <w:shd w:val="clear" w:color="000000" w:fill="1795D2"/>
            <w:vAlign w:val="center"/>
            <w:hideMark/>
          </w:tcPr>
          <w:p w14:paraId="31C727D4"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CT</w:t>
            </w:r>
            <w:r w:rsidRPr="00B310DB">
              <w:rPr>
                <w:rFonts w:ascii="Calibri" w:eastAsia="Times New Roman" w:hAnsi="Calibri" w:cs="Calibri"/>
                <w:b/>
                <w:bCs/>
                <w:color w:val="62777F"/>
                <w:vertAlign w:val="superscript"/>
              </w:rPr>
              <w:t xml:space="preserve"> </w:t>
            </w:r>
          </w:p>
        </w:tc>
        <w:tc>
          <w:tcPr>
            <w:tcW w:w="1160" w:type="dxa"/>
            <w:shd w:val="clear" w:color="000000" w:fill="1795D2"/>
            <w:vAlign w:val="center"/>
            <w:hideMark/>
          </w:tcPr>
          <w:p w14:paraId="404FB3E7"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NEMA/ Boston</w:t>
            </w:r>
          </w:p>
        </w:tc>
        <w:tc>
          <w:tcPr>
            <w:tcW w:w="1160" w:type="dxa"/>
            <w:shd w:val="clear" w:color="000000" w:fill="1795D2"/>
            <w:vAlign w:val="center"/>
            <w:hideMark/>
          </w:tcPr>
          <w:p w14:paraId="4CB56E1F"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SEMA/RI</w:t>
            </w:r>
          </w:p>
        </w:tc>
        <w:tc>
          <w:tcPr>
            <w:tcW w:w="1160" w:type="dxa"/>
            <w:shd w:val="clear" w:color="000000" w:fill="1795D2"/>
            <w:vAlign w:val="center"/>
            <w:hideMark/>
          </w:tcPr>
          <w:p w14:paraId="674E86DB"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SENE</w:t>
            </w:r>
            <w:r w:rsidRPr="00B310DB">
              <w:rPr>
                <w:rFonts w:ascii="Calibri" w:eastAsia="Times New Roman" w:hAnsi="Calibri" w:cs="Calibri"/>
                <w:b/>
                <w:bCs/>
                <w:color w:val="FFFFFF"/>
                <w:sz w:val="18"/>
                <w:szCs w:val="18"/>
                <w:vertAlign w:val="superscript"/>
              </w:rPr>
              <w:t>(c)</w:t>
            </w:r>
          </w:p>
        </w:tc>
        <w:tc>
          <w:tcPr>
            <w:tcW w:w="1160" w:type="dxa"/>
            <w:shd w:val="clear" w:color="000000" w:fill="1795D2"/>
            <w:vAlign w:val="center"/>
            <w:hideMark/>
          </w:tcPr>
          <w:p w14:paraId="4A987977" w14:textId="77777777" w:rsidR="004C7089" w:rsidRPr="00B310DB" w:rsidRDefault="004C7089" w:rsidP="004C7089">
            <w:pPr>
              <w:keepNext/>
              <w:keepLines/>
              <w:spacing w:after="0" w:line="240" w:lineRule="auto"/>
              <w:jc w:val="center"/>
              <w:rPr>
                <w:rFonts w:ascii="Calibri" w:eastAsia="Times New Roman" w:hAnsi="Calibri" w:cs="Calibri"/>
                <w:b/>
                <w:bCs/>
                <w:color w:val="FFFFFF"/>
                <w:sz w:val="18"/>
                <w:szCs w:val="18"/>
              </w:rPr>
            </w:pPr>
            <w:r w:rsidRPr="00B310DB">
              <w:rPr>
                <w:rFonts w:ascii="Calibri" w:eastAsia="Times New Roman" w:hAnsi="Calibri" w:cs="Calibri"/>
                <w:b/>
                <w:bCs/>
                <w:color w:val="FFFFFF"/>
                <w:sz w:val="18"/>
                <w:szCs w:val="18"/>
              </w:rPr>
              <w:t>NNE</w:t>
            </w:r>
            <w:r w:rsidRPr="00B310DB">
              <w:rPr>
                <w:rFonts w:ascii="Calibri" w:eastAsia="Times New Roman" w:hAnsi="Calibri" w:cs="Calibri"/>
                <w:b/>
                <w:bCs/>
                <w:color w:val="FFFFFF"/>
                <w:sz w:val="18"/>
                <w:szCs w:val="18"/>
                <w:vertAlign w:val="superscript"/>
              </w:rPr>
              <w:t>(c)</w:t>
            </w:r>
          </w:p>
        </w:tc>
      </w:tr>
      <w:tr w:rsidR="004C7089" w:rsidRPr="00B310DB" w14:paraId="2064DF42" w14:textId="77777777" w:rsidTr="00805C72">
        <w:trPr>
          <w:trHeight w:val="300"/>
          <w:jc w:val="center"/>
        </w:trPr>
        <w:tc>
          <w:tcPr>
            <w:tcW w:w="1360" w:type="dxa"/>
            <w:shd w:val="clear" w:color="000000" w:fill="CCEAF9"/>
            <w:vAlign w:val="center"/>
            <w:hideMark/>
          </w:tcPr>
          <w:p w14:paraId="70461529" w14:textId="77777777" w:rsidR="004C7089" w:rsidRPr="00B310DB" w:rsidRDefault="004C7089" w:rsidP="004C7089">
            <w:pPr>
              <w:keepNext/>
              <w:keepLines/>
              <w:spacing w:after="0" w:line="240" w:lineRule="auto"/>
              <w:jc w:val="center"/>
              <w:rPr>
                <w:rFonts w:ascii="Calibri" w:eastAsia="Times New Roman" w:hAnsi="Calibri" w:cs="Calibri"/>
                <w:b/>
                <w:bCs/>
                <w:sz w:val="18"/>
                <w:szCs w:val="18"/>
              </w:rPr>
            </w:pPr>
            <w:r w:rsidRPr="00B310DB">
              <w:rPr>
                <w:rFonts w:ascii="Calibri" w:eastAsia="Times New Roman" w:hAnsi="Calibri" w:cs="Calibri"/>
                <w:b/>
                <w:bCs/>
                <w:sz w:val="18"/>
                <w:szCs w:val="18"/>
              </w:rPr>
              <w:t>2018/2019</w:t>
            </w:r>
          </w:p>
        </w:tc>
        <w:tc>
          <w:tcPr>
            <w:tcW w:w="1360" w:type="dxa"/>
            <w:shd w:val="clear" w:color="000000" w:fill="CCEAF9"/>
            <w:vAlign w:val="center"/>
            <w:hideMark/>
          </w:tcPr>
          <w:p w14:paraId="4BA6C160"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FCA 9</w:t>
            </w:r>
          </w:p>
        </w:tc>
        <w:tc>
          <w:tcPr>
            <w:tcW w:w="1160" w:type="dxa"/>
            <w:shd w:val="clear" w:color="000000" w:fill="CCEAF9"/>
            <w:vAlign w:val="center"/>
            <w:hideMark/>
          </w:tcPr>
          <w:p w14:paraId="575566E6"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7,020</w:t>
            </w:r>
          </w:p>
        </w:tc>
        <w:tc>
          <w:tcPr>
            <w:tcW w:w="1160" w:type="dxa"/>
            <w:shd w:val="clear" w:color="000000" w:fill="CCEAF9"/>
            <w:vAlign w:val="center"/>
            <w:hideMark/>
          </w:tcPr>
          <w:p w14:paraId="02597C65"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3,391</w:t>
            </w:r>
          </w:p>
        </w:tc>
        <w:tc>
          <w:tcPr>
            <w:tcW w:w="1160" w:type="dxa"/>
            <w:shd w:val="clear" w:color="000000" w:fill="CCEAF9"/>
            <w:vAlign w:val="center"/>
            <w:hideMark/>
          </w:tcPr>
          <w:p w14:paraId="3E05E551"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7,479</w:t>
            </w:r>
          </w:p>
        </w:tc>
        <w:tc>
          <w:tcPr>
            <w:tcW w:w="1160" w:type="dxa"/>
            <w:shd w:val="clear" w:color="000000" w:fill="CCEAF9"/>
            <w:vAlign w:val="center"/>
            <w:hideMark/>
          </w:tcPr>
          <w:p w14:paraId="033B17DE"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CEAF9"/>
            <w:vAlign w:val="center"/>
            <w:hideMark/>
          </w:tcPr>
          <w:p w14:paraId="0D0F560D"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r>
      <w:tr w:rsidR="004C7089" w:rsidRPr="00B310DB" w14:paraId="26D414F7" w14:textId="77777777" w:rsidTr="00805C72">
        <w:trPr>
          <w:trHeight w:val="300"/>
          <w:jc w:val="center"/>
        </w:trPr>
        <w:tc>
          <w:tcPr>
            <w:tcW w:w="1360" w:type="dxa"/>
            <w:shd w:val="clear" w:color="auto" w:fill="auto"/>
            <w:vAlign w:val="center"/>
            <w:hideMark/>
          </w:tcPr>
          <w:p w14:paraId="58D5A9BA" w14:textId="77777777" w:rsidR="004C7089" w:rsidRPr="00B310DB" w:rsidRDefault="004C7089" w:rsidP="004C7089">
            <w:pPr>
              <w:keepNext/>
              <w:keepLines/>
              <w:spacing w:after="0" w:line="240" w:lineRule="auto"/>
              <w:jc w:val="center"/>
              <w:rPr>
                <w:rFonts w:ascii="Calibri" w:eastAsia="Times New Roman" w:hAnsi="Calibri" w:cs="Calibri"/>
                <w:b/>
                <w:bCs/>
                <w:sz w:val="18"/>
                <w:szCs w:val="18"/>
              </w:rPr>
            </w:pPr>
            <w:r w:rsidRPr="00B310DB">
              <w:rPr>
                <w:rFonts w:ascii="Calibri" w:eastAsia="Times New Roman" w:hAnsi="Calibri" w:cs="Calibri"/>
                <w:b/>
                <w:bCs/>
                <w:sz w:val="18"/>
                <w:szCs w:val="18"/>
              </w:rPr>
              <w:t>2019/2020</w:t>
            </w:r>
          </w:p>
        </w:tc>
        <w:tc>
          <w:tcPr>
            <w:tcW w:w="1360" w:type="dxa"/>
            <w:shd w:val="clear" w:color="auto" w:fill="auto"/>
            <w:vAlign w:val="center"/>
            <w:hideMark/>
          </w:tcPr>
          <w:p w14:paraId="17DD2F75"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FCA 10</w:t>
            </w:r>
          </w:p>
        </w:tc>
        <w:tc>
          <w:tcPr>
            <w:tcW w:w="1160" w:type="dxa"/>
            <w:shd w:val="clear" w:color="auto" w:fill="auto"/>
            <w:vAlign w:val="center"/>
            <w:hideMark/>
          </w:tcPr>
          <w:p w14:paraId="1B72666F"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0ED07C61"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6F4056B9"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124BEDF9"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10,083</w:t>
            </w:r>
          </w:p>
        </w:tc>
        <w:tc>
          <w:tcPr>
            <w:tcW w:w="1160" w:type="dxa"/>
            <w:shd w:val="clear" w:color="000000" w:fill="FFFFFF"/>
            <w:vAlign w:val="center"/>
            <w:hideMark/>
          </w:tcPr>
          <w:p w14:paraId="05F51931"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r>
      <w:tr w:rsidR="004C7089" w:rsidRPr="00B310DB" w14:paraId="47926D9B" w14:textId="77777777" w:rsidTr="00805C72">
        <w:trPr>
          <w:trHeight w:val="300"/>
          <w:jc w:val="center"/>
        </w:trPr>
        <w:tc>
          <w:tcPr>
            <w:tcW w:w="1360" w:type="dxa"/>
            <w:shd w:val="clear" w:color="000000" w:fill="CCEAF9"/>
            <w:vAlign w:val="center"/>
            <w:hideMark/>
          </w:tcPr>
          <w:p w14:paraId="313508FF" w14:textId="77777777" w:rsidR="004C7089" w:rsidRPr="00B310DB" w:rsidRDefault="004C7089" w:rsidP="004C7089">
            <w:pPr>
              <w:keepNext/>
              <w:keepLines/>
              <w:spacing w:after="0" w:line="240" w:lineRule="auto"/>
              <w:jc w:val="center"/>
              <w:rPr>
                <w:rFonts w:ascii="Calibri" w:eastAsia="Times New Roman" w:hAnsi="Calibri" w:cs="Calibri"/>
                <w:b/>
                <w:bCs/>
                <w:sz w:val="18"/>
                <w:szCs w:val="18"/>
              </w:rPr>
            </w:pPr>
            <w:r w:rsidRPr="00B310DB">
              <w:rPr>
                <w:rFonts w:ascii="Calibri" w:eastAsia="Times New Roman" w:hAnsi="Calibri" w:cs="Calibri"/>
                <w:b/>
                <w:bCs/>
                <w:sz w:val="18"/>
                <w:szCs w:val="18"/>
              </w:rPr>
              <w:t>2020/2021</w:t>
            </w:r>
          </w:p>
        </w:tc>
        <w:tc>
          <w:tcPr>
            <w:tcW w:w="1360" w:type="dxa"/>
            <w:shd w:val="clear" w:color="000000" w:fill="CCEAF9"/>
            <w:vAlign w:val="center"/>
            <w:hideMark/>
          </w:tcPr>
          <w:p w14:paraId="5AA6DA21"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FCA 11</w:t>
            </w:r>
          </w:p>
        </w:tc>
        <w:tc>
          <w:tcPr>
            <w:tcW w:w="1160" w:type="dxa"/>
            <w:shd w:val="clear" w:color="000000" w:fill="C4EBFB"/>
            <w:vAlign w:val="center"/>
            <w:hideMark/>
          </w:tcPr>
          <w:p w14:paraId="4E0B065E"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4EBFB"/>
            <w:vAlign w:val="center"/>
            <w:hideMark/>
          </w:tcPr>
          <w:p w14:paraId="180030F2"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4EBFB"/>
            <w:vAlign w:val="center"/>
            <w:hideMark/>
          </w:tcPr>
          <w:p w14:paraId="5A6283DC"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CEAF9"/>
            <w:vAlign w:val="center"/>
            <w:hideMark/>
          </w:tcPr>
          <w:p w14:paraId="106987DC"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10,182</w:t>
            </w:r>
          </w:p>
        </w:tc>
        <w:tc>
          <w:tcPr>
            <w:tcW w:w="1160" w:type="dxa"/>
            <w:shd w:val="clear" w:color="000000" w:fill="CCEAF9"/>
            <w:vAlign w:val="center"/>
            <w:hideMark/>
          </w:tcPr>
          <w:p w14:paraId="3B8DBCD8"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8,660</w:t>
            </w:r>
          </w:p>
        </w:tc>
      </w:tr>
      <w:tr w:rsidR="004C7089" w:rsidRPr="00B310DB" w14:paraId="51F67CBC" w14:textId="77777777" w:rsidTr="00805C72">
        <w:trPr>
          <w:trHeight w:val="300"/>
          <w:jc w:val="center"/>
        </w:trPr>
        <w:tc>
          <w:tcPr>
            <w:tcW w:w="1360" w:type="dxa"/>
            <w:shd w:val="clear" w:color="auto" w:fill="auto"/>
            <w:vAlign w:val="center"/>
            <w:hideMark/>
          </w:tcPr>
          <w:p w14:paraId="5783A38E" w14:textId="77777777" w:rsidR="004C7089" w:rsidRPr="00B310DB" w:rsidRDefault="004C7089" w:rsidP="004C7089">
            <w:pPr>
              <w:keepNext/>
              <w:keepLines/>
              <w:spacing w:after="0" w:line="240" w:lineRule="auto"/>
              <w:jc w:val="center"/>
              <w:rPr>
                <w:rFonts w:ascii="Calibri" w:eastAsia="Times New Roman" w:hAnsi="Calibri" w:cs="Calibri"/>
                <w:b/>
                <w:bCs/>
                <w:sz w:val="18"/>
                <w:szCs w:val="18"/>
              </w:rPr>
            </w:pPr>
            <w:r w:rsidRPr="00B310DB">
              <w:rPr>
                <w:rFonts w:ascii="Calibri" w:eastAsia="Times New Roman" w:hAnsi="Calibri" w:cs="Calibri"/>
                <w:b/>
                <w:bCs/>
                <w:sz w:val="18"/>
                <w:szCs w:val="18"/>
              </w:rPr>
              <w:t>2021/2022</w:t>
            </w:r>
          </w:p>
        </w:tc>
        <w:tc>
          <w:tcPr>
            <w:tcW w:w="1360" w:type="dxa"/>
            <w:shd w:val="clear" w:color="auto" w:fill="auto"/>
            <w:vAlign w:val="center"/>
            <w:hideMark/>
          </w:tcPr>
          <w:p w14:paraId="70266D07"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FCA 12</w:t>
            </w:r>
          </w:p>
        </w:tc>
        <w:tc>
          <w:tcPr>
            <w:tcW w:w="1160" w:type="dxa"/>
            <w:shd w:val="clear" w:color="000000" w:fill="FFFFFF"/>
            <w:vAlign w:val="center"/>
            <w:hideMark/>
          </w:tcPr>
          <w:p w14:paraId="0D319BB5"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432F3377"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04D6255D"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FFFFFF"/>
            <w:vAlign w:val="center"/>
            <w:hideMark/>
          </w:tcPr>
          <w:p w14:paraId="26641F0D"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9,973</w:t>
            </w:r>
          </w:p>
        </w:tc>
        <w:tc>
          <w:tcPr>
            <w:tcW w:w="1160" w:type="dxa"/>
            <w:shd w:val="clear" w:color="000000" w:fill="FFFFFF"/>
            <w:vAlign w:val="center"/>
            <w:hideMark/>
          </w:tcPr>
          <w:p w14:paraId="6A080D63"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8,670</w:t>
            </w:r>
          </w:p>
        </w:tc>
      </w:tr>
      <w:tr w:rsidR="004C7089" w:rsidRPr="00B310DB" w14:paraId="5CFB871B" w14:textId="77777777" w:rsidTr="00805C72">
        <w:trPr>
          <w:trHeight w:val="300"/>
          <w:jc w:val="center"/>
        </w:trPr>
        <w:tc>
          <w:tcPr>
            <w:tcW w:w="1360" w:type="dxa"/>
            <w:shd w:val="clear" w:color="000000" w:fill="CCEAF9"/>
            <w:vAlign w:val="center"/>
            <w:hideMark/>
          </w:tcPr>
          <w:p w14:paraId="781C161B" w14:textId="77777777" w:rsidR="004C7089" w:rsidRPr="00B310DB" w:rsidRDefault="004C7089" w:rsidP="004C7089">
            <w:pPr>
              <w:keepNext/>
              <w:keepLines/>
              <w:spacing w:after="0" w:line="240" w:lineRule="auto"/>
              <w:jc w:val="center"/>
              <w:rPr>
                <w:rFonts w:ascii="Calibri" w:eastAsia="Times New Roman" w:hAnsi="Calibri" w:cs="Calibri"/>
                <w:b/>
                <w:bCs/>
                <w:sz w:val="18"/>
                <w:szCs w:val="18"/>
              </w:rPr>
            </w:pPr>
            <w:r w:rsidRPr="00B310DB">
              <w:rPr>
                <w:rFonts w:ascii="Calibri" w:eastAsia="Times New Roman" w:hAnsi="Calibri" w:cs="Calibri"/>
                <w:b/>
                <w:bCs/>
                <w:sz w:val="18"/>
                <w:szCs w:val="18"/>
              </w:rPr>
              <w:t>2022/2023</w:t>
            </w:r>
          </w:p>
        </w:tc>
        <w:tc>
          <w:tcPr>
            <w:tcW w:w="1360" w:type="dxa"/>
            <w:shd w:val="clear" w:color="000000" w:fill="CCEAF9"/>
            <w:vAlign w:val="center"/>
            <w:hideMark/>
          </w:tcPr>
          <w:p w14:paraId="6888F388"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FCA 13</w:t>
            </w:r>
          </w:p>
        </w:tc>
        <w:tc>
          <w:tcPr>
            <w:tcW w:w="1160" w:type="dxa"/>
            <w:shd w:val="clear" w:color="000000" w:fill="CCEAF9"/>
            <w:vAlign w:val="center"/>
            <w:hideMark/>
          </w:tcPr>
          <w:p w14:paraId="68F38DA2"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CEAF9"/>
            <w:vAlign w:val="center"/>
            <w:hideMark/>
          </w:tcPr>
          <w:p w14:paraId="628D68E6"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CEAF9"/>
            <w:vAlign w:val="center"/>
            <w:hideMark/>
          </w:tcPr>
          <w:p w14:paraId="65FE32B8"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N/A</w:t>
            </w:r>
          </w:p>
        </w:tc>
        <w:tc>
          <w:tcPr>
            <w:tcW w:w="1160" w:type="dxa"/>
            <w:shd w:val="clear" w:color="000000" w:fill="CCEAF9"/>
            <w:vAlign w:val="center"/>
            <w:hideMark/>
          </w:tcPr>
          <w:p w14:paraId="63EC9DA6"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10,141</w:t>
            </w:r>
          </w:p>
        </w:tc>
        <w:tc>
          <w:tcPr>
            <w:tcW w:w="1160" w:type="dxa"/>
            <w:shd w:val="clear" w:color="000000" w:fill="CCEAF9"/>
            <w:vAlign w:val="center"/>
            <w:hideMark/>
          </w:tcPr>
          <w:p w14:paraId="0768DD39" w14:textId="77777777" w:rsidR="004C7089" w:rsidRPr="00B310DB" w:rsidRDefault="004C7089" w:rsidP="004C7089">
            <w:pPr>
              <w:keepNext/>
              <w:keepLines/>
              <w:spacing w:after="0" w:line="240" w:lineRule="auto"/>
              <w:jc w:val="center"/>
              <w:rPr>
                <w:rFonts w:ascii="Calibri" w:eastAsia="Times New Roman" w:hAnsi="Calibri" w:cs="Calibri"/>
                <w:sz w:val="18"/>
                <w:szCs w:val="18"/>
              </w:rPr>
            </w:pPr>
            <w:r w:rsidRPr="00B310DB">
              <w:rPr>
                <w:rFonts w:ascii="Calibri" w:eastAsia="Times New Roman" w:hAnsi="Calibri" w:cs="Calibri"/>
                <w:sz w:val="18"/>
                <w:szCs w:val="18"/>
              </w:rPr>
              <w:t>8,545</w:t>
            </w:r>
          </w:p>
        </w:tc>
      </w:tr>
    </w:tbl>
    <w:p w14:paraId="387B07E0" w14:textId="77777777" w:rsidR="004C7089" w:rsidRPr="00B310DB" w:rsidRDefault="004C7089" w:rsidP="004C7089">
      <w:pPr>
        <w:keepNext/>
        <w:keepLines/>
        <w:tabs>
          <w:tab w:val="left" w:pos="8010"/>
          <w:tab w:val="left" w:pos="9090"/>
          <w:tab w:val="left" w:pos="9810"/>
        </w:tabs>
        <w:autoSpaceDE w:val="0"/>
        <w:autoSpaceDN w:val="0"/>
        <w:adjustRightInd w:val="0"/>
        <w:spacing w:before="120" w:after="80" w:line="240" w:lineRule="auto"/>
        <w:ind w:left="540" w:right="360" w:hanging="270"/>
        <w:rPr>
          <w:rFonts w:asciiTheme="minorHAnsi" w:eastAsia="Times New Roman" w:hAnsiTheme="minorHAnsi" w:cs="Arial"/>
          <w:sz w:val="16"/>
          <w:szCs w:val="16"/>
        </w:rPr>
      </w:pPr>
      <w:r w:rsidRPr="00B310DB">
        <w:rPr>
          <w:rFonts w:asciiTheme="minorHAnsi" w:eastAsia="Times New Roman" w:hAnsiTheme="minorHAnsi" w:cs="Arial"/>
          <w:sz w:val="16"/>
          <w:szCs w:val="16"/>
        </w:rPr>
        <w:t xml:space="preserve">(a) </w:t>
      </w:r>
      <w:r w:rsidRPr="00B310DB">
        <w:rPr>
          <w:rFonts w:asciiTheme="minorHAnsi" w:eastAsia="Times New Roman" w:hAnsiTheme="minorHAnsi" w:cs="Arial"/>
          <w:sz w:val="16"/>
          <w:szCs w:val="16"/>
        </w:rPr>
        <w:tab/>
        <w:t>Source: “Summary of Historical Installed Capacity Requirements and Related Values Tables” in “Summary of the ICR and Related Values and Associated Assumptions” spreadsheet,</w:t>
      </w:r>
      <w:r w:rsidRPr="00B310DB">
        <w:t xml:space="preserve"> </w:t>
      </w:r>
      <w:hyperlink r:id="rId40" w:history="1">
        <w:r w:rsidRPr="00B310DB">
          <w:rPr>
            <w:rFonts w:asciiTheme="minorHAnsi" w:eastAsia="Times New Roman" w:hAnsiTheme="minorHAnsi" w:cs="Arial"/>
            <w:color w:val="000000"/>
            <w:sz w:val="16"/>
            <w:szCs w:val="16"/>
          </w:rPr>
          <w:t>https://www.iso-n</w:t>
        </w:r>
        <w:r w:rsidRPr="00E85649">
          <w:rPr>
            <w:rFonts w:asciiTheme="minorHAnsi" w:eastAsia="Times New Roman" w:hAnsiTheme="minorHAnsi" w:cs="Arial"/>
            <w:color w:val="000000"/>
            <w:sz w:val="16"/>
            <w:szCs w:val="16"/>
          </w:rPr>
          <w:t>e.com/static-assets/documents/2016/12/summ</w:t>
        </w:r>
        <w:r w:rsidRPr="00B310DB">
          <w:rPr>
            <w:rFonts w:asciiTheme="minorHAnsi" w:eastAsia="Times New Roman" w:hAnsiTheme="minorHAnsi" w:cs="Arial"/>
            <w:color w:val="000000"/>
            <w:sz w:val="16"/>
            <w:szCs w:val="16"/>
          </w:rPr>
          <w:t>ary_of</w:t>
        </w:r>
        <w:r w:rsidRPr="00E85649">
          <w:rPr>
            <w:rFonts w:asciiTheme="minorHAnsi" w:eastAsia="Times New Roman" w:hAnsiTheme="minorHAnsi" w:cs="Arial"/>
            <w:color w:val="000000"/>
            <w:sz w:val="16"/>
            <w:szCs w:val="16"/>
          </w:rPr>
          <w:t>_historical_icr_values.xlsx</w:t>
        </w:r>
      </w:hyperlink>
      <w:r w:rsidRPr="00B310DB">
        <w:rPr>
          <w:rFonts w:asciiTheme="minorHAnsi" w:eastAsia="Times New Roman" w:hAnsiTheme="minorHAnsi" w:cs="Arial"/>
          <w:sz w:val="16"/>
          <w:szCs w:val="16"/>
        </w:rPr>
        <w:t>. These are the latest values filed with FERC.</w:t>
      </w:r>
    </w:p>
    <w:p w14:paraId="62E9F9E2" w14:textId="2B765519" w:rsidR="004C7089" w:rsidRPr="00B310DB" w:rsidRDefault="004C7089" w:rsidP="004C7089">
      <w:pPr>
        <w:keepNext/>
        <w:keepLines/>
        <w:tabs>
          <w:tab w:val="left" w:pos="8010"/>
          <w:tab w:val="left" w:pos="9090"/>
          <w:tab w:val="left" w:pos="9810"/>
        </w:tabs>
        <w:autoSpaceDE w:val="0"/>
        <w:autoSpaceDN w:val="0"/>
        <w:adjustRightInd w:val="0"/>
        <w:spacing w:after="80" w:line="240" w:lineRule="auto"/>
        <w:ind w:left="548" w:right="360" w:hanging="274"/>
        <w:rPr>
          <w:rFonts w:asciiTheme="minorHAnsi" w:eastAsia="Times New Roman" w:hAnsiTheme="minorHAnsi" w:cs="Arial"/>
          <w:sz w:val="16"/>
          <w:szCs w:val="16"/>
        </w:rPr>
      </w:pPr>
      <w:r w:rsidRPr="00B310DB" w:rsidDel="006901D3">
        <w:rPr>
          <w:rFonts w:asciiTheme="minorHAnsi" w:eastAsia="Times New Roman" w:hAnsiTheme="minorHAnsi" w:cs="Arial"/>
          <w:sz w:val="16"/>
          <w:szCs w:val="16"/>
        </w:rPr>
        <w:t xml:space="preserve"> </w:t>
      </w:r>
      <w:r w:rsidRPr="00B310DB">
        <w:rPr>
          <w:rFonts w:asciiTheme="minorHAnsi" w:eastAsia="Times New Roman" w:hAnsiTheme="minorHAnsi" w:cs="Arial"/>
          <w:sz w:val="16"/>
          <w:szCs w:val="16"/>
        </w:rPr>
        <w:t xml:space="preserve">(b) </w:t>
      </w:r>
      <w:r w:rsidRPr="00B310DB">
        <w:rPr>
          <w:rFonts w:asciiTheme="minorHAnsi" w:eastAsia="Times New Roman" w:hAnsiTheme="minorHAnsi" w:cs="Arial"/>
          <w:sz w:val="16"/>
          <w:szCs w:val="16"/>
        </w:rPr>
        <w:tab/>
        <w:t xml:space="preserve">LSR and MCL values were calculated only for capacity zones triggered to be modeled (see Section </w:t>
      </w:r>
      <w:r w:rsidRPr="00BF3CF1">
        <w:rPr>
          <w:rFonts w:asciiTheme="minorHAnsi" w:eastAsia="Times New Roman" w:hAnsiTheme="minorHAnsi" w:cs="Arial"/>
          <w:sz w:val="16"/>
          <w:szCs w:val="16"/>
        </w:rPr>
        <w:fldChar w:fldCharType="begin"/>
      </w:r>
      <w:r w:rsidRPr="00B310DB">
        <w:rPr>
          <w:rFonts w:asciiTheme="minorHAnsi" w:eastAsia="Times New Roman" w:hAnsiTheme="minorHAnsi" w:cs="Arial"/>
          <w:sz w:val="16"/>
          <w:szCs w:val="16"/>
        </w:rPr>
        <w:instrText xml:space="preserve"> REF _Ref418883537 \r \h  \* MERGEFORMAT </w:instrText>
      </w:r>
      <w:r w:rsidRPr="00BF3CF1">
        <w:rPr>
          <w:rFonts w:asciiTheme="minorHAnsi" w:eastAsia="Times New Roman" w:hAnsiTheme="minorHAnsi" w:cs="Arial"/>
          <w:sz w:val="16"/>
          <w:szCs w:val="16"/>
        </w:rPr>
      </w:r>
      <w:r w:rsidRPr="00BF3CF1">
        <w:rPr>
          <w:rFonts w:asciiTheme="minorHAnsi" w:eastAsia="Times New Roman" w:hAnsiTheme="minorHAnsi" w:cs="Arial"/>
          <w:sz w:val="16"/>
          <w:szCs w:val="16"/>
        </w:rPr>
        <w:fldChar w:fldCharType="separate"/>
      </w:r>
      <w:r w:rsidR="005D0B73" w:rsidRPr="00B310DB">
        <w:rPr>
          <w:rFonts w:asciiTheme="minorHAnsi" w:eastAsia="Times New Roman" w:hAnsiTheme="minorHAnsi" w:cs="Arial"/>
          <w:sz w:val="16"/>
          <w:szCs w:val="16"/>
        </w:rPr>
        <w:t>4.2</w:t>
      </w:r>
      <w:r w:rsidRPr="00BF3CF1">
        <w:rPr>
          <w:rFonts w:asciiTheme="minorHAnsi" w:eastAsia="Times New Roman" w:hAnsiTheme="minorHAnsi" w:cs="Arial"/>
          <w:sz w:val="16"/>
          <w:szCs w:val="16"/>
        </w:rPr>
        <w:fldChar w:fldCharType="end"/>
      </w:r>
      <w:r w:rsidRPr="00B310DB">
        <w:rPr>
          <w:rFonts w:asciiTheme="minorHAnsi" w:eastAsia="Times New Roman" w:hAnsiTheme="minorHAnsi" w:cs="Arial"/>
          <w:sz w:val="16"/>
          <w:szCs w:val="16"/>
        </w:rPr>
        <w:t>) in that capacity commitment period.</w:t>
      </w:r>
      <w:bookmarkStart w:id="362" w:name="_Ref173230243"/>
      <w:bookmarkStart w:id="363" w:name="_Toc176245001"/>
      <w:bookmarkStart w:id="364" w:name="_Toc201669924"/>
      <w:bookmarkStart w:id="365" w:name="_Ref201977716"/>
      <w:bookmarkStart w:id="366" w:name="_Ref201977766"/>
      <w:bookmarkStart w:id="367" w:name="_Ref202091737"/>
      <w:bookmarkStart w:id="368" w:name="_Ref204270095"/>
      <w:bookmarkStart w:id="369" w:name="_Toc207531824"/>
      <w:bookmarkStart w:id="370" w:name="_Ref231035150"/>
      <w:bookmarkStart w:id="371" w:name="_Ref231139658"/>
      <w:bookmarkStart w:id="372" w:name="_Ref231186544"/>
      <w:bookmarkStart w:id="373" w:name="_Toc239157061"/>
      <w:bookmarkStart w:id="374" w:name="_Ref266110745"/>
      <w:bookmarkStart w:id="375" w:name="_Ref266616294"/>
      <w:bookmarkStart w:id="376" w:name="_Ref266712567"/>
      <w:bookmarkStart w:id="377" w:name="_Toc271632219"/>
      <w:bookmarkStart w:id="378" w:name="_Ref293762973"/>
      <w:bookmarkStart w:id="379" w:name="_Ref296343987"/>
      <w:bookmarkStart w:id="380" w:name="_Ref296345985"/>
      <w:bookmarkStart w:id="381" w:name="_Ref296346661"/>
      <w:bookmarkStart w:id="382" w:name="_Ref297196157"/>
      <w:bookmarkStart w:id="383" w:name="_Ref297214066"/>
      <w:bookmarkStart w:id="384" w:name="_Ref297231757"/>
      <w:bookmarkStart w:id="385" w:name="_Ref298081054"/>
      <w:bookmarkStart w:id="386" w:name="_Toc303086377"/>
      <w:bookmarkStart w:id="387" w:name="_Toc334601028"/>
      <w:bookmarkStart w:id="388" w:name="_Toc365440995"/>
      <w:bookmarkStart w:id="389" w:name="_Ref354577349"/>
      <w:bookmarkStart w:id="390" w:name="_Ref388452282"/>
      <w:bookmarkStart w:id="391" w:name="_Ref388801529"/>
      <w:bookmarkStart w:id="392" w:name="_Ref388869264"/>
      <w:bookmarkStart w:id="393" w:name="_Toc396807624"/>
      <w:bookmarkStart w:id="394" w:name="_Toc481053251"/>
      <w:bookmarkEnd w:id="358"/>
    </w:p>
    <w:p w14:paraId="45244751" w14:textId="443069B1" w:rsidR="004C7089" w:rsidRPr="004C7089" w:rsidRDefault="004C7089" w:rsidP="004C7089">
      <w:pPr>
        <w:keepNext/>
        <w:keepLines/>
        <w:tabs>
          <w:tab w:val="left" w:pos="8010"/>
          <w:tab w:val="left" w:pos="9090"/>
          <w:tab w:val="left" w:pos="9810"/>
        </w:tabs>
        <w:autoSpaceDE w:val="0"/>
        <w:autoSpaceDN w:val="0"/>
        <w:adjustRightInd w:val="0"/>
        <w:spacing w:line="240" w:lineRule="auto"/>
        <w:ind w:left="548" w:right="360" w:hanging="274"/>
        <w:rPr>
          <w:rFonts w:asciiTheme="minorHAnsi" w:eastAsia="Times New Roman" w:hAnsiTheme="minorHAnsi" w:cs="Arial"/>
          <w:sz w:val="16"/>
          <w:szCs w:val="16"/>
        </w:rPr>
      </w:pPr>
      <w:r w:rsidRPr="00B310DB">
        <w:rPr>
          <w:rFonts w:asciiTheme="minorHAnsi" w:eastAsia="Times New Roman" w:hAnsiTheme="minorHAnsi" w:cs="Arial"/>
          <w:sz w:val="16"/>
          <w:szCs w:val="16"/>
        </w:rPr>
        <w:t xml:space="preserve">(c) </w:t>
      </w:r>
      <w:r w:rsidRPr="00B310DB">
        <w:rPr>
          <w:rFonts w:asciiTheme="minorHAnsi" w:eastAsia="Times New Roman" w:hAnsiTheme="minorHAnsi" w:cs="Arial"/>
          <w:sz w:val="16"/>
          <w:szCs w:val="16"/>
        </w:rPr>
        <w:tab/>
        <w:t>The SENE capacity zone is the aggregation of the NEMA/Boston and SEMA/RI load zones. The NNE capacity zone is the aggregation of the Maine</w:t>
      </w:r>
      <w:r w:rsidR="00B310DB" w:rsidRPr="00F614B3">
        <w:rPr>
          <w:rFonts w:asciiTheme="minorHAnsi" w:eastAsia="Times New Roman" w:hAnsiTheme="minorHAnsi" w:cs="Arial"/>
          <w:sz w:val="16"/>
          <w:szCs w:val="16"/>
        </w:rPr>
        <w:t>,</w:t>
      </w:r>
      <w:r w:rsidRPr="00B310DB">
        <w:rPr>
          <w:rFonts w:asciiTheme="minorHAnsi" w:eastAsia="Times New Roman" w:hAnsiTheme="minorHAnsi" w:cs="Arial"/>
          <w:sz w:val="16"/>
          <w:szCs w:val="16"/>
        </w:rPr>
        <w:t xml:space="preserve"> New Hampshire</w:t>
      </w:r>
      <w:r w:rsidR="00B310DB" w:rsidRPr="00F614B3">
        <w:rPr>
          <w:rFonts w:asciiTheme="minorHAnsi" w:eastAsia="Times New Roman" w:hAnsiTheme="minorHAnsi" w:cs="Arial"/>
          <w:sz w:val="16"/>
          <w:szCs w:val="16"/>
        </w:rPr>
        <w:t>, and Vermont</w:t>
      </w:r>
      <w:r w:rsidRPr="00B310DB">
        <w:rPr>
          <w:rFonts w:asciiTheme="minorHAnsi" w:eastAsia="Times New Roman" w:hAnsiTheme="minorHAnsi" w:cs="Arial"/>
          <w:sz w:val="16"/>
          <w:szCs w:val="16"/>
        </w:rPr>
        <w:t xml:space="preserve"> load zones.</w:t>
      </w:r>
    </w:p>
    <w:p w14:paraId="1BD0BDB4" w14:textId="77777777" w:rsidR="004C7089" w:rsidRPr="004C7089" w:rsidRDefault="004C7089" w:rsidP="00367A18">
      <w:pPr>
        <w:pStyle w:val="Heading3"/>
      </w:pPr>
      <w:bookmarkStart w:id="395" w:name="_Toc490323027"/>
      <w:bookmarkStart w:id="396" w:name="_Ref490324272"/>
      <w:bookmarkStart w:id="397" w:name="_Ref490324949"/>
      <w:bookmarkStart w:id="398" w:name="_Ref490324988"/>
      <w:bookmarkStart w:id="399" w:name="_Ref491174411"/>
      <w:bookmarkStart w:id="400" w:name="_Ref491174539"/>
      <w:bookmarkStart w:id="401" w:name="_Ref10720490"/>
      <w:bookmarkStart w:id="402" w:name="_Ref10817563"/>
      <w:bookmarkStart w:id="403" w:name="_Ref11515320"/>
      <w:bookmarkStart w:id="404" w:name="_Ref11658329"/>
      <w:bookmarkStart w:id="405" w:name="_Ref11823371"/>
      <w:bookmarkStart w:id="406" w:name="_Ref12539683"/>
      <w:bookmarkStart w:id="407" w:name="_Toc12795168"/>
      <w:r w:rsidRPr="004C7089">
        <w:t>Capacity Supply Obligations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4C7089">
        <w:t xml:space="preserve"> </w:t>
      </w:r>
      <w:bookmarkEnd w:id="389"/>
      <w:r w:rsidRPr="004C7089">
        <w:t>from the Forward Capacity Auctions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4C7089">
        <w:t xml:space="preserve"> </w:t>
      </w:r>
    </w:p>
    <w:p w14:paraId="320A5C9C" w14:textId="77777777" w:rsidR="004C7089" w:rsidRPr="004C7089" w:rsidRDefault="004C7089" w:rsidP="004C7089">
      <w:r w:rsidRPr="004C7089">
        <w:t>This section presents the results of FCA 9 through FCA 13, including the amount of capacity that generation, import, and demand resources in the region will supply.</w:t>
      </w:r>
      <w:bookmarkStart w:id="408" w:name="_Toc201669927"/>
      <w:bookmarkStart w:id="409" w:name="_Ref202089312"/>
      <w:bookmarkStart w:id="410" w:name="_Toc207531827"/>
      <w:r w:rsidRPr="004C7089">
        <w:t xml:space="preserve"> </w:t>
      </w:r>
    </w:p>
    <w:p w14:paraId="528FABAE" w14:textId="77777777" w:rsidR="004C7089" w:rsidRPr="004C7089" w:rsidRDefault="004C7089" w:rsidP="00367A18">
      <w:pPr>
        <w:pStyle w:val="Heading4"/>
      </w:pPr>
      <w:bookmarkStart w:id="411" w:name="_Ref17708464"/>
      <w:bookmarkStart w:id="412" w:name="_Ref327800904"/>
      <w:r w:rsidRPr="004C7089">
        <w:t>Competitive Auctions with Sponsored Policy Resources</w:t>
      </w:r>
      <w:bookmarkEnd w:id="411"/>
      <w:r w:rsidRPr="004C7089">
        <w:t xml:space="preserve"> </w:t>
      </w:r>
    </w:p>
    <w:p w14:paraId="6CBA1856" w14:textId="77777777" w:rsidR="004C7089" w:rsidRPr="004C7089" w:rsidRDefault="004C7089" w:rsidP="004C7089">
      <w:pPr>
        <w:rPr>
          <w:rFonts w:eastAsia="Times New Roman"/>
          <w:szCs w:val="24"/>
        </w:rPr>
      </w:pPr>
      <w:r w:rsidRPr="004C7089">
        <w:t>In FCA 13</w:t>
      </w:r>
      <w:r w:rsidR="001F23E1">
        <w:t>,</w:t>
      </w:r>
      <w:r w:rsidRPr="004C7089">
        <w:t xml:space="preserve"> an additional market mechanism was added to the Forward Capacity Market to a</w:t>
      </w:r>
      <w:r w:rsidR="00AD774C">
        <w:t>ccommodate</w:t>
      </w:r>
      <w:r w:rsidRPr="004C7089">
        <w:t xml:space="preserve"> state sponsored, out-of-market renewable resources. The Competitive Auctions with Sponsored Policy Resources (CASPR) framework is designed to maintain competitively based</w:t>
      </w:r>
      <w:r w:rsidR="009B4A68">
        <w:t>,</w:t>
      </w:r>
      <w:r w:rsidRPr="004C7089">
        <w:t xml:space="preserve"> forward capacity price signals while, over time, accommodating the entry into the FCM of new resources sponsored by public entities.</w:t>
      </w:r>
      <w:r w:rsidRPr="004C7089">
        <w:rPr>
          <w:rFonts w:eastAsia="Times New Roman"/>
          <w:vertAlign w:val="superscript"/>
        </w:rPr>
        <w:footnoteReference w:id="104"/>
      </w:r>
      <w:r w:rsidRPr="004C7089">
        <w:rPr>
          <w:rFonts w:eastAsia="Times New Roman" w:cs="Arial"/>
        </w:rPr>
        <w:t xml:space="preserve"> CASPR includes </w:t>
      </w:r>
      <w:r w:rsidRPr="004C7089">
        <w:rPr>
          <w:rFonts w:eastAsia="Times New Roman"/>
          <w:szCs w:val="24"/>
        </w:rPr>
        <w:t xml:space="preserve">a new two-stage, two-settlement process where a secondary market known as a substitution auction (SA) would be held immediately after the primary capacity auction is completed. The primary auction and SA together are the FCA. </w:t>
      </w:r>
    </w:p>
    <w:p w14:paraId="3A448B30" w14:textId="22C4E704" w:rsidR="00A35061" w:rsidRPr="004C7089" w:rsidRDefault="004C7089" w:rsidP="004C7089">
      <w:r w:rsidRPr="004C7089">
        <w:t xml:space="preserve">The CASPR market design maintains competitively based primary auction prices by minimizing the price-suppressive effect of out-of-market subsidies on competitive (unsubsidized) resources, thereby accommodating </w:t>
      </w:r>
      <w:r w:rsidR="00834D8F">
        <w:t xml:space="preserve">the </w:t>
      </w:r>
      <w:r w:rsidRPr="004C7089">
        <w:t xml:space="preserve">entry of subsidized resources into the FCM over time. CASPR is intended to be a sustainable, market-based approach that extends, rather than upends, the existing capacity market framework. Existing resources awarded capacity supply obligations in the </w:t>
      </w:r>
      <w:r w:rsidR="00B6172E">
        <w:t>primary auction</w:t>
      </w:r>
      <w:r w:rsidRPr="004C7089">
        <w:t xml:space="preserve"> may subsequently transfer their obligations to new, subsidized resources that do not have CSOs. Transferring resources must then permanently retire (they have no CSOs or interconnection rights) and pay the </w:t>
      </w:r>
      <w:r w:rsidRPr="004C7089">
        <w:lastRenderedPageBreak/>
        <w:t>subsidized resources for fulfilling their supply obligations. This is arranged, at a clearing price that makes both parties better off, using the two-settlement substitution auction. CASPR does not directly affect the capacity payments by loads or to the other (nonretiring) resources awarded CSOs.</w:t>
      </w:r>
      <w:r w:rsidRPr="004C7089">
        <w:rPr>
          <w:vertAlign w:val="superscript"/>
        </w:rPr>
        <w:footnoteReference w:id="105"/>
      </w:r>
    </w:p>
    <w:p w14:paraId="729C724C" w14:textId="77777777" w:rsidR="004C7089" w:rsidRPr="004C7089" w:rsidRDefault="004C7089" w:rsidP="00367A18">
      <w:pPr>
        <w:pStyle w:val="Heading4"/>
      </w:pPr>
      <w:r w:rsidRPr="004C7089">
        <w:t>Capacity Supply Obligations for the Past Five FCAs</w:t>
      </w:r>
    </w:p>
    <w:p w14:paraId="76D9C0D9" w14:textId="180136F5" w:rsidR="004C7089" w:rsidRPr="004C7089" w:rsidRDefault="004C7089" w:rsidP="004C7089">
      <w:r w:rsidRPr="004C7089">
        <w:fldChar w:fldCharType="begin"/>
      </w:r>
      <w:r w:rsidRPr="004C7089">
        <w:instrText xml:space="preserve"> REF _Ref8316526 \h  \* MERGEFORMAT </w:instrText>
      </w:r>
      <w:r w:rsidRPr="004C7089">
        <w:fldChar w:fldCharType="separate"/>
      </w:r>
      <w:r w:rsidR="005D0B73" w:rsidRPr="005D0B73">
        <w:rPr>
          <w:bCs/>
          <w:szCs w:val="18"/>
        </w:rPr>
        <w:t>Table 4</w:t>
      </w:r>
      <w:r w:rsidR="005D0B73" w:rsidRPr="005D0B73">
        <w:rPr>
          <w:bCs/>
          <w:szCs w:val="18"/>
        </w:rPr>
        <w:noBreakHyphen/>
        <w:t>3</w:t>
      </w:r>
      <w:r w:rsidRPr="004C7089">
        <w:fldChar w:fldCharType="end"/>
      </w:r>
      <w:r w:rsidRPr="004C7089">
        <w:t xml:space="preserve"> illustrates the results of the past five FCAs for capacity commitment periods 2018/2019 (</w:t>
      </w:r>
      <w:r w:rsidR="00834D8F" w:rsidRPr="004C7089">
        <w:t>FCA</w:t>
      </w:r>
      <w:r w:rsidR="00834D8F">
        <w:t> </w:t>
      </w:r>
      <w:r w:rsidRPr="004C7089">
        <w:t>9) through 2022/2023 (FCA 13) and provides the CSO totals at the conclusion of each auction. This table also includes some details on the types of CSOs procured, including self-supply obligation values that reflect bilateral capacity arrangements as well as import CSOs from neighboring balancing authority areas.</w:t>
      </w:r>
    </w:p>
    <w:p w14:paraId="1AC82CC3" w14:textId="288484DF" w:rsidR="004C7089" w:rsidRPr="004C7089" w:rsidRDefault="004C7089" w:rsidP="004C7089">
      <w:pPr>
        <w:keepNext/>
        <w:keepLines/>
        <w:spacing w:after="120" w:line="240" w:lineRule="auto"/>
        <w:ind w:left="547" w:right="547"/>
        <w:jc w:val="center"/>
        <w:rPr>
          <w:rFonts w:ascii="Calibri" w:hAnsi="Calibri"/>
          <w:b/>
          <w:bCs/>
          <w:szCs w:val="18"/>
        </w:rPr>
      </w:pPr>
      <w:bookmarkStart w:id="413" w:name="_Ref8316526"/>
      <w:bookmarkStart w:id="414" w:name="_Toc12795334"/>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413"/>
      <w:r w:rsidRPr="004C7089">
        <w:rPr>
          <w:rFonts w:ascii="Calibri" w:hAnsi="Calibri"/>
          <w:b/>
          <w:bCs/>
          <w:szCs w:val="18"/>
        </w:rPr>
        <w:br/>
      </w:r>
      <w:r w:rsidRPr="004C7089">
        <w:rPr>
          <w:rFonts w:ascii="Calibri" w:hAnsi="Calibri" w:cs="Arial"/>
          <w:b/>
          <w:bCs/>
          <w:szCs w:val="18"/>
        </w:rPr>
        <w:t>Summary of the FCA Obligations at the Conclusion of Each Auction (MW)</w:t>
      </w:r>
      <w:r w:rsidRPr="004C7089">
        <w:rPr>
          <w:rFonts w:ascii="Calibri" w:hAnsi="Calibri" w:cs="Arial"/>
          <w:b/>
          <w:bCs/>
          <w:szCs w:val="18"/>
          <w:vertAlign w:val="superscript"/>
        </w:rPr>
        <w:t>(a)</w:t>
      </w:r>
      <w:bookmarkEnd w:id="414"/>
    </w:p>
    <w:tbl>
      <w:tblPr>
        <w:tblW w:w="7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71"/>
        <w:gridCol w:w="944"/>
        <w:gridCol w:w="944"/>
        <w:gridCol w:w="872"/>
        <w:gridCol w:w="953"/>
        <w:gridCol w:w="1190"/>
        <w:gridCol w:w="946"/>
        <w:gridCol w:w="900"/>
      </w:tblGrid>
      <w:tr w:rsidR="004C7089" w:rsidRPr="004C7089" w14:paraId="20367DD6" w14:textId="77777777" w:rsidTr="00805C72">
        <w:trPr>
          <w:cantSplit/>
          <w:trHeight w:val="694"/>
          <w:tblHeader/>
          <w:jc w:val="center"/>
        </w:trPr>
        <w:tc>
          <w:tcPr>
            <w:tcW w:w="1171" w:type="dxa"/>
            <w:shd w:val="clear" w:color="auto" w:fill="1795D2" w:themeFill="accent1"/>
            <w:tcMar>
              <w:top w:w="0" w:type="dxa"/>
              <w:bottom w:w="0" w:type="dxa"/>
            </w:tcMar>
            <w:vAlign w:val="center"/>
          </w:tcPr>
          <w:p w14:paraId="0C69E5EC"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Commitment Period</w:t>
            </w:r>
          </w:p>
        </w:tc>
        <w:tc>
          <w:tcPr>
            <w:tcW w:w="944" w:type="dxa"/>
            <w:shd w:val="clear" w:color="auto" w:fill="1795D2" w:themeFill="accent1"/>
            <w:vAlign w:val="center"/>
          </w:tcPr>
          <w:p w14:paraId="55A6413C" w14:textId="77777777" w:rsidR="004C7089" w:rsidRPr="004C7089" w:rsidRDefault="004C7089" w:rsidP="004C7089">
            <w:pPr>
              <w:keepNext/>
              <w:keepLines/>
              <w:spacing w:before="20" w:after="20" w:line="240" w:lineRule="auto"/>
              <w:jc w:val="center"/>
              <w:rPr>
                <w:rFonts w:asciiTheme="minorHAnsi" w:hAnsiTheme="minorHAnsi" w:cs="Arial"/>
                <w:b/>
                <w:color w:val="FFFFFF" w:themeColor="background1"/>
                <w:sz w:val="18"/>
                <w:szCs w:val="18"/>
              </w:rPr>
            </w:pPr>
            <w:r w:rsidRPr="004C7089">
              <w:rPr>
                <w:rFonts w:asciiTheme="minorHAnsi" w:hAnsiTheme="minorHAnsi" w:cs="Arial"/>
                <w:b/>
                <w:color w:val="FFFFFF" w:themeColor="background1"/>
                <w:sz w:val="18"/>
                <w:szCs w:val="18"/>
              </w:rPr>
              <w:t>FCA</w:t>
            </w:r>
          </w:p>
        </w:tc>
        <w:tc>
          <w:tcPr>
            <w:tcW w:w="944" w:type="dxa"/>
            <w:shd w:val="clear" w:color="auto" w:fill="1795D2" w:themeFill="accent1"/>
            <w:tcMar>
              <w:top w:w="0" w:type="dxa"/>
              <w:bottom w:w="0" w:type="dxa"/>
            </w:tcMar>
            <w:vAlign w:val="center"/>
          </w:tcPr>
          <w:p w14:paraId="662184F8"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ICR</w:t>
            </w:r>
          </w:p>
        </w:tc>
        <w:tc>
          <w:tcPr>
            <w:tcW w:w="872" w:type="dxa"/>
            <w:shd w:val="clear" w:color="auto" w:fill="1795D2" w:themeFill="accent1"/>
            <w:tcMar>
              <w:top w:w="0" w:type="dxa"/>
              <w:bottom w:w="0" w:type="dxa"/>
            </w:tcMar>
            <w:vAlign w:val="center"/>
          </w:tcPr>
          <w:p w14:paraId="2EF706B2"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HQICC</w:t>
            </w:r>
          </w:p>
        </w:tc>
        <w:tc>
          <w:tcPr>
            <w:tcW w:w="953" w:type="dxa"/>
            <w:shd w:val="clear" w:color="auto" w:fill="1795D2" w:themeFill="accent1"/>
            <w:tcMar>
              <w:top w:w="0" w:type="dxa"/>
              <w:bottom w:w="0" w:type="dxa"/>
            </w:tcMar>
            <w:vAlign w:val="center"/>
          </w:tcPr>
          <w:p w14:paraId="55C8A405"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Net ICR</w:t>
            </w:r>
            <w:r w:rsidRPr="004C7089">
              <w:rPr>
                <w:rFonts w:asciiTheme="minorHAnsi" w:hAnsiTheme="minorHAnsi" w:cs="Arial"/>
                <w:b/>
                <w:color w:val="FFFFFF" w:themeColor="background1"/>
                <w:sz w:val="18"/>
                <w:szCs w:val="18"/>
                <w:vertAlign w:val="superscript"/>
              </w:rPr>
              <w:t>(b)</w:t>
            </w:r>
          </w:p>
        </w:tc>
        <w:tc>
          <w:tcPr>
            <w:tcW w:w="1190" w:type="dxa"/>
            <w:shd w:val="clear" w:color="auto" w:fill="1795D2" w:themeFill="accent1"/>
            <w:tcMar>
              <w:top w:w="0" w:type="dxa"/>
              <w:bottom w:w="0" w:type="dxa"/>
            </w:tcMar>
            <w:vAlign w:val="center"/>
          </w:tcPr>
          <w:p w14:paraId="0D4926FD"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Capacity Supply Obligation</w:t>
            </w:r>
            <w:r w:rsidRPr="004C7089">
              <w:rPr>
                <w:rFonts w:asciiTheme="minorHAnsi" w:hAnsiTheme="minorHAnsi" w:cs="Arial"/>
                <w:b/>
                <w:color w:val="FFFFFF" w:themeColor="background1"/>
                <w:sz w:val="18"/>
                <w:szCs w:val="18"/>
                <w:vertAlign w:val="superscript"/>
              </w:rPr>
              <w:t>(c)</w:t>
            </w:r>
          </w:p>
        </w:tc>
        <w:tc>
          <w:tcPr>
            <w:tcW w:w="946" w:type="dxa"/>
            <w:shd w:val="clear" w:color="auto" w:fill="1795D2" w:themeFill="accent1"/>
            <w:tcMar>
              <w:top w:w="0" w:type="dxa"/>
              <w:bottom w:w="0" w:type="dxa"/>
            </w:tcMar>
            <w:vAlign w:val="center"/>
          </w:tcPr>
          <w:p w14:paraId="4A698336"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Self-Supply Obligation</w:t>
            </w:r>
          </w:p>
        </w:tc>
        <w:tc>
          <w:tcPr>
            <w:tcW w:w="900" w:type="dxa"/>
            <w:shd w:val="clear" w:color="auto" w:fill="1795D2" w:themeFill="accent1"/>
            <w:tcMar>
              <w:top w:w="0" w:type="dxa"/>
              <w:bottom w:w="0" w:type="dxa"/>
            </w:tcMar>
            <w:vAlign w:val="center"/>
          </w:tcPr>
          <w:p w14:paraId="4CDB9D83" w14:textId="77777777" w:rsidR="004C7089" w:rsidRPr="004C7089" w:rsidRDefault="004C7089" w:rsidP="004C7089">
            <w:pPr>
              <w:keepNext/>
              <w:keepLines/>
              <w:spacing w:before="20" w:after="20" w:line="240" w:lineRule="auto"/>
              <w:jc w:val="center"/>
              <w:rPr>
                <w:rFonts w:asciiTheme="minorHAnsi" w:hAnsiTheme="minorHAnsi" w:cs="Arial"/>
                <w:b/>
                <w:bCs/>
                <w:color w:val="FFFFFF" w:themeColor="background1"/>
                <w:sz w:val="18"/>
                <w:szCs w:val="18"/>
              </w:rPr>
            </w:pPr>
            <w:r w:rsidRPr="004C7089">
              <w:rPr>
                <w:rFonts w:asciiTheme="minorHAnsi" w:hAnsiTheme="minorHAnsi" w:cs="Arial"/>
                <w:b/>
                <w:color w:val="FFFFFF" w:themeColor="background1"/>
                <w:sz w:val="18"/>
                <w:szCs w:val="18"/>
              </w:rPr>
              <w:t>Import Capacity Supply Obligation</w:t>
            </w:r>
          </w:p>
        </w:tc>
      </w:tr>
      <w:tr w:rsidR="004C7089" w:rsidRPr="004C7089" w14:paraId="750A048C" w14:textId="77777777" w:rsidTr="00805C72">
        <w:trPr>
          <w:cantSplit/>
          <w:trHeight w:val="306"/>
          <w:jc w:val="center"/>
        </w:trPr>
        <w:tc>
          <w:tcPr>
            <w:tcW w:w="1171" w:type="dxa"/>
            <w:shd w:val="clear" w:color="auto" w:fill="auto"/>
            <w:noWrap/>
            <w:tcMar>
              <w:top w:w="43" w:type="dxa"/>
              <w:bottom w:w="43" w:type="dxa"/>
            </w:tcMar>
            <w:vAlign w:val="center"/>
          </w:tcPr>
          <w:p w14:paraId="65864D03" w14:textId="77777777"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2018/2019</w:t>
            </w:r>
          </w:p>
        </w:tc>
        <w:tc>
          <w:tcPr>
            <w:tcW w:w="944" w:type="dxa"/>
            <w:vAlign w:val="center"/>
          </w:tcPr>
          <w:p w14:paraId="6C4556DC" w14:textId="77777777"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9</w:t>
            </w:r>
          </w:p>
        </w:tc>
        <w:tc>
          <w:tcPr>
            <w:tcW w:w="944" w:type="dxa"/>
            <w:shd w:val="clear" w:color="auto" w:fill="auto"/>
            <w:noWrap/>
            <w:tcMar>
              <w:top w:w="58" w:type="dxa"/>
              <w:bottom w:w="58" w:type="dxa"/>
            </w:tcMar>
            <w:vAlign w:val="center"/>
          </w:tcPr>
          <w:p w14:paraId="3B222FE8"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35,142</w:t>
            </w:r>
          </w:p>
        </w:tc>
        <w:tc>
          <w:tcPr>
            <w:tcW w:w="872" w:type="dxa"/>
            <w:shd w:val="clear" w:color="auto" w:fill="auto"/>
            <w:noWrap/>
            <w:tcMar>
              <w:top w:w="43" w:type="dxa"/>
              <w:bottom w:w="43" w:type="dxa"/>
            </w:tcMar>
            <w:vAlign w:val="center"/>
          </w:tcPr>
          <w:p w14:paraId="2994A608"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953</w:t>
            </w:r>
          </w:p>
        </w:tc>
        <w:tc>
          <w:tcPr>
            <w:tcW w:w="953" w:type="dxa"/>
            <w:shd w:val="clear" w:color="auto" w:fill="auto"/>
            <w:noWrap/>
            <w:tcMar>
              <w:top w:w="43" w:type="dxa"/>
              <w:bottom w:w="43" w:type="dxa"/>
            </w:tcMar>
            <w:vAlign w:val="center"/>
          </w:tcPr>
          <w:p w14:paraId="46B25713"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34,189</w:t>
            </w:r>
          </w:p>
        </w:tc>
        <w:tc>
          <w:tcPr>
            <w:tcW w:w="1190" w:type="dxa"/>
            <w:shd w:val="clear" w:color="auto" w:fill="auto"/>
            <w:noWrap/>
            <w:tcMar>
              <w:top w:w="43" w:type="dxa"/>
              <w:bottom w:w="43" w:type="dxa"/>
            </w:tcMar>
            <w:vAlign w:val="center"/>
          </w:tcPr>
          <w:p w14:paraId="42C34965"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34,695</w:t>
            </w:r>
          </w:p>
        </w:tc>
        <w:tc>
          <w:tcPr>
            <w:tcW w:w="946" w:type="dxa"/>
            <w:shd w:val="clear" w:color="auto" w:fill="auto"/>
            <w:noWrap/>
            <w:tcMar>
              <w:top w:w="43" w:type="dxa"/>
              <w:bottom w:w="43" w:type="dxa"/>
            </w:tcMar>
            <w:vAlign w:val="center"/>
          </w:tcPr>
          <w:p w14:paraId="58E38B32"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1,287</w:t>
            </w:r>
          </w:p>
        </w:tc>
        <w:tc>
          <w:tcPr>
            <w:tcW w:w="900" w:type="dxa"/>
            <w:shd w:val="clear" w:color="auto" w:fill="auto"/>
            <w:noWrap/>
            <w:tcMar>
              <w:top w:w="43" w:type="dxa"/>
              <w:bottom w:w="43" w:type="dxa"/>
            </w:tcMar>
            <w:vAlign w:val="center"/>
          </w:tcPr>
          <w:p w14:paraId="2C5FDF66"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1,449</w:t>
            </w:r>
          </w:p>
        </w:tc>
      </w:tr>
      <w:tr w:rsidR="004C7089" w:rsidRPr="004C7089" w14:paraId="5A270ADC" w14:textId="77777777" w:rsidTr="00805C72">
        <w:trPr>
          <w:cantSplit/>
          <w:trHeight w:val="306"/>
          <w:jc w:val="center"/>
        </w:trPr>
        <w:tc>
          <w:tcPr>
            <w:tcW w:w="1171" w:type="dxa"/>
            <w:shd w:val="clear" w:color="auto" w:fill="CCEAF9" w:themeFill="accent1" w:themeFillTint="33"/>
            <w:noWrap/>
            <w:tcMar>
              <w:top w:w="43" w:type="dxa"/>
              <w:bottom w:w="43" w:type="dxa"/>
            </w:tcMar>
            <w:vAlign w:val="center"/>
          </w:tcPr>
          <w:p w14:paraId="1C5D6D6A" w14:textId="77777777"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2019/2020</w:t>
            </w:r>
          </w:p>
        </w:tc>
        <w:tc>
          <w:tcPr>
            <w:tcW w:w="944" w:type="dxa"/>
            <w:shd w:val="clear" w:color="auto" w:fill="CCEAF9" w:themeFill="accent1" w:themeFillTint="33"/>
            <w:vAlign w:val="center"/>
          </w:tcPr>
          <w:p w14:paraId="473B4D68" w14:textId="77777777"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10</w:t>
            </w:r>
          </w:p>
        </w:tc>
        <w:tc>
          <w:tcPr>
            <w:tcW w:w="944" w:type="dxa"/>
            <w:shd w:val="clear" w:color="auto" w:fill="CCEAF9" w:themeFill="accent1" w:themeFillTint="33"/>
            <w:noWrap/>
            <w:tcMar>
              <w:top w:w="58" w:type="dxa"/>
              <w:bottom w:w="58" w:type="dxa"/>
            </w:tcMar>
            <w:vAlign w:val="center"/>
          </w:tcPr>
          <w:p w14:paraId="491556B6"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35,126</w:t>
            </w:r>
          </w:p>
        </w:tc>
        <w:tc>
          <w:tcPr>
            <w:tcW w:w="872" w:type="dxa"/>
            <w:shd w:val="clear" w:color="auto" w:fill="CCEAF9" w:themeFill="accent1" w:themeFillTint="33"/>
            <w:noWrap/>
            <w:tcMar>
              <w:top w:w="43" w:type="dxa"/>
              <w:bottom w:w="43" w:type="dxa"/>
            </w:tcMar>
            <w:vAlign w:val="center"/>
          </w:tcPr>
          <w:p w14:paraId="52AC6C57"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975</w:t>
            </w:r>
          </w:p>
        </w:tc>
        <w:tc>
          <w:tcPr>
            <w:tcW w:w="953" w:type="dxa"/>
            <w:shd w:val="clear" w:color="auto" w:fill="CCEAF9" w:themeFill="accent1" w:themeFillTint="33"/>
            <w:noWrap/>
            <w:tcMar>
              <w:top w:w="43" w:type="dxa"/>
              <w:bottom w:w="43" w:type="dxa"/>
            </w:tcMar>
            <w:vAlign w:val="center"/>
          </w:tcPr>
          <w:p w14:paraId="3BC538D9"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34,151</w:t>
            </w:r>
          </w:p>
        </w:tc>
        <w:tc>
          <w:tcPr>
            <w:tcW w:w="1190" w:type="dxa"/>
            <w:shd w:val="clear" w:color="auto" w:fill="CCEAF9" w:themeFill="accent1" w:themeFillTint="33"/>
            <w:noWrap/>
            <w:tcMar>
              <w:top w:w="43" w:type="dxa"/>
              <w:bottom w:w="43" w:type="dxa"/>
            </w:tcMar>
            <w:vAlign w:val="center"/>
          </w:tcPr>
          <w:p w14:paraId="18229E3F"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35,567</w:t>
            </w:r>
          </w:p>
        </w:tc>
        <w:tc>
          <w:tcPr>
            <w:tcW w:w="946" w:type="dxa"/>
            <w:shd w:val="clear" w:color="auto" w:fill="CCEAF9" w:themeFill="accent1" w:themeFillTint="33"/>
            <w:noWrap/>
            <w:tcMar>
              <w:top w:w="43" w:type="dxa"/>
              <w:bottom w:w="43" w:type="dxa"/>
            </w:tcMar>
            <w:vAlign w:val="center"/>
          </w:tcPr>
          <w:p w14:paraId="031DA052"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1,586</w:t>
            </w:r>
          </w:p>
        </w:tc>
        <w:tc>
          <w:tcPr>
            <w:tcW w:w="900" w:type="dxa"/>
            <w:shd w:val="clear" w:color="auto" w:fill="CCEAF9" w:themeFill="accent1" w:themeFillTint="33"/>
            <w:noWrap/>
            <w:tcMar>
              <w:top w:w="43" w:type="dxa"/>
              <w:bottom w:w="43" w:type="dxa"/>
            </w:tcMar>
            <w:vAlign w:val="center"/>
          </w:tcPr>
          <w:p w14:paraId="229C1D91"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1,450</w:t>
            </w:r>
          </w:p>
        </w:tc>
      </w:tr>
      <w:tr w:rsidR="004C7089" w:rsidRPr="004C7089" w14:paraId="0F07CFB0" w14:textId="77777777" w:rsidTr="00805C72">
        <w:trPr>
          <w:cantSplit/>
          <w:trHeight w:val="306"/>
          <w:jc w:val="center"/>
        </w:trPr>
        <w:tc>
          <w:tcPr>
            <w:tcW w:w="1171" w:type="dxa"/>
            <w:shd w:val="clear" w:color="auto" w:fill="auto"/>
            <w:noWrap/>
            <w:tcMar>
              <w:top w:w="43" w:type="dxa"/>
              <w:bottom w:w="43" w:type="dxa"/>
            </w:tcMar>
            <w:vAlign w:val="center"/>
          </w:tcPr>
          <w:p w14:paraId="26D879D5" w14:textId="77777777"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2020/2021</w:t>
            </w:r>
          </w:p>
        </w:tc>
        <w:tc>
          <w:tcPr>
            <w:tcW w:w="944" w:type="dxa"/>
            <w:vAlign w:val="center"/>
          </w:tcPr>
          <w:p w14:paraId="59C6A709" w14:textId="77777777" w:rsidR="004C7089" w:rsidRPr="004C7089" w:rsidRDefault="004C7089" w:rsidP="004C7089">
            <w:pPr>
              <w:keepNext/>
              <w:keepLines/>
              <w:spacing w:before="20" w:after="20" w:line="240" w:lineRule="auto"/>
              <w:ind w:right="144"/>
              <w:jc w:val="center"/>
              <w:rPr>
                <w:rFonts w:asciiTheme="minorHAnsi" w:hAnsiTheme="minorHAnsi" w:cs="Arial"/>
                <w:bCs/>
                <w:sz w:val="18"/>
                <w:szCs w:val="18"/>
              </w:rPr>
            </w:pPr>
            <w:r w:rsidRPr="004C7089">
              <w:rPr>
                <w:rFonts w:asciiTheme="minorHAnsi" w:hAnsiTheme="minorHAnsi" w:cs="Arial"/>
                <w:bCs/>
                <w:sz w:val="18"/>
                <w:szCs w:val="18"/>
              </w:rPr>
              <w:t>11</w:t>
            </w:r>
          </w:p>
        </w:tc>
        <w:tc>
          <w:tcPr>
            <w:tcW w:w="944" w:type="dxa"/>
            <w:shd w:val="clear" w:color="auto" w:fill="auto"/>
            <w:noWrap/>
            <w:tcMar>
              <w:top w:w="58" w:type="dxa"/>
              <w:bottom w:w="58" w:type="dxa"/>
            </w:tcMar>
            <w:vAlign w:val="center"/>
          </w:tcPr>
          <w:p w14:paraId="3502E920"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35,034</w:t>
            </w:r>
          </w:p>
        </w:tc>
        <w:tc>
          <w:tcPr>
            <w:tcW w:w="872" w:type="dxa"/>
            <w:shd w:val="clear" w:color="auto" w:fill="auto"/>
            <w:noWrap/>
            <w:tcMar>
              <w:top w:w="43" w:type="dxa"/>
              <w:bottom w:w="43" w:type="dxa"/>
            </w:tcMar>
            <w:vAlign w:val="center"/>
          </w:tcPr>
          <w:p w14:paraId="4BB636D5"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959</w:t>
            </w:r>
          </w:p>
        </w:tc>
        <w:tc>
          <w:tcPr>
            <w:tcW w:w="953" w:type="dxa"/>
            <w:shd w:val="clear" w:color="auto" w:fill="auto"/>
            <w:noWrap/>
            <w:tcMar>
              <w:top w:w="43" w:type="dxa"/>
              <w:bottom w:w="43" w:type="dxa"/>
            </w:tcMar>
            <w:vAlign w:val="center"/>
          </w:tcPr>
          <w:p w14:paraId="28626ACA" w14:textId="77777777" w:rsidR="004C7089" w:rsidRPr="004C7089" w:rsidRDefault="004C7089" w:rsidP="004C7089">
            <w:pPr>
              <w:keepNext/>
              <w:keepLines/>
              <w:spacing w:before="20" w:after="20" w:line="240" w:lineRule="auto"/>
              <w:ind w:right="144"/>
              <w:jc w:val="right"/>
              <w:rPr>
                <w:rFonts w:asciiTheme="minorHAnsi" w:hAnsiTheme="minorHAnsi" w:cs="Arial"/>
                <w:b/>
                <w:bCs/>
                <w:sz w:val="18"/>
                <w:szCs w:val="18"/>
              </w:rPr>
            </w:pPr>
            <w:r w:rsidRPr="004C7089">
              <w:rPr>
                <w:rFonts w:asciiTheme="minorHAnsi" w:hAnsiTheme="minorHAnsi" w:cs="Arial"/>
                <w:bCs/>
                <w:sz w:val="18"/>
                <w:szCs w:val="18"/>
              </w:rPr>
              <w:t>34,075</w:t>
            </w:r>
          </w:p>
        </w:tc>
        <w:tc>
          <w:tcPr>
            <w:tcW w:w="1190" w:type="dxa"/>
            <w:shd w:val="clear" w:color="auto" w:fill="auto"/>
            <w:noWrap/>
            <w:tcMar>
              <w:top w:w="43" w:type="dxa"/>
              <w:bottom w:w="43" w:type="dxa"/>
            </w:tcMar>
            <w:vAlign w:val="center"/>
          </w:tcPr>
          <w:p w14:paraId="62A77FF4"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35,835</w:t>
            </w:r>
          </w:p>
        </w:tc>
        <w:tc>
          <w:tcPr>
            <w:tcW w:w="946" w:type="dxa"/>
            <w:shd w:val="clear" w:color="auto" w:fill="auto"/>
            <w:noWrap/>
            <w:tcMar>
              <w:top w:w="43" w:type="dxa"/>
              <w:bottom w:w="43" w:type="dxa"/>
            </w:tcMar>
            <w:vAlign w:val="center"/>
          </w:tcPr>
          <w:p w14:paraId="4EE492CD"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1,550</w:t>
            </w:r>
          </w:p>
        </w:tc>
        <w:tc>
          <w:tcPr>
            <w:tcW w:w="900" w:type="dxa"/>
            <w:shd w:val="clear" w:color="auto" w:fill="auto"/>
            <w:noWrap/>
            <w:tcMar>
              <w:top w:w="43" w:type="dxa"/>
              <w:bottom w:w="43" w:type="dxa"/>
            </w:tcMar>
            <w:vAlign w:val="center"/>
          </w:tcPr>
          <w:p w14:paraId="31E0902D"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Theme="minorHAnsi" w:hAnsiTheme="minorHAnsi" w:cs="Arial"/>
                <w:bCs/>
                <w:sz w:val="18"/>
                <w:szCs w:val="18"/>
              </w:rPr>
              <w:t>1,235</w:t>
            </w:r>
          </w:p>
        </w:tc>
      </w:tr>
      <w:tr w:rsidR="004C7089" w:rsidRPr="004C7089" w14:paraId="372504A8" w14:textId="77777777" w:rsidTr="00805C72">
        <w:trPr>
          <w:cantSplit/>
          <w:trHeight w:val="306"/>
          <w:jc w:val="center"/>
        </w:trPr>
        <w:tc>
          <w:tcPr>
            <w:tcW w:w="1171" w:type="dxa"/>
            <w:shd w:val="clear" w:color="auto" w:fill="C4EBFB" w:themeFill="background2" w:themeFillTint="66"/>
            <w:noWrap/>
            <w:tcMar>
              <w:top w:w="43" w:type="dxa"/>
              <w:bottom w:w="43" w:type="dxa"/>
            </w:tcMar>
            <w:vAlign w:val="center"/>
          </w:tcPr>
          <w:p w14:paraId="39B75566" w14:textId="77777777"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2021/2022</w:t>
            </w:r>
          </w:p>
        </w:tc>
        <w:tc>
          <w:tcPr>
            <w:tcW w:w="944" w:type="dxa"/>
            <w:shd w:val="clear" w:color="auto" w:fill="C4EBFB" w:themeFill="background2" w:themeFillTint="66"/>
            <w:vAlign w:val="center"/>
          </w:tcPr>
          <w:p w14:paraId="49540850" w14:textId="77777777"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12</w:t>
            </w:r>
          </w:p>
        </w:tc>
        <w:tc>
          <w:tcPr>
            <w:tcW w:w="944" w:type="dxa"/>
            <w:shd w:val="clear" w:color="auto" w:fill="C4EBFB" w:themeFill="background2" w:themeFillTint="66"/>
            <w:noWrap/>
            <w:tcMar>
              <w:top w:w="58" w:type="dxa"/>
              <w:bottom w:w="58" w:type="dxa"/>
            </w:tcMar>
            <w:vAlign w:val="center"/>
          </w:tcPr>
          <w:p w14:paraId="37CFD23C"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34,683</w:t>
            </w:r>
          </w:p>
        </w:tc>
        <w:tc>
          <w:tcPr>
            <w:tcW w:w="872" w:type="dxa"/>
            <w:shd w:val="clear" w:color="auto" w:fill="C4EBFB" w:themeFill="background2" w:themeFillTint="66"/>
            <w:noWrap/>
            <w:tcMar>
              <w:top w:w="43" w:type="dxa"/>
              <w:bottom w:w="43" w:type="dxa"/>
            </w:tcMar>
            <w:vAlign w:val="center"/>
          </w:tcPr>
          <w:p w14:paraId="3AC11439"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958</w:t>
            </w:r>
          </w:p>
        </w:tc>
        <w:tc>
          <w:tcPr>
            <w:tcW w:w="953" w:type="dxa"/>
            <w:shd w:val="clear" w:color="auto" w:fill="C4EBFB" w:themeFill="background2" w:themeFillTint="66"/>
            <w:noWrap/>
            <w:tcMar>
              <w:top w:w="43" w:type="dxa"/>
              <w:bottom w:w="43" w:type="dxa"/>
            </w:tcMar>
            <w:vAlign w:val="center"/>
          </w:tcPr>
          <w:p w14:paraId="1C31B30A"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33,725</w:t>
            </w:r>
          </w:p>
        </w:tc>
        <w:tc>
          <w:tcPr>
            <w:tcW w:w="1190" w:type="dxa"/>
            <w:shd w:val="clear" w:color="auto" w:fill="C4EBFB" w:themeFill="background2" w:themeFillTint="66"/>
            <w:noWrap/>
            <w:tcMar>
              <w:top w:w="43" w:type="dxa"/>
              <w:bottom w:w="43" w:type="dxa"/>
            </w:tcMar>
            <w:vAlign w:val="center"/>
          </w:tcPr>
          <w:p w14:paraId="39AE426D"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34,828</w:t>
            </w:r>
          </w:p>
        </w:tc>
        <w:tc>
          <w:tcPr>
            <w:tcW w:w="946" w:type="dxa"/>
            <w:shd w:val="clear" w:color="auto" w:fill="C4EBFB" w:themeFill="background2" w:themeFillTint="66"/>
            <w:noWrap/>
            <w:tcMar>
              <w:top w:w="43" w:type="dxa"/>
              <w:bottom w:w="43" w:type="dxa"/>
            </w:tcMar>
            <w:vAlign w:val="center"/>
          </w:tcPr>
          <w:p w14:paraId="6D37277C"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1,644</w:t>
            </w:r>
          </w:p>
        </w:tc>
        <w:tc>
          <w:tcPr>
            <w:tcW w:w="900" w:type="dxa"/>
            <w:shd w:val="clear" w:color="auto" w:fill="C4EBFB" w:themeFill="background2" w:themeFillTint="66"/>
            <w:noWrap/>
            <w:tcMar>
              <w:top w:w="43" w:type="dxa"/>
              <w:bottom w:w="43" w:type="dxa"/>
            </w:tcMar>
            <w:vAlign w:val="center"/>
          </w:tcPr>
          <w:p w14:paraId="77F2C2B8"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1,217</w:t>
            </w:r>
          </w:p>
        </w:tc>
      </w:tr>
      <w:tr w:rsidR="004C7089" w:rsidRPr="004C7089" w14:paraId="0AFE5409" w14:textId="77777777" w:rsidTr="00805C72">
        <w:trPr>
          <w:cantSplit/>
          <w:trHeight w:val="306"/>
          <w:jc w:val="center"/>
        </w:trPr>
        <w:tc>
          <w:tcPr>
            <w:tcW w:w="1171" w:type="dxa"/>
            <w:shd w:val="clear" w:color="auto" w:fill="auto"/>
            <w:noWrap/>
            <w:tcMar>
              <w:top w:w="43" w:type="dxa"/>
              <w:bottom w:w="43" w:type="dxa"/>
            </w:tcMar>
            <w:vAlign w:val="center"/>
          </w:tcPr>
          <w:p w14:paraId="22306598" w14:textId="77777777" w:rsidR="004C7089" w:rsidRPr="004C7089" w:rsidRDefault="004C7089" w:rsidP="004C7089">
            <w:pPr>
              <w:keepNext/>
              <w:keepLines/>
              <w:spacing w:before="20" w:after="20" w:line="240" w:lineRule="auto"/>
              <w:rPr>
                <w:rFonts w:asciiTheme="minorHAnsi" w:hAnsiTheme="minorHAnsi" w:cs="Arial"/>
                <w:b/>
                <w:bCs/>
                <w:sz w:val="18"/>
                <w:szCs w:val="18"/>
              </w:rPr>
            </w:pPr>
            <w:r w:rsidRPr="004C7089">
              <w:rPr>
                <w:rFonts w:asciiTheme="minorHAnsi" w:hAnsiTheme="minorHAnsi" w:cs="Arial"/>
                <w:b/>
                <w:bCs/>
                <w:sz w:val="18"/>
                <w:szCs w:val="18"/>
              </w:rPr>
              <w:t>2022/2023</w:t>
            </w:r>
          </w:p>
        </w:tc>
        <w:tc>
          <w:tcPr>
            <w:tcW w:w="944" w:type="dxa"/>
            <w:vAlign w:val="center"/>
          </w:tcPr>
          <w:p w14:paraId="35B6336A" w14:textId="77777777" w:rsidR="004C7089" w:rsidRPr="004C7089" w:rsidRDefault="004C7089" w:rsidP="004C7089">
            <w:pPr>
              <w:keepNext/>
              <w:keepLines/>
              <w:spacing w:before="20" w:after="20" w:line="240" w:lineRule="auto"/>
              <w:ind w:right="144"/>
              <w:jc w:val="center"/>
              <w:rPr>
                <w:rFonts w:ascii="Calibri" w:hAnsi="Calibri" w:cs="Calibri"/>
                <w:sz w:val="18"/>
                <w:szCs w:val="18"/>
              </w:rPr>
            </w:pPr>
            <w:r w:rsidRPr="004C7089">
              <w:rPr>
                <w:rFonts w:ascii="Calibri" w:hAnsi="Calibri" w:cs="Calibri"/>
                <w:sz w:val="18"/>
                <w:szCs w:val="18"/>
              </w:rPr>
              <w:t>13</w:t>
            </w:r>
          </w:p>
        </w:tc>
        <w:tc>
          <w:tcPr>
            <w:tcW w:w="944" w:type="dxa"/>
            <w:shd w:val="clear" w:color="auto" w:fill="auto"/>
            <w:noWrap/>
            <w:tcMar>
              <w:top w:w="58" w:type="dxa"/>
              <w:bottom w:w="58" w:type="dxa"/>
            </w:tcMar>
            <w:vAlign w:val="center"/>
          </w:tcPr>
          <w:p w14:paraId="29DF3004"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34,719</w:t>
            </w:r>
          </w:p>
        </w:tc>
        <w:tc>
          <w:tcPr>
            <w:tcW w:w="872" w:type="dxa"/>
            <w:shd w:val="clear" w:color="auto" w:fill="auto"/>
            <w:noWrap/>
            <w:tcMar>
              <w:top w:w="43" w:type="dxa"/>
              <w:bottom w:w="43" w:type="dxa"/>
            </w:tcMar>
            <w:vAlign w:val="center"/>
          </w:tcPr>
          <w:p w14:paraId="7241E05E"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969</w:t>
            </w:r>
          </w:p>
        </w:tc>
        <w:tc>
          <w:tcPr>
            <w:tcW w:w="953" w:type="dxa"/>
            <w:shd w:val="clear" w:color="auto" w:fill="auto"/>
            <w:noWrap/>
            <w:tcMar>
              <w:top w:w="43" w:type="dxa"/>
              <w:bottom w:w="43" w:type="dxa"/>
            </w:tcMar>
            <w:vAlign w:val="center"/>
          </w:tcPr>
          <w:p w14:paraId="64496AF6"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33,750</w:t>
            </w:r>
          </w:p>
        </w:tc>
        <w:tc>
          <w:tcPr>
            <w:tcW w:w="1190" w:type="dxa"/>
            <w:shd w:val="clear" w:color="auto" w:fill="auto"/>
            <w:noWrap/>
            <w:tcMar>
              <w:top w:w="43" w:type="dxa"/>
              <w:bottom w:w="43" w:type="dxa"/>
            </w:tcMar>
            <w:vAlign w:val="center"/>
          </w:tcPr>
          <w:p w14:paraId="6F994019"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34,839</w:t>
            </w:r>
          </w:p>
        </w:tc>
        <w:tc>
          <w:tcPr>
            <w:tcW w:w="946" w:type="dxa"/>
            <w:shd w:val="clear" w:color="auto" w:fill="auto"/>
            <w:noWrap/>
            <w:tcMar>
              <w:top w:w="43" w:type="dxa"/>
              <w:bottom w:w="43" w:type="dxa"/>
            </w:tcMar>
            <w:vAlign w:val="center"/>
          </w:tcPr>
          <w:p w14:paraId="653CEC07"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1,696</w:t>
            </w:r>
          </w:p>
        </w:tc>
        <w:tc>
          <w:tcPr>
            <w:tcW w:w="900" w:type="dxa"/>
            <w:shd w:val="clear" w:color="auto" w:fill="auto"/>
            <w:noWrap/>
            <w:tcMar>
              <w:top w:w="43" w:type="dxa"/>
              <w:bottom w:w="43" w:type="dxa"/>
            </w:tcMar>
            <w:vAlign w:val="center"/>
          </w:tcPr>
          <w:p w14:paraId="6D37A693" w14:textId="77777777" w:rsidR="004C7089" w:rsidRPr="004C7089" w:rsidRDefault="004C7089" w:rsidP="004C7089">
            <w:pPr>
              <w:keepNext/>
              <w:keepLines/>
              <w:spacing w:before="20" w:after="20" w:line="240" w:lineRule="auto"/>
              <w:ind w:right="144"/>
              <w:jc w:val="right"/>
              <w:rPr>
                <w:rFonts w:asciiTheme="minorHAnsi" w:hAnsiTheme="minorHAnsi" w:cs="Arial"/>
                <w:bCs/>
                <w:sz w:val="18"/>
                <w:szCs w:val="18"/>
              </w:rPr>
            </w:pPr>
            <w:r w:rsidRPr="004C7089">
              <w:rPr>
                <w:rFonts w:ascii="Calibri" w:hAnsi="Calibri" w:cs="Calibri"/>
                <w:sz w:val="18"/>
                <w:szCs w:val="18"/>
              </w:rPr>
              <w:t>1,188</w:t>
            </w:r>
          </w:p>
        </w:tc>
      </w:tr>
    </w:tbl>
    <w:p w14:paraId="59EA8FD8" w14:textId="77777777" w:rsidR="004C7089" w:rsidRPr="004C7089" w:rsidRDefault="004C7089" w:rsidP="001B6B81">
      <w:pPr>
        <w:keepNext/>
        <w:keepLines/>
        <w:numPr>
          <w:ilvl w:val="1"/>
          <w:numId w:val="60"/>
        </w:numPr>
        <w:tabs>
          <w:tab w:val="left" w:pos="90"/>
        </w:tabs>
        <w:spacing w:before="120" w:after="80" w:line="240" w:lineRule="auto"/>
        <w:ind w:left="810" w:right="630" w:hanging="270"/>
        <w:rPr>
          <w:rFonts w:asciiTheme="minorHAnsi" w:hAnsiTheme="minorHAnsi" w:cs="Arial"/>
          <w:bCs/>
          <w:color w:val="000000"/>
          <w:sz w:val="16"/>
          <w:szCs w:val="16"/>
        </w:rPr>
      </w:pPr>
      <w:r w:rsidRPr="004C7089">
        <w:rPr>
          <w:rFonts w:asciiTheme="minorHAnsi" w:hAnsiTheme="minorHAnsi" w:cs="Arial"/>
          <w:sz w:val="16"/>
          <w:szCs w:val="16"/>
        </w:rPr>
        <w:t xml:space="preserve">Information regarding the results of annual reconfiguration auctions is available </w:t>
      </w:r>
      <w:r w:rsidRPr="004C7089">
        <w:rPr>
          <w:rFonts w:asciiTheme="minorHAnsi" w:hAnsiTheme="minorHAnsi" w:cs="Arial"/>
          <w:color w:val="000000"/>
          <w:sz w:val="16"/>
          <w:szCs w:val="16"/>
        </w:rPr>
        <w:t>at</w:t>
      </w:r>
      <w:r w:rsidRPr="004C7089">
        <w:rPr>
          <w:rFonts w:asciiTheme="minorHAnsi" w:hAnsiTheme="minorHAnsi" w:cs="Arial"/>
          <w:sz w:val="16"/>
          <w:szCs w:val="16"/>
        </w:rPr>
        <w:t xml:space="preserve"> </w:t>
      </w:r>
      <w:hyperlink r:id="rId41" w:history="1">
        <w:r w:rsidR="0080457A" w:rsidRPr="0080457A">
          <w:rPr>
            <w:rStyle w:val="Hyperlink"/>
            <w:rFonts w:asciiTheme="minorHAnsi" w:hAnsiTheme="minorHAnsi" w:cs="Arial"/>
            <w:sz w:val="16"/>
            <w:szCs w:val="16"/>
          </w:rPr>
          <w:t>https://www.iso-ne.com/markets-operations/markets/forward-capacity-market/fcm-auction-bilateral-results</w:t>
        </w:r>
      </w:hyperlink>
      <w:r w:rsidRPr="004C7089">
        <w:rPr>
          <w:rFonts w:asciiTheme="minorHAnsi" w:hAnsiTheme="minorHAnsi" w:cs="Arial"/>
          <w:sz w:val="16"/>
          <w:szCs w:val="16"/>
        </w:rPr>
        <w:t xml:space="preserve">. </w:t>
      </w:r>
    </w:p>
    <w:p w14:paraId="169D429D" w14:textId="77777777" w:rsidR="004C7089" w:rsidRPr="004C7089" w:rsidRDefault="004C7089" w:rsidP="001B6B81">
      <w:pPr>
        <w:numPr>
          <w:ilvl w:val="1"/>
          <w:numId w:val="60"/>
        </w:numPr>
        <w:tabs>
          <w:tab w:val="left" w:pos="90"/>
        </w:tabs>
        <w:spacing w:after="80"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The net ICR equals the ICR minus the Hydro-Québec Interconnection Capability Credits</w:t>
      </w:r>
      <w:r w:rsidR="00D355B3">
        <w:rPr>
          <w:rFonts w:asciiTheme="minorHAnsi" w:hAnsiTheme="minorHAnsi" w:cs="Arial"/>
          <w:bCs/>
          <w:sz w:val="16"/>
          <w:szCs w:val="16"/>
        </w:rPr>
        <w:t xml:space="preserve"> (HQICCs)</w:t>
      </w:r>
      <w:r w:rsidRPr="004C7089">
        <w:rPr>
          <w:rFonts w:asciiTheme="minorHAnsi" w:hAnsiTheme="minorHAnsi" w:cs="Arial"/>
          <w:bCs/>
          <w:sz w:val="16"/>
          <w:szCs w:val="16"/>
        </w:rPr>
        <w:t>. The ICR applies to the FCA, not the reconfiguration auction.</w:t>
      </w:r>
    </w:p>
    <w:p w14:paraId="2A113F27" w14:textId="77777777" w:rsidR="004C7089" w:rsidRPr="004C7089" w:rsidRDefault="004C7089" w:rsidP="001B6B81">
      <w:pPr>
        <w:numPr>
          <w:ilvl w:val="1"/>
          <w:numId w:val="60"/>
        </w:numPr>
        <w:tabs>
          <w:tab w:val="left" w:pos="90"/>
        </w:tabs>
        <w:spacing w:line="240" w:lineRule="auto"/>
        <w:ind w:left="810" w:right="634" w:hanging="270"/>
        <w:rPr>
          <w:rFonts w:asciiTheme="minorHAnsi" w:hAnsiTheme="minorHAnsi" w:cs="Arial"/>
          <w:bCs/>
          <w:sz w:val="16"/>
          <w:szCs w:val="16"/>
        </w:rPr>
      </w:pPr>
      <w:r w:rsidRPr="004C7089">
        <w:rPr>
          <w:rFonts w:asciiTheme="minorHAnsi" w:hAnsiTheme="minorHAnsi" w:cs="Arial"/>
          <w:bCs/>
          <w:sz w:val="16"/>
          <w:szCs w:val="16"/>
        </w:rPr>
        <w:t>For FCA 13, the CSO represents obligations received in both the primary auction (34,785 MW) and SA (54 MW)</w:t>
      </w:r>
    </w:p>
    <w:p w14:paraId="72B084E5" w14:textId="5BB5DE9D" w:rsidR="004C7089" w:rsidRPr="004C7089" w:rsidRDefault="004C7089" w:rsidP="004C7089">
      <w:pPr>
        <w:autoSpaceDE w:val="0"/>
        <w:autoSpaceDN w:val="0"/>
        <w:adjustRightInd w:val="0"/>
      </w:pPr>
      <w:r w:rsidRPr="004C7089">
        <w:fldChar w:fldCharType="begin"/>
      </w:r>
      <w:r w:rsidRPr="004C7089">
        <w:instrText xml:space="preserve"> REF _Ref8316786 \h  \* MERGEFORMAT </w:instrText>
      </w:r>
      <w:r w:rsidRPr="004C7089">
        <w:fldChar w:fldCharType="separate"/>
      </w:r>
      <w:r w:rsidR="005D0B73" w:rsidRPr="005D0B73">
        <w:rPr>
          <w:bCs/>
          <w:szCs w:val="18"/>
        </w:rPr>
        <w:t>Table 4</w:t>
      </w:r>
      <w:r w:rsidR="005D0B73" w:rsidRPr="005D0B73">
        <w:rPr>
          <w:bCs/>
          <w:szCs w:val="18"/>
        </w:rPr>
        <w:noBreakHyphen/>
        <w:t>4</w:t>
      </w:r>
      <w:r w:rsidRPr="004C7089">
        <w:fldChar w:fldCharType="end"/>
      </w:r>
      <w:r w:rsidRPr="004C7089">
        <w:t xml:space="preserve"> illustrates, by resource type, the amounts of new capacity procured during the last five FCAs. Since RSP17, two FCM auctions were conducted: FCA 12 for capacity commitment period 2021/2022 and FCA 13 for CCP 2022/2023. </w:t>
      </w:r>
    </w:p>
    <w:p w14:paraId="78E73B33" w14:textId="2F869FBF" w:rsidR="004C7089" w:rsidRPr="004C7089" w:rsidRDefault="004C7089" w:rsidP="004C7089">
      <w:pPr>
        <w:keepNext/>
        <w:keepLines/>
        <w:spacing w:after="120" w:line="240" w:lineRule="auto"/>
        <w:ind w:left="547" w:right="547"/>
        <w:jc w:val="center"/>
        <w:rPr>
          <w:rFonts w:ascii="Calibri" w:hAnsi="Calibri" w:cs="Arial"/>
          <w:b/>
          <w:bCs/>
          <w:szCs w:val="18"/>
          <w:vertAlign w:val="superscript"/>
        </w:rPr>
      </w:pPr>
      <w:bookmarkStart w:id="415" w:name="_Ref8316786"/>
      <w:bookmarkStart w:id="416" w:name="_Toc12795335"/>
      <w:r w:rsidRPr="004C7089">
        <w:rPr>
          <w:rFonts w:ascii="Calibri" w:hAnsi="Calibri"/>
          <w:b/>
          <w:bCs/>
          <w:szCs w:val="18"/>
        </w:rPr>
        <w:lastRenderedPageBreak/>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415"/>
      <w:r w:rsidRPr="004C7089">
        <w:rPr>
          <w:rFonts w:ascii="Calibri" w:hAnsi="Calibri"/>
          <w:szCs w:val="18"/>
        </w:rPr>
        <w:br/>
      </w:r>
      <w:r w:rsidRPr="004C7089">
        <w:rPr>
          <w:rFonts w:ascii="Calibri" w:hAnsi="Calibri" w:cs="Arial"/>
          <w:b/>
          <w:bCs/>
          <w:szCs w:val="18"/>
        </w:rPr>
        <w:t>Capacity Supply Obligation for New Capacity</w:t>
      </w:r>
      <w:r w:rsidRPr="004C7089">
        <w:rPr>
          <w:rFonts w:ascii="Calibri" w:hAnsi="Calibri" w:cs="Arial"/>
          <w:b/>
          <w:bCs/>
          <w:szCs w:val="18"/>
        </w:rPr>
        <w:br/>
        <w:t>Procured during the Forward Capacity Auctions (MW)</w:t>
      </w:r>
      <w:r w:rsidRPr="004C7089">
        <w:rPr>
          <w:rFonts w:ascii="Calibri" w:hAnsi="Calibri" w:cs="Arial"/>
          <w:b/>
          <w:bCs/>
          <w:szCs w:val="18"/>
          <w:vertAlign w:val="superscript"/>
        </w:rPr>
        <w:t>(a, b</w:t>
      </w:r>
      <w:r w:rsidR="00FB4745">
        <w:rPr>
          <w:rFonts w:ascii="Calibri" w:hAnsi="Calibri" w:cs="Arial"/>
          <w:b/>
          <w:bCs/>
          <w:szCs w:val="18"/>
          <w:vertAlign w:val="superscript"/>
        </w:rPr>
        <w:t>,</w:t>
      </w:r>
      <w:r w:rsidR="00A1119B">
        <w:rPr>
          <w:rFonts w:ascii="Calibri" w:hAnsi="Calibri" w:cs="Arial"/>
          <w:b/>
          <w:bCs/>
          <w:szCs w:val="18"/>
          <w:vertAlign w:val="superscript"/>
        </w:rPr>
        <w:t xml:space="preserve"> </w:t>
      </w:r>
      <w:r w:rsidR="00FB4745">
        <w:rPr>
          <w:rFonts w:ascii="Calibri" w:hAnsi="Calibri" w:cs="Arial"/>
          <w:b/>
          <w:bCs/>
          <w:szCs w:val="18"/>
          <w:vertAlign w:val="superscript"/>
        </w:rPr>
        <w:t>c</w:t>
      </w:r>
      <w:r w:rsidRPr="004C7089">
        <w:rPr>
          <w:rFonts w:ascii="Calibri" w:hAnsi="Calibri" w:cs="Arial"/>
          <w:b/>
          <w:bCs/>
          <w:szCs w:val="18"/>
          <w:vertAlign w:val="superscript"/>
        </w:rPr>
        <w:t>)</w:t>
      </w:r>
      <w:bookmarkEnd w:id="416"/>
    </w:p>
    <w:tbl>
      <w:tblPr>
        <w:tblW w:w="7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6"/>
        <w:gridCol w:w="930"/>
        <w:gridCol w:w="847"/>
        <w:gridCol w:w="953"/>
        <w:gridCol w:w="990"/>
        <w:gridCol w:w="900"/>
      </w:tblGrid>
      <w:tr w:rsidR="004C7089" w:rsidRPr="004C7089" w14:paraId="54409919" w14:textId="77777777" w:rsidTr="00805C72">
        <w:trPr>
          <w:trHeight w:val="562"/>
          <w:jc w:val="center"/>
        </w:trPr>
        <w:tc>
          <w:tcPr>
            <w:tcW w:w="2666" w:type="dxa"/>
            <w:shd w:val="clear" w:color="000000" w:fill="1795D2"/>
            <w:noWrap/>
            <w:vAlign w:val="center"/>
            <w:hideMark/>
          </w:tcPr>
          <w:p w14:paraId="59D71706"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Capacity Resource</w:t>
            </w:r>
          </w:p>
        </w:tc>
        <w:tc>
          <w:tcPr>
            <w:tcW w:w="930" w:type="dxa"/>
            <w:shd w:val="clear" w:color="000000" w:fill="1795D2"/>
            <w:vAlign w:val="center"/>
            <w:hideMark/>
          </w:tcPr>
          <w:p w14:paraId="2B9B38FE"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9</w:t>
            </w:r>
          </w:p>
        </w:tc>
        <w:tc>
          <w:tcPr>
            <w:tcW w:w="847" w:type="dxa"/>
            <w:shd w:val="clear" w:color="000000" w:fill="1795D2"/>
            <w:vAlign w:val="center"/>
            <w:hideMark/>
          </w:tcPr>
          <w:p w14:paraId="7CE62CC1"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10</w:t>
            </w:r>
          </w:p>
        </w:tc>
        <w:tc>
          <w:tcPr>
            <w:tcW w:w="953" w:type="dxa"/>
            <w:shd w:val="clear" w:color="000000" w:fill="1795D2"/>
            <w:vAlign w:val="center"/>
            <w:hideMark/>
          </w:tcPr>
          <w:p w14:paraId="254FE911"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11</w:t>
            </w:r>
          </w:p>
        </w:tc>
        <w:tc>
          <w:tcPr>
            <w:tcW w:w="990" w:type="dxa"/>
            <w:shd w:val="clear" w:color="000000" w:fill="1795D2"/>
            <w:vAlign w:val="center"/>
            <w:hideMark/>
          </w:tcPr>
          <w:p w14:paraId="05ACFBE2"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12</w:t>
            </w:r>
          </w:p>
        </w:tc>
        <w:tc>
          <w:tcPr>
            <w:tcW w:w="900" w:type="dxa"/>
            <w:shd w:val="clear" w:color="000000" w:fill="1795D2"/>
            <w:vAlign w:val="center"/>
            <w:hideMark/>
          </w:tcPr>
          <w:p w14:paraId="5847C43F" w14:textId="77777777" w:rsidR="004C7089" w:rsidRPr="004C7089" w:rsidRDefault="004C7089" w:rsidP="004C7089">
            <w:pPr>
              <w:keepNext/>
              <w:keepLines/>
              <w:spacing w:after="0" w:line="240" w:lineRule="auto"/>
              <w:jc w:val="center"/>
              <w:rPr>
                <w:rFonts w:ascii="Calibri" w:eastAsia="Times New Roman" w:hAnsi="Calibri" w:cs="Calibri"/>
                <w:b/>
                <w:bCs/>
                <w:color w:val="FFFFFF"/>
                <w:sz w:val="18"/>
                <w:szCs w:val="18"/>
              </w:rPr>
            </w:pPr>
            <w:r w:rsidRPr="004C7089">
              <w:rPr>
                <w:rFonts w:ascii="Calibri" w:eastAsia="Times New Roman" w:hAnsi="Calibri" w:cs="Calibri"/>
                <w:b/>
                <w:bCs/>
                <w:color w:val="FFFFFF"/>
                <w:sz w:val="18"/>
                <w:szCs w:val="18"/>
              </w:rPr>
              <w:t>FCA 13</w:t>
            </w:r>
          </w:p>
        </w:tc>
      </w:tr>
      <w:tr w:rsidR="004C7089" w:rsidRPr="004C7089" w14:paraId="06E3BD9A" w14:textId="77777777" w:rsidTr="00805C72">
        <w:trPr>
          <w:trHeight w:val="315"/>
          <w:jc w:val="center"/>
        </w:trPr>
        <w:tc>
          <w:tcPr>
            <w:tcW w:w="2666" w:type="dxa"/>
            <w:shd w:val="clear" w:color="auto" w:fill="auto"/>
            <w:noWrap/>
            <w:vAlign w:val="center"/>
            <w:hideMark/>
          </w:tcPr>
          <w:p w14:paraId="4D3E49B8" w14:textId="77777777"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Generation resources</w:t>
            </w:r>
          </w:p>
        </w:tc>
        <w:tc>
          <w:tcPr>
            <w:tcW w:w="930" w:type="dxa"/>
            <w:shd w:val="clear" w:color="auto" w:fill="auto"/>
            <w:vAlign w:val="center"/>
            <w:hideMark/>
          </w:tcPr>
          <w:p w14:paraId="699EF86D"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1,060</w:t>
            </w:r>
          </w:p>
        </w:tc>
        <w:tc>
          <w:tcPr>
            <w:tcW w:w="847" w:type="dxa"/>
            <w:shd w:val="clear" w:color="auto" w:fill="auto"/>
            <w:vAlign w:val="center"/>
            <w:hideMark/>
          </w:tcPr>
          <w:p w14:paraId="12AD4C9C"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1,459</w:t>
            </w:r>
          </w:p>
        </w:tc>
        <w:tc>
          <w:tcPr>
            <w:tcW w:w="953" w:type="dxa"/>
            <w:shd w:val="clear" w:color="auto" w:fill="auto"/>
            <w:vAlign w:val="center"/>
            <w:hideMark/>
          </w:tcPr>
          <w:p w14:paraId="1D60BC70"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264</w:t>
            </w:r>
          </w:p>
        </w:tc>
        <w:tc>
          <w:tcPr>
            <w:tcW w:w="990" w:type="dxa"/>
            <w:shd w:val="clear" w:color="auto" w:fill="auto"/>
            <w:vAlign w:val="center"/>
            <w:hideMark/>
          </w:tcPr>
          <w:p w14:paraId="2329DE45"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167</w:t>
            </w:r>
          </w:p>
        </w:tc>
        <w:tc>
          <w:tcPr>
            <w:tcW w:w="900" w:type="dxa"/>
            <w:shd w:val="clear" w:color="auto" w:fill="auto"/>
            <w:vAlign w:val="center"/>
            <w:hideMark/>
          </w:tcPr>
          <w:p w14:paraId="1840BEC8"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837</w:t>
            </w:r>
          </w:p>
        </w:tc>
      </w:tr>
      <w:tr w:rsidR="004C7089" w:rsidRPr="004C7089" w14:paraId="0DF4A195" w14:textId="77777777" w:rsidTr="00805C72">
        <w:trPr>
          <w:trHeight w:val="315"/>
          <w:jc w:val="center"/>
        </w:trPr>
        <w:tc>
          <w:tcPr>
            <w:tcW w:w="2666" w:type="dxa"/>
            <w:shd w:val="clear" w:color="000000" w:fill="CDEBFA"/>
            <w:noWrap/>
            <w:vAlign w:val="center"/>
            <w:hideMark/>
          </w:tcPr>
          <w:p w14:paraId="69ED603C" w14:textId="77777777" w:rsidR="004C7089" w:rsidRPr="004C7089"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4C7089">
              <w:rPr>
                <w:rFonts w:ascii="Calibri" w:eastAsia="Times New Roman" w:hAnsi="Calibri" w:cs="Calibri"/>
                <w:b/>
                <w:bCs/>
                <w:color w:val="000000"/>
                <w:sz w:val="18"/>
                <w:szCs w:val="18"/>
              </w:rPr>
              <w:t>Demand-resource total</w:t>
            </w:r>
          </w:p>
        </w:tc>
        <w:tc>
          <w:tcPr>
            <w:tcW w:w="930" w:type="dxa"/>
            <w:shd w:val="clear" w:color="000000" w:fill="CDEBFA"/>
            <w:vAlign w:val="center"/>
            <w:hideMark/>
          </w:tcPr>
          <w:p w14:paraId="5291CCD7"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367</w:t>
            </w:r>
          </w:p>
        </w:tc>
        <w:tc>
          <w:tcPr>
            <w:tcW w:w="847" w:type="dxa"/>
            <w:shd w:val="clear" w:color="000000" w:fill="CDEBFA"/>
            <w:vAlign w:val="center"/>
            <w:hideMark/>
          </w:tcPr>
          <w:p w14:paraId="3E6C354A"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371</w:t>
            </w:r>
          </w:p>
        </w:tc>
        <w:tc>
          <w:tcPr>
            <w:tcW w:w="953" w:type="dxa"/>
            <w:shd w:val="clear" w:color="000000" w:fill="CDEBFA"/>
            <w:vAlign w:val="center"/>
            <w:hideMark/>
          </w:tcPr>
          <w:p w14:paraId="584521E9"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640</w:t>
            </w:r>
          </w:p>
        </w:tc>
        <w:tc>
          <w:tcPr>
            <w:tcW w:w="990" w:type="dxa"/>
            <w:shd w:val="clear" w:color="000000" w:fill="CDEBFA"/>
            <w:vAlign w:val="center"/>
            <w:hideMark/>
          </w:tcPr>
          <w:p w14:paraId="6F32D32A"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514</w:t>
            </w:r>
          </w:p>
        </w:tc>
        <w:tc>
          <w:tcPr>
            <w:tcW w:w="900" w:type="dxa"/>
            <w:shd w:val="clear" w:color="000000" w:fill="CDEBFA"/>
            <w:vAlign w:val="center"/>
            <w:hideMark/>
          </w:tcPr>
          <w:p w14:paraId="0BDBE534"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4C7089">
              <w:rPr>
                <w:rFonts w:ascii="Calibri" w:eastAsia="Times New Roman" w:hAnsi="Calibri" w:cs="Calibri"/>
                <w:color w:val="000000"/>
                <w:sz w:val="18"/>
                <w:szCs w:val="18"/>
              </w:rPr>
              <w:t>654</w:t>
            </w:r>
          </w:p>
        </w:tc>
      </w:tr>
      <w:tr w:rsidR="004C7089" w:rsidRPr="004C7089" w14:paraId="517D1FC9" w14:textId="77777777" w:rsidTr="00805C72">
        <w:trPr>
          <w:trHeight w:val="355"/>
          <w:jc w:val="center"/>
        </w:trPr>
        <w:tc>
          <w:tcPr>
            <w:tcW w:w="2666" w:type="dxa"/>
            <w:shd w:val="clear" w:color="000000" w:fill="CDEBFA"/>
            <w:vAlign w:val="center"/>
            <w:hideMark/>
          </w:tcPr>
          <w:p w14:paraId="7CE7929D" w14:textId="77777777" w:rsidR="004C7089" w:rsidRPr="004C7089" w:rsidRDefault="004C7089" w:rsidP="004C7089">
            <w:pPr>
              <w:keepNext/>
              <w:keepLines/>
              <w:spacing w:after="0" w:line="240" w:lineRule="auto"/>
              <w:ind w:firstLineChars="100" w:firstLine="180"/>
              <w:rPr>
                <w:rFonts w:ascii="Calibri" w:eastAsia="Times New Roman" w:hAnsi="Calibri" w:cs="Calibri"/>
                <w:b/>
                <w:bCs/>
                <w:i/>
                <w:iCs/>
                <w:color w:val="000000"/>
                <w:sz w:val="18"/>
                <w:szCs w:val="18"/>
              </w:rPr>
            </w:pPr>
            <w:r w:rsidRPr="004C7089">
              <w:rPr>
                <w:rFonts w:ascii="Calibri" w:eastAsia="Times New Roman" w:hAnsi="Calibri" w:cs="Calibri"/>
                <w:b/>
                <w:bCs/>
                <w:i/>
                <w:iCs/>
                <w:color w:val="000000"/>
                <w:sz w:val="18"/>
                <w:szCs w:val="18"/>
              </w:rPr>
              <w:t xml:space="preserve">   Active demand resources</w:t>
            </w:r>
          </w:p>
        </w:tc>
        <w:tc>
          <w:tcPr>
            <w:tcW w:w="930" w:type="dxa"/>
            <w:shd w:val="clear" w:color="000000" w:fill="CDEBFA"/>
            <w:vAlign w:val="center"/>
            <w:hideMark/>
          </w:tcPr>
          <w:p w14:paraId="5AF087CC"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81</w:t>
            </w:r>
          </w:p>
        </w:tc>
        <w:tc>
          <w:tcPr>
            <w:tcW w:w="847" w:type="dxa"/>
            <w:shd w:val="clear" w:color="000000" w:fill="CDEBFA"/>
            <w:vAlign w:val="center"/>
            <w:hideMark/>
          </w:tcPr>
          <w:p w14:paraId="58967333"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20</w:t>
            </w:r>
          </w:p>
        </w:tc>
        <w:tc>
          <w:tcPr>
            <w:tcW w:w="953" w:type="dxa"/>
            <w:shd w:val="clear" w:color="000000" w:fill="CDEBFA"/>
            <w:vAlign w:val="center"/>
            <w:hideMark/>
          </w:tcPr>
          <w:p w14:paraId="1ECE606B"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85</w:t>
            </w:r>
          </w:p>
        </w:tc>
        <w:tc>
          <w:tcPr>
            <w:tcW w:w="990" w:type="dxa"/>
            <w:shd w:val="clear" w:color="000000" w:fill="CDEBFA"/>
            <w:vAlign w:val="center"/>
            <w:hideMark/>
          </w:tcPr>
          <w:p w14:paraId="6E55AA22"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144</w:t>
            </w:r>
          </w:p>
        </w:tc>
        <w:tc>
          <w:tcPr>
            <w:tcW w:w="900" w:type="dxa"/>
            <w:shd w:val="clear" w:color="000000" w:fill="CDEBFA"/>
            <w:vAlign w:val="center"/>
            <w:hideMark/>
          </w:tcPr>
          <w:p w14:paraId="676CBC35"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87</w:t>
            </w:r>
          </w:p>
        </w:tc>
      </w:tr>
      <w:tr w:rsidR="004C7089" w:rsidRPr="004C7089" w14:paraId="0A6DD575" w14:textId="77777777" w:rsidTr="00805C72">
        <w:trPr>
          <w:trHeight w:val="355"/>
          <w:jc w:val="center"/>
        </w:trPr>
        <w:tc>
          <w:tcPr>
            <w:tcW w:w="2666" w:type="dxa"/>
            <w:shd w:val="clear" w:color="000000" w:fill="CDEBFA"/>
            <w:vAlign w:val="center"/>
            <w:hideMark/>
          </w:tcPr>
          <w:p w14:paraId="48393663" w14:textId="77777777" w:rsidR="004C7089" w:rsidRPr="00805C72" w:rsidRDefault="004C7089" w:rsidP="004C7089">
            <w:pPr>
              <w:keepNext/>
              <w:keepLines/>
              <w:spacing w:after="0" w:line="240" w:lineRule="auto"/>
              <w:ind w:firstLineChars="100" w:firstLine="180"/>
              <w:rPr>
                <w:rFonts w:ascii="Calibri" w:eastAsia="Times New Roman" w:hAnsi="Calibri" w:cs="Calibri"/>
                <w:b/>
                <w:bCs/>
                <w:iCs/>
                <w:color w:val="000000"/>
                <w:sz w:val="18"/>
                <w:szCs w:val="18"/>
              </w:rPr>
            </w:pPr>
            <w:r w:rsidRPr="004C7089">
              <w:rPr>
                <w:rFonts w:ascii="Calibri" w:eastAsia="Times New Roman" w:hAnsi="Calibri" w:cs="Calibri"/>
                <w:b/>
                <w:bCs/>
                <w:i/>
                <w:iCs/>
                <w:color w:val="000000"/>
                <w:sz w:val="18"/>
                <w:szCs w:val="18"/>
              </w:rPr>
              <w:t xml:space="preserve">   Passive demand resources</w:t>
            </w:r>
            <w:r w:rsidR="005F039F" w:rsidRPr="00805C72">
              <w:rPr>
                <w:rFonts w:ascii="Calibri" w:eastAsia="Times New Roman" w:hAnsi="Calibri" w:cs="Calibri"/>
                <w:b/>
                <w:bCs/>
                <w:iCs/>
                <w:color w:val="000000"/>
                <w:sz w:val="18"/>
                <w:szCs w:val="18"/>
                <w:vertAlign w:val="superscript"/>
              </w:rPr>
              <w:t>(d)</w:t>
            </w:r>
          </w:p>
        </w:tc>
        <w:tc>
          <w:tcPr>
            <w:tcW w:w="930" w:type="dxa"/>
            <w:shd w:val="clear" w:color="000000" w:fill="CDEBFA"/>
            <w:vAlign w:val="center"/>
            <w:hideMark/>
          </w:tcPr>
          <w:p w14:paraId="55E86209"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286</w:t>
            </w:r>
          </w:p>
        </w:tc>
        <w:tc>
          <w:tcPr>
            <w:tcW w:w="847" w:type="dxa"/>
            <w:shd w:val="clear" w:color="000000" w:fill="CDEBFA"/>
            <w:vAlign w:val="center"/>
            <w:hideMark/>
          </w:tcPr>
          <w:p w14:paraId="4F05C697"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350</w:t>
            </w:r>
          </w:p>
        </w:tc>
        <w:tc>
          <w:tcPr>
            <w:tcW w:w="953" w:type="dxa"/>
            <w:shd w:val="clear" w:color="000000" w:fill="CDEBFA"/>
            <w:vAlign w:val="center"/>
            <w:hideMark/>
          </w:tcPr>
          <w:p w14:paraId="2BA06819"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554</w:t>
            </w:r>
          </w:p>
        </w:tc>
        <w:tc>
          <w:tcPr>
            <w:tcW w:w="990" w:type="dxa"/>
            <w:shd w:val="clear" w:color="000000" w:fill="CDEBFA"/>
            <w:vAlign w:val="center"/>
            <w:hideMark/>
          </w:tcPr>
          <w:p w14:paraId="43C6475F"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371</w:t>
            </w:r>
          </w:p>
        </w:tc>
        <w:tc>
          <w:tcPr>
            <w:tcW w:w="900" w:type="dxa"/>
            <w:shd w:val="clear" w:color="000000" w:fill="CDEBFA"/>
            <w:vAlign w:val="center"/>
            <w:hideMark/>
          </w:tcPr>
          <w:p w14:paraId="28ACDB82" w14:textId="77777777" w:rsidR="004C7089" w:rsidRPr="004C7089" w:rsidRDefault="004C7089" w:rsidP="004C7089">
            <w:pPr>
              <w:keepNext/>
              <w:keepLines/>
              <w:spacing w:after="0" w:line="240" w:lineRule="auto"/>
              <w:ind w:firstLineChars="100" w:firstLine="180"/>
              <w:jc w:val="right"/>
              <w:rPr>
                <w:rFonts w:ascii="Calibri" w:eastAsia="Times New Roman" w:hAnsi="Calibri" w:cs="Calibri"/>
                <w:i/>
                <w:iCs/>
                <w:color w:val="000000"/>
                <w:sz w:val="18"/>
                <w:szCs w:val="18"/>
              </w:rPr>
            </w:pPr>
            <w:r w:rsidRPr="004C7089">
              <w:rPr>
                <w:rFonts w:ascii="Calibri" w:eastAsia="Times New Roman" w:hAnsi="Calibri" w:cs="Calibri"/>
                <w:i/>
                <w:iCs/>
                <w:color w:val="000000"/>
                <w:sz w:val="18"/>
                <w:szCs w:val="18"/>
              </w:rPr>
              <w:t>566</w:t>
            </w:r>
          </w:p>
        </w:tc>
      </w:tr>
      <w:tr w:rsidR="004C7089" w:rsidRPr="005F039F" w14:paraId="32E749AB" w14:textId="77777777" w:rsidTr="00805C72">
        <w:trPr>
          <w:trHeight w:val="315"/>
          <w:jc w:val="center"/>
        </w:trPr>
        <w:tc>
          <w:tcPr>
            <w:tcW w:w="2666" w:type="dxa"/>
            <w:shd w:val="clear" w:color="auto" w:fill="auto"/>
            <w:noWrap/>
            <w:vAlign w:val="center"/>
            <w:hideMark/>
          </w:tcPr>
          <w:p w14:paraId="32A2AB11" w14:textId="77777777" w:rsidR="004C7089" w:rsidRPr="005F039F" w:rsidRDefault="004C7089" w:rsidP="004C7089">
            <w:pPr>
              <w:keepNext/>
              <w:keepLines/>
              <w:spacing w:after="0" w:line="240" w:lineRule="auto"/>
              <w:ind w:firstLineChars="100" w:firstLine="180"/>
              <w:rPr>
                <w:rFonts w:ascii="Calibri" w:eastAsia="Times New Roman" w:hAnsi="Calibri" w:cs="Calibri"/>
                <w:b/>
                <w:bCs/>
                <w:color w:val="000000"/>
                <w:sz w:val="18"/>
                <w:szCs w:val="18"/>
              </w:rPr>
            </w:pPr>
            <w:r w:rsidRPr="005F039F">
              <w:rPr>
                <w:rFonts w:ascii="Calibri" w:eastAsia="Times New Roman" w:hAnsi="Calibri" w:cs="Calibri"/>
                <w:b/>
                <w:bCs/>
                <w:color w:val="000000"/>
                <w:sz w:val="18"/>
                <w:szCs w:val="18"/>
              </w:rPr>
              <w:t>Import resources</w:t>
            </w:r>
          </w:p>
        </w:tc>
        <w:tc>
          <w:tcPr>
            <w:tcW w:w="930" w:type="dxa"/>
            <w:shd w:val="clear" w:color="auto" w:fill="auto"/>
            <w:vAlign w:val="center"/>
            <w:hideMark/>
          </w:tcPr>
          <w:p w14:paraId="2589828B" w14:textId="77777777"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1,360</w:t>
            </w:r>
          </w:p>
        </w:tc>
        <w:tc>
          <w:tcPr>
            <w:tcW w:w="847" w:type="dxa"/>
            <w:shd w:val="clear" w:color="auto" w:fill="auto"/>
            <w:vAlign w:val="center"/>
            <w:hideMark/>
          </w:tcPr>
          <w:p w14:paraId="2761E065" w14:textId="77777777"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1,361</w:t>
            </w:r>
          </w:p>
        </w:tc>
        <w:tc>
          <w:tcPr>
            <w:tcW w:w="953" w:type="dxa"/>
            <w:shd w:val="clear" w:color="auto" w:fill="auto"/>
            <w:vAlign w:val="center"/>
            <w:hideMark/>
          </w:tcPr>
          <w:p w14:paraId="70EA4A9F" w14:textId="77777777"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1,153</w:t>
            </w:r>
          </w:p>
        </w:tc>
        <w:tc>
          <w:tcPr>
            <w:tcW w:w="990" w:type="dxa"/>
            <w:shd w:val="clear" w:color="auto" w:fill="auto"/>
            <w:vAlign w:val="center"/>
            <w:hideMark/>
          </w:tcPr>
          <w:p w14:paraId="673D9DFC" w14:textId="77777777"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1,136</w:t>
            </w:r>
          </w:p>
        </w:tc>
        <w:tc>
          <w:tcPr>
            <w:tcW w:w="900" w:type="dxa"/>
            <w:shd w:val="clear" w:color="auto" w:fill="auto"/>
            <w:vAlign w:val="center"/>
            <w:hideMark/>
          </w:tcPr>
          <w:p w14:paraId="41E2BFDD" w14:textId="77777777" w:rsidR="004C7089" w:rsidRPr="005F039F" w:rsidRDefault="004C7089" w:rsidP="004C7089">
            <w:pPr>
              <w:keepNext/>
              <w:keepLines/>
              <w:spacing w:after="0" w:line="240" w:lineRule="auto"/>
              <w:ind w:firstLineChars="100" w:firstLine="180"/>
              <w:jc w:val="right"/>
              <w:rPr>
                <w:rFonts w:ascii="Calibri" w:eastAsia="Times New Roman" w:hAnsi="Calibri" w:cs="Calibri"/>
                <w:color w:val="000000"/>
                <w:sz w:val="18"/>
                <w:szCs w:val="18"/>
              </w:rPr>
            </w:pPr>
            <w:r w:rsidRPr="005F039F">
              <w:rPr>
                <w:rFonts w:ascii="Calibri" w:eastAsia="Times New Roman" w:hAnsi="Calibri" w:cs="Calibri"/>
                <w:color w:val="000000"/>
                <w:sz w:val="18"/>
                <w:szCs w:val="18"/>
              </w:rPr>
              <w:t>1,108</w:t>
            </w:r>
          </w:p>
        </w:tc>
      </w:tr>
    </w:tbl>
    <w:p w14:paraId="6E01EA6D" w14:textId="77777777" w:rsidR="004C7089" w:rsidRPr="00AD774C" w:rsidRDefault="004C7089" w:rsidP="004A799B">
      <w:pPr>
        <w:pStyle w:val="ListParagraph"/>
        <w:keepNext/>
        <w:keepLines/>
        <w:numPr>
          <w:ilvl w:val="2"/>
          <w:numId w:val="60"/>
        </w:numPr>
        <w:tabs>
          <w:tab w:val="left" w:pos="-720"/>
          <w:tab w:val="left" w:pos="8010"/>
        </w:tabs>
        <w:spacing w:before="120" w:after="80" w:line="240" w:lineRule="auto"/>
        <w:ind w:left="1170" w:right="907" w:hanging="270"/>
        <w:rPr>
          <w:rFonts w:asciiTheme="minorHAnsi" w:hAnsiTheme="minorHAnsi" w:cs="Arial"/>
          <w:b/>
          <w:sz w:val="16"/>
          <w:szCs w:val="16"/>
        </w:rPr>
      </w:pPr>
      <w:r w:rsidRPr="005F039F">
        <w:rPr>
          <w:rFonts w:asciiTheme="minorHAnsi" w:hAnsiTheme="minorHAnsi" w:cs="Arial"/>
          <w:sz w:val="16"/>
          <w:szCs w:val="16"/>
        </w:rPr>
        <w:t>A</w:t>
      </w:r>
      <w:r w:rsidR="001F23E1" w:rsidRPr="005F039F">
        <w:rPr>
          <w:rFonts w:asciiTheme="minorHAnsi" w:hAnsiTheme="minorHAnsi" w:cs="Arial"/>
          <w:sz w:val="16"/>
          <w:szCs w:val="16"/>
        </w:rPr>
        <w:t xml:space="preserve"> </w:t>
      </w:r>
      <w:r w:rsidRPr="005F039F">
        <w:rPr>
          <w:rFonts w:asciiTheme="minorHAnsi" w:hAnsiTheme="minorHAnsi" w:cs="Arial"/>
          <w:sz w:val="16"/>
          <w:szCs w:val="16"/>
        </w:rPr>
        <w:t xml:space="preserve">full listing of all new and existing resources that qualified to participate in each of the FCAs is available in the </w:t>
      </w:r>
      <w:r w:rsidR="00951B84">
        <w:rPr>
          <w:rFonts w:asciiTheme="minorHAnsi" w:hAnsiTheme="minorHAnsi" w:cs="Arial"/>
          <w:sz w:val="16"/>
          <w:szCs w:val="16"/>
        </w:rPr>
        <w:t>“</w:t>
      </w:r>
      <w:r w:rsidRPr="005F039F">
        <w:rPr>
          <w:rFonts w:asciiTheme="minorHAnsi" w:hAnsiTheme="minorHAnsi" w:cs="Arial"/>
          <w:sz w:val="16"/>
          <w:szCs w:val="16"/>
        </w:rPr>
        <w:t>Forward Capacity Obligations</w:t>
      </w:r>
      <w:r w:rsidR="00951B84">
        <w:rPr>
          <w:rFonts w:asciiTheme="minorHAnsi" w:hAnsiTheme="minorHAnsi" w:cs="Arial"/>
          <w:sz w:val="16"/>
          <w:szCs w:val="16"/>
        </w:rPr>
        <w:t>”</w:t>
      </w:r>
      <w:r w:rsidRPr="005F039F">
        <w:rPr>
          <w:rFonts w:asciiTheme="minorHAnsi" w:hAnsiTheme="minorHAnsi" w:cs="Arial"/>
          <w:sz w:val="16"/>
          <w:szCs w:val="16"/>
        </w:rPr>
        <w:t xml:space="preserve"> spreadsheets at </w:t>
      </w:r>
      <w:hyperlink r:id="rId42" w:history="1">
        <w:r w:rsidRPr="005F039F">
          <w:rPr>
            <w:rFonts w:asciiTheme="minorHAnsi" w:hAnsiTheme="minorHAnsi" w:cs="Arial"/>
            <w:sz w:val="16"/>
            <w:szCs w:val="16"/>
          </w:rPr>
          <w:t>https://www.iso-ne.com/isoexpress/web/reports/auctions/-/tree/fca-results</w:t>
        </w:r>
      </w:hyperlink>
      <w:r w:rsidRPr="005F039F">
        <w:rPr>
          <w:rFonts w:asciiTheme="minorHAnsi" w:hAnsiTheme="minorHAnsi" w:cs="Arial"/>
          <w:sz w:val="16"/>
          <w:szCs w:val="16"/>
        </w:rPr>
        <w:t xml:space="preserve">. In addition, updated summaries of CSOs by </w:t>
      </w:r>
      <w:r w:rsidRPr="00AD774C">
        <w:rPr>
          <w:rFonts w:asciiTheme="minorHAnsi" w:hAnsiTheme="minorHAnsi" w:cs="Arial"/>
          <w:sz w:val="16"/>
          <w:szCs w:val="16"/>
        </w:rPr>
        <w:t xml:space="preserve">resource type for each commitment period are provided monthly in the NEPOOL Participants Committee COO Reports at </w:t>
      </w:r>
      <w:hyperlink r:id="rId43" w:history="1">
        <w:r w:rsidRPr="00AD774C">
          <w:rPr>
            <w:rFonts w:asciiTheme="minorHAnsi" w:hAnsiTheme="minorHAnsi" w:cs="Arial"/>
            <w:color w:val="000000"/>
            <w:sz w:val="16"/>
            <w:szCs w:val="16"/>
          </w:rPr>
          <w:t>https://www.iso-ne.com/committees/participants/participants-committee</w:t>
        </w:r>
      </w:hyperlink>
      <w:r w:rsidRPr="00AD774C">
        <w:rPr>
          <w:rFonts w:asciiTheme="minorHAnsi" w:hAnsiTheme="minorHAnsi" w:cs="Arial"/>
          <w:sz w:val="16"/>
          <w:szCs w:val="16"/>
        </w:rPr>
        <w:t>.</w:t>
      </w:r>
    </w:p>
    <w:p w14:paraId="5A8B5879" w14:textId="77777777" w:rsidR="00FB4745" w:rsidRPr="00AD774C" w:rsidRDefault="001F23E1"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sidRPr="00AD774C">
        <w:rPr>
          <w:rFonts w:asciiTheme="minorHAnsi" w:hAnsiTheme="minorHAnsi" w:cs="Arial"/>
          <w:sz w:val="16"/>
          <w:szCs w:val="16"/>
        </w:rPr>
        <w:t>T</w:t>
      </w:r>
      <w:r w:rsidR="004C7089" w:rsidRPr="00AD774C">
        <w:rPr>
          <w:rFonts w:asciiTheme="minorHAnsi" w:hAnsiTheme="minorHAnsi" w:cs="Arial"/>
          <w:sz w:val="16"/>
          <w:szCs w:val="16"/>
        </w:rPr>
        <w:t>otals may not sum due to rounding.</w:t>
      </w:r>
    </w:p>
    <w:p w14:paraId="2ECE03FB" w14:textId="77777777" w:rsidR="00FB4745" w:rsidRPr="00A1119B" w:rsidRDefault="00FB4745" w:rsidP="004A799B">
      <w:pPr>
        <w:pStyle w:val="ListParagraph"/>
        <w:keepNext/>
        <w:keepLines/>
        <w:numPr>
          <w:ilvl w:val="2"/>
          <w:numId w:val="60"/>
        </w:numPr>
        <w:tabs>
          <w:tab w:val="left" w:pos="-720"/>
          <w:tab w:val="left" w:pos="8010"/>
        </w:tabs>
        <w:spacing w:after="80" w:line="240" w:lineRule="auto"/>
        <w:ind w:left="1170" w:right="907" w:hanging="270"/>
        <w:rPr>
          <w:rFonts w:asciiTheme="minorHAnsi" w:hAnsiTheme="minorHAnsi" w:cs="Arial"/>
          <w:b/>
          <w:sz w:val="16"/>
          <w:szCs w:val="16"/>
        </w:rPr>
      </w:pPr>
      <w:r>
        <w:rPr>
          <w:rFonts w:asciiTheme="minorHAnsi" w:hAnsiTheme="minorHAnsi" w:cs="Arial"/>
          <w:sz w:val="16"/>
          <w:szCs w:val="16"/>
        </w:rPr>
        <w:t>Totals do not include new capacity uprates from existing generating resources.</w:t>
      </w:r>
    </w:p>
    <w:p w14:paraId="307B8ED9" w14:textId="77777777" w:rsidR="00A1119B" w:rsidRPr="00A1119B" w:rsidRDefault="00C665E5" w:rsidP="004A799B">
      <w:pPr>
        <w:pStyle w:val="ListParagraph"/>
        <w:keepNext/>
        <w:keepLines/>
        <w:numPr>
          <w:ilvl w:val="2"/>
          <w:numId w:val="60"/>
        </w:numPr>
        <w:tabs>
          <w:tab w:val="left" w:pos="-720"/>
          <w:tab w:val="left" w:pos="8010"/>
        </w:tabs>
        <w:spacing w:after="240" w:line="240" w:lineRule="auto"/>
        <w:ind w:left="1170" w:right="907" w:hanging="270"/>
        <w:rPr>
          <w:rFonts w:asciiTheme="minorHAnsi" w:hAnsiTheme="minorHAnsi" w:cs="Arial"/>
          <w:b/>
          <w:sz w:val="16"/>
          <w:szCs w:val="16"/>
        </w:rPr>
      </w:pPr>
      <w:r>
        <w:rPr>
          <w:rFonts w:asciiTheme="minorHAnsi" w:hAnsiTheme="minorHAnsi" w:cs="Arial"/>
          <w:sz w:val="16"/>
          <w:szCs w:val="16"/>
        </w:rPr>
        <w:t>Passive demand resources include EE and distributed generation</w:t>
      </w:r>
      <w:r w:rsidR="00A1119B">
        <w:rPr>
          <w:rFonts w:asciiTheme="minorHAnsi" w:hAnsiTheme="minorHAnsi" w:cs="Arial"/>
          <w:sz w:val="16"/>
          <w:szCs w:val="16"/>
        </w:rPr>
        <w:t>.</w:t>
      </w:r>
    </w:p>
    <w:p w14:paraId="0F23EC6F" w14:textId="77777777" w:rsidR="004C7089" w:rsidRPr="004C7089" w:rsidRDefault="004C7089" w:rsidP="00367A18">
      <w:pPr>
        <w:pStyle w:val="Heading4"/>
      </w:pPr>
      <w:bookmarkStart w:id="417" w:name="_Ref11398073"/>
      <w:r w:rsidRPr="004C7089">
        <w:t>Capacity Commitment Period 2021/2022</w:t>
      </w:r>
      <w:bookmarkEnd w:id="417"/>
    </w:p>
    <w:p w14:paraId="70320A61" w14:textId="77777777" w:rsidR="004C7089" w:rsidRPr="004C7089" w:rsidRDefault="004C7089" w:rsidP="004C7089">
      <w:pPr>
        <w:autoSpaceDE w:val="0"/>
        <w:autoSpaceDN w:val="0"/>
        <w:adjustRightInd w:val="0"/>
      </w:pPr>
      <w:r w:rsidRPr="004C7089">
        <w:t>FCA 12 was conducted in February 2018 and procured 34,828 MW of capacity for 2021/2022 capacity commitment period. The auction acquired 30,011 MW of generation, including 1</w:t>
      </w:r>
      <w:r w:rsidR="005319C3">
        <w:t>6</w:t>
      </w:r>
      <w:r w:rsidRPr="004C7089">
        <w:t>7 MW of new generation</w:t>
      </w:r>
      <w:r w:rsidR="005319C3">
        <w:t xml:space="preserve"> and 7 MW of new capacity uprates from existing generating resources</w:t>
      </w:r>
      <w:r w:rsidRPr="004C7089">
        <w:t>. The auction also procured 514 MW of demand resources, which includes 358 MW of EE</w:t>
      </w:r>
      <w:r w:rsidR="005319C3">
        <w:t xml:space="preserve"> and 13 MW of distributed generation, for a total of 371 MW of passive demand resources</w:t>
      </w:r>
      <w:r w:rsidRPr="004C7089">
        <w:t xml:space="preserve">. </w:t>
      </w:r>
    </w:p>
    <w:p w14:paraId="4AC523F3" w14:textId="1F69D8DB" w:rsidR="004C7089" w:rsidRPr="004C7089" w:rsidRDefault="004C7089" w:rsidP="00C665E5">
      <w:pPr>
        <w:autoSpaceDE w:val="0"/>
        <w:autoSpaceDN w:val="0"/>
        <w:adjustRightInd w:val="0"/>
      </w:pPr>
      <w:r w:rsidRPr="004C7089">
        <w:t>Approximately 34,828 MW of new and existing resources cleared the auction, which was approximately 1,103 MW above the net ICR of 33,725 MW. While the auction closed with enough resources to meet demand, the ISO rejected two bids to dynamically delist or withdraw capacity from the market for the one-year capacity commitment period.</w:t>
      </w:r>
      <w:r w:rsidRPr="004C7089">
        <w:rPr>
          <w:vertAlign w:val="superscript"/>
        </w:rPr>
        <w:footnoteReference w:id="106"/>
      </w:r>
      <w:r w:rsidRPr="004C7089">
        <w:t xml:space="preserve"> Exelon Generation Co. sought to delist its Mystic 7, 8, and 9 generating facilities in Everett, Massachusetts. When a resource seeks to delist, the ISO evaluates whether the transmission system could be operated securely without the resource; for FCA 12</w:t>
      </w:r>
      <w:r w:rsidR="00951B84">
        <w:t>,</w:t>
      </w:r>
      <w:r w:rsidRPr="004C7089">
        <w:t xml:space="preserve"> the ISO’s tariff did </w:t>
      </w:r>
      <w:r w:rsidRPr="0064416D">
        <w:t>not allow consideration of other factors (e.g., fuel security; see</w:t>
      </w:r>
      <w:r w:rsidR="0064416D" w:rsidRPr="0064416D">
        <w:t xml:space="preserve"> </w:t>
      </w:r>
      <w:r w:rsidR="0064416D" w:rsidRPr="0064416D">
        <w:fldChar w:fldCharType="begin"/>
      </w:r>
      <w:r w:rsidR="0064416D" w:rsidRPr="0064416D">
        <w:instrText xml:space="preserve"> REF _Ref11055619 \r \h </w:instrText>
      </w:r>
      <w:r w:rsidR="0064416D">
        <w:instrText xml:space="preserve"> \* MERGEFORMAT </w:instrText>
      </w:r>
      <w:r w:rsidR="0064416D" w:rsidRPr="0064416D">
        <w:fldChar w:fldCharType="separate"/>
      </w:r>
      <w:r w:rsidR="005D0B73">
        <w:t>Section 7</w:t>
      </w:r>
      <w:r w:rsidR="0064416D" w:rsidRPr="0064416D">
        <w:fldChar w:fldCharType="end"/>
      </w:r>
      <w:r w:rsidRPr="0064416D">
        <w:t>). The ISO’s mandatory</w:t>
      </w:r>
      <w:r w:rsidRPr="004C7089">
        <w:t xml:space="preserve"> transmission reliability review showed that transmission lines in Boston could be overloaded if Mystic 7 and Mystic 8 were not available during 2021/2022, so these </w:t>
      </w:r>
      <w:r w:rsidR="005319C3">
        <w:t xml:space="preserve">dynamic </w:t>
      </w:r>
      <w:r w:rsidRPr="004C7089">
        <w:t xml:space="preserve">delist bids were rejected and the generators retained. Mystic 7 is a 575 MW generator that can burn either oil or natural gas, and Mystic 8 </w:t>
      </w:r>
      <w:r w:rsidRPr="004C7089">
        <w:lastRenderedPageBreak/>
        <w:t xml:space="preserve">is a 703 MW natural-gas-fired generator. </w:t>
      </w:r>
      <w:r w:rsidR="00C665E5">
        <w:t>The reliability review found that Mystic 9 was not needed, and it was allowed to leave the capacity market for one year.</w:t>
      </w:r>
    </w:p>
    <w:p w14:paraId="0800ECBC" w14:textId="77777777" w:rsidR="004C7089" w:rsidRPr="004C7089" w:rsidRDefault="004C7089" w:rsidP="004C7089">
      <w:pPr>
        <w:autoSpaceDE w:val="0"/>
        <w:autoSpaceDN w:val="0"/>
        <w:adjustRightInd w:val="0"/>
      </w:pPr>
      <w:r w:rsidRPr="004C7089">
        <w:t xml:space="preserve">Approximately 34.5 MW of resources received obligations under the renewable technology resource (RTR) designation </w:t>
      </w:r>
      <w:r w:rsidRPr="003936AA">
        <w:t>in FCA 12.</w:t>
      </w:r>
      <w:r w:rsidRPr="003936AA">
        <w:rPr>
          <w:vertAlign w:val="superscript"/>
        </w:rPr>
        <w:footnoteReference w:id="107"/>
      </w:r>
      <w:r w:rsidRPr="003936AA">
        <w:t xml:space="preserve"> Th</w:t>
      </w:r>
      <w:r w:rsidRPr="004C7089">
        <w:t>e RTR designation allows a limited amount of renewable resources to participate in the auction without being subject to the Minimum Offer Price Rule.</w:t>
      </w:r>
      <w:r w:rsidRPr="004C7089">
        <w:rPr>
          <w:vertAlign w:val="superscript"/>
        </w:rPr>
        <w:footnoteReference w:id="108"/>
      </w:r>
      <w:r w:rsidRPr="004C7089">
        <w:t xml:space="preserve"> The RTR eligibility rules are different from the CASPR eligibility rules, meaning a resource that qualifies as a sponsored-policy resource for SA participation may not qualify as a RTR resource for primary auction participation. </w:t>
      </w:r>
    </w:p>
    <w:p w14:paraId="26869867" w14:textId="77777777" w:rsidR="004C7089" w:rsidRPr="004C7089" w:rsidRDefault="004C7089" w:rsidP="00367A18">
      <w:pPr>
        <w:pStyle w:val="Heading4"/>
      </w:pPr>
      <w:bookmarkStart w:id="418" w:name="_Ref12000749"/>
      <w:r w:rsidRPr="004C7089">
        <w:t>Capacity Commitment Period 2022/2023</w:t>
      </w:r>
      <w:bookmarkEnd w:id="418"/>
    </w:p>
    <w:p w14:paraId="1491726D" w14:textId="174A6F58" w:rsidR="004C7089" w:rsidRPr="004C7089" w:rsidRDefault="004C7089" w:rsidP="004C7089">
      <w:pPr>
        <w:autoSpaceDE w:val="0"/>
        <w:autoSpaceDN w:val="0"/>
        <w:adjustRightInd w:val="0"/>
        <w:rPr>
          <w:b/>
          <w:i/>
        </w:rPr>
      </w:pPr>
      <w:r w:rsidRPr="004C7089">
        <w:t xml:space="preserve">In February 2019, the ISO conducted FCA 13 where </w:t>
      </w:r>
      <w:r w:rsidRPr="004C7089">
        <w:rPr>
          <w:bCs/>
        </w:rPr>
        <w:t>34,839</w:t>
      </w:r>
      <w:r w:rsidRPr="004C7089">
        <w:rPr>
          <w:b/>
          <w:bCs/>
        </w:rPr>
        <w:t xml:space="preserve"> </w:t>
      </w:r>
      <w:r w:rsidRPr="004C7089">
        <w:t xml:space="preserve">MW of capacity was procured for the 2022/2023 capacity commitment period, which was approximately 1,089 MW above the net ICR of 33,750 MW. The auction rules allow the region to acquire more or less than the capacity target, providing flexibility to acquire additional capacity and enhanced reliability at a cost-effective price. </w:t>
      </w:r>
      <w:r w:rsidR="009A74ED" w:rsidRPr="004C7089">
        <w:t>FCA</w:t>
      </w:r>
      <w:r w:rsidR="009A74ED">
        <w:t> </w:t>
      </w:r>
      <w:r w:rsidRPr="004C7089">
        <w:t xml:space="preserve">13 was the first auction run under </w:t>
      </w:r>
      <w:r w:rsidR="00742AC3">
        <w:t>CASPR</w:t>
      </w:r>
      <w:r w:rsidRPr="004C7089">
        <w:t xml:space="preserve">; see </w:t>
      </w:r>
      <w:r w:rsidR="00B6172E">
        <w:t xml:space="preserve">Section </w:t>
      </w:r>
      <w:r w:rsidR="00B6172E">
        <w:fldChar w:fldCharType="begin"/>
      </w:r>
      <w:r w:rsidR="00B6172E">
        <w:instrText xml:space="preserve"> REF _Ref17708464 \r \h </w:instrText>
      </w:r>
      <w:r w:rsidR="00B6172E">
        <w:fldChar w:fldCharType="separate"/>
      </w:r>
      <w:r w:rsidR="005D0B73">
        <w:t>4.1.3.1</w:t>
      </w:r>
      <w:r w:rsidR="00B6172E">
        <w:fldChar w:fldCharType="end"/>
      </w:r>
      <w:r w:rsidRPr="004C7089">
        <w:t xml:space="preserve">. The substitution auction closed with Vineyard Wind, an offshore wind project (800 MW nameplate) in development off the coast of Massachusetts, assuming an obligation of 54 MW from Pawtucket Power, an existing resource that will retire June 1, 2022. </w:t>
      </w:r>
    </w:p>
    <w:p w14:paraId="2ADF6C42" w14:textId="3D0C5844" w:rsidR="004C7089" w:rsidRDefault="004C7089" w:rsidP="004C7089">
      <w:pPr>
        <w:autoSpaceDE w:val="0"/>
        <w:autoSpaceDN w:val="0"/>
        <w:adjustRightInd w:val="0"/>
      </w:pPr>
      <w:r w:rsidRPr="004C7089">
        <w:t xml:space="preserve">FCA 13 secured 29,611 MW of generation, including 837 MW of new generation that included renewable resources, such as wind (62 MW) and solar (141 MW), and one large combined-cycle </w:t>
      </w:r>
      <w:r w:rsidR="00801D7D">
        <w:t xml:space="preserve">(CC) </w:t>
      </w:r>
      <w:r w:rsidR="00742AC3">
        <w:t>natural gas plant</w:t>
      </w:r>
      <w:r w:rsidRPr="004C7089">
        <w:t>, Killingly Energy Center (632 MW)</w:t>
      </w:r>
      <w:r w:rsidR="00742AC3">
        <w:t xml:space="preserve">, </w:t>
      </w:r>
      <w:r w:rsidRPr="004C7089">
        <w:t xml:space="preserve">under development in Connecticut. The auction also procured </w:t>
      </w:r>
      <w:r w:rsidR="00742AC3" w:rsidRPr="004C7089">
        <w:t>654</w:t>
      </w:r>
      <w:r w:rsidR="00742AC3">
        <w:t> </w:t>
      </w:r>
      <w:r w:rsidRPr="004C7089">
        <w:t xml:space="preserve">MW of demand resources, which includes 434 MW of EE. Overall, interest in the FCM by EE resources continues to be strong, as demonstrated in </w:t>
      </w:r>
      <w:r w:rsidRPr="0080457A">
        <w:fldChar w:fldCharType="begin"/>
      </w:r>
      <w:r w:rsidRPr="0080457A">
        <w:instrText xml:space="preserve"> REF _Ref8317319 \h </w:instrText>
      </w:r>
      <w:r w:rsidR="0080457A" w:rsidRPr="0080457A">
        <w:instrText xml:space="preserve"> \* MERGEFORMAT </w:instrText>
      </w:r>
      <w:r w:rsidRPr="0080457A">
        <w:fldChar w:fldCharType="separate"/>
      </w:r>
      <w:r w:rsidR="005D0B73" w:rsidRPr="005D0B73">
        <w:rPr>
          <w:rStyle w:val="Caption-Figure-Text"/>
          <w:rFonts w:ascii="Cambria" w:hAnsi="Cambria"/>
          <w:b w:val="0"/>
        </w:rPr>
        <w:t xml:space="preserve">Figure </w:t>
      </w:r>
      <w:r w:rsidR="005D0B73" w:rsidRPr="005D0B73">
        <w:rPr>
          <w:rStyle w:val="Caption-Figure-Text"/>
          <w:rFonts w:ascii="Cambria" w:hAnsi="Cambria"/>
          <w:b w:val="0"/>
          <w:noProof/>
        </w:rPr>
        <w:t>4</w:t>
      </w:r>
      <w:r w:rsidR="005D0B73" w:rsidRPr="005D0B73">
        <w:rPr>
          <w:rStyle w:val="Caption-Figure-Text"/>
          <w:rFonts w:ascii="Cambria" w:hAnsi="Cambria"/>
          <w:b w:val="0"/>
          <w:noProof/>
        </w:rPr>
        <w:noBreakHyphen/>
        <w:t>1</w:t>
      </w:r>
      <w:r w:rsidRPr="0080457A">
        <w:fldChar w:fldCharType="end"/>
      </w:r>
      <w:r w:rsidRPr="004C7089">
        <w:t>, and growth is likely to continue until the standards change.</w:t>
      </w:r>
      <w:r w:rsidRPr="004C7089">
        <w:rPr>
          <w:vertAlign w:val="superscript"/>
        </w:rPr>
        <w:footnoteReference w:id="109"/>
      </w:r>
      <w:r w:rsidRPr="004C7089">
        <w:t xml:space="preserve"> Approximately 145 MW of resources received obligations under the RTR designation in FCA 13. Approximately 336 MW remain in the RTR exemption cap and will be carried over to FCA 14 unless the tariff is changed.</w:t>
      </w:r>
    </w:p>
    <w:p w14:paraId="5848DD57" w14:textId="77777777" w:rsidR="00852275" w:rsidRDefault="00852275" w:rsidP="00304A24">
      <w:pPr>
        <w:autoSpaceDE w:val="0"/>
        <w:autoSpaceDN w:val="0"/>
        <w:adjustRightInd w:val="0"/>
        <w:spacing w:after="0" w:line="240" w:lineRule="auto"/>
      </w:pPr>
    </w:p>
    <w:p w14:paraId="7E6049BD" w14:textId="77777777" w:rsidR="00904104" w:rsidRDefault="00904104" w:rsidP="00304A24">
      <w:pPr>
        <w:autoSpaceDE w:val="0"/>
        <w:autoSpaceDN w:val="0"/>
        <w:adjustRightInd w:val="0"/>
        <w:spacing w:after="0" w:line="240" w:lineRule="auto"/>
      </w:pPr>
    </w:p>
    <w:p w14:paraId="4EF9D085" w14:textId="77777777" w:rsidR="00904104" w:rsidRDefault="00904104" w:rsidP="00304A24">
      <w:pPr>
        <w:autoSpaceDE w:val="0"/>
        <w:autoSpaceDN w:val="0"/>
        <w:adjustRightInd w:val="0"/>
        <w:spacing w:after="0" w:line="240" w:lineRule="auto"/>
      </w:pPr>
    </w:p>
    <w:p w14:paraId="60C157B4" w14:textId="77777777" w:rsidR="00904104" w:rsidRDefault="00904104" w:rsidP="00304A24">
      <w:pPr>
        <w:autoSpaceDE w:val="0"/>
        <w:autoSpaceDN w:val="0"/>
        <w:adjustRightInd w:val="0"/>
        <w:spacing w:after="0" w:line="240" w:lineRule="auto"/>
      </w:pPr>
    </w:p>
    <w:p w14:paraId="744E88FA" w14:textId="77777777" w:rsidR="00904104" w:rsidRPr="004C7089" w:rsidRDefault="00904104" w:rsidP="00304A24">
      <w:pPr>
        <w:autoSpaceDE w:val="0"/>
        <w:autoSpaceDN w:val="0"/>
        <w:adjustRightInd w:val="0"/>
        <w:spacing w:after="0" w:line="240" w:lineRule="auto"/>
      </w:pPr>
      <w:r w:rsidRPr="00904104">
        <w:rPr>
          <w:noProof/>
        </w:rPr>
        <w:lastRenderedPageBreak/>
        <w:drawing>
          <wp:inline distT="0" distB="0" distL="0" distR="0" wp14:anchorId="086D38A5" wp14:editId="6122C710">
            <wp:extent cx="5657850" cy="2220370"/>
            <wp:effectExtent l="19050" t="19050" r="1905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7850" cy="2220370"/>
                    </a:xfrm>
                    <a:prstGeom prst="rect">
                      <a:avLst/>
                    </a:prstGeom>
                    <a:noFill/>
                    <a:ln w="3175">
                      <a:solidFill>
                        <a:srgbClr val="000000"/>
                      </a:solidFill>
                    </a:ln>
                  </pic:spPr>
                </pic:pic>
              </a:graphicData>
            </a:graphic>
          </wp:inline>
        </w:drawing>
      </w:r>
    </w:p>
    <w:p w14:paraId="03E9D0F1" w14:textId="2755FCF1" w:rsidR="00304A24" w:rsidRPr="00304A24" w:rsidRDefault="004C7089" w:rsidP="00904104">
      <w:pPr>
        <w:autoSpaceDE w:val="0"/>
        <w:autoSpaceDN w:val="0"/>
        <w:adjustRightInd w:val="0"/>
        <w:spacing w:before="120" w:line="240" w:lineRule="auto"/>
        <w:ind w:left="90"/>
        <w:rPr>
          <w:rStyle w:val="Caption-Figure-Text"/>
        </w:rPr>
      </w:pPr>
      <w:bookmarkStart w:id="419" w:name="_Ref8317319"/>
      <w:bookmarkStart w:id="420" w:name="_Toc17709748"/>
      <w:r w:rsidRPr="00D1271D">
        <w:rPr>
          <w:rStyle w:val="Caption-Figure-Text"/>
        </w:rPr>
        <w:t xml:space="preserve">Figure </w:t>
      </w:r>
      <w:r w:rsidR="008E7223">
        <w:rPr>
          <w:rStyle w:val="Caption-Figure-Text"/>
        </w:rPr>
        <w:fldChar w:fldCharType="begin"/>
      </w:r>
      <w:r w:rsidR="008E7223">
        <w:rPr>
          <w:rStyle w:val="Caption-Figure-Text"/>
        </w:rPr>
        <w:instrText xml:space="preserve"> STYLEREF 1 \s </w:instrText>
      </w:r>
      <w:r w:rsidR="008E7223">
        <w:rPr>
          <w:rStyle w:val="Caption-Figure-Text"/>
        </w:rPr>
        <w:fldChar w:fldCharType="separate"/>
      </w:r>
      <w:r w:rsidR="008E7223">
        <w:rPr>
          <w:rStyle w:val="Caption-Figure-Text"/>
          <w:noProof/>
        </w:rPr>
        <w:t>4</w:t>
      </w:r>
      <w:r w:rsidR="008E7223">
        <w:rPr>
          <w:rStyle w:val="Caption-Figure-Text"/>
        </w:rPr>
        <w:fldChar w:fldCharType="end"/>
      </w:r>
      <w:r w:rsidR="008E7223">
        <w:rPr>
          <w:rStyle w:val="Caption-Figure-Text"/>
        </w:rPr>
        <w:noBreakHyphen/>
      </w:r>
      <w:r w:rsidR="008E7223">
        <w:rPr>
          <w:rStyle w:val="Caption-Figure-Text"/>
        </w:rPr>
        <w:fldChar w:fldCharType="begin"/>
      </w:r>
      <w:r w:rsidR="008E7223">
        <w:rPr>
          <w:rStyle w:val="Caption-Figure-Text"/>
        </w:rPr>
        <w:instrText xml:space="preserve"> SEQ Figure \* ARABIC \s 1 </w:instrText>
      </w:r>
      <w:r w:rsidR="008E7223">
        <w:rPr>
          <w:rStyle w:val="Caption-Figure-Text"/>
        </w:rPr>
        <w:fldChar w:fldCharType="separate"/>
      </w:r>
      <w:r w:rsidR="008E7223">
        <w:rPr>
          <w:rStyle w:val="Caption-Figure-Text"/>
          <w:noProof/>
        </w:rPr>
        <w:t>1</w:t>
      </w:r>
      <w:r w:rsidR="008E7223">
        <w:rPr>
          <w:rStyle w:val="Caption-Figure-Text"/>
        </w:rPr>
        <w:fldChar w:fldCharType="end"/>
      </w:r>
      <w:bookmarkEnd w:id="419"/>
      <w:r w:rsidRPr="00852275">
        <w:rPr>
          <w:rStyle w:val="Caption-Figure-Text"/>
        </w:rPr>
        <w:t>: Comparison of cleared new summer and winter energy-efficiency resources by capacity commitment period, CCP 2010/2011 to CCP 2022/2023 (MW).</w:t>
      </w:r>
      <w:bookmarkEnd w:id="420"/>
    </w:p>
    <w:p w14:paraId="3C01533E" w14:textId="0465E1FA" w:rsidR="00991D46" w:rsidRPr="004C52AB" w:rsidRDefault="004C7089" w:rsidP="00991D46">
      <w:r w:rsidRPr="004C7089">
        <w:rPr>
          <w:rFonts w:ascii="Calibri" w:hAnsi="Calibri" w:cs="Arial"/>
          <w:b/>
          <w:szCs w:val="18"/>
        </w:rPr>
        <w:t xml:space="preserve"> </w:t>
      </w:r>
      <w:r w:rsidRPr="004C52AB">
        <w:t>As a temporary solution to address region</w:t>
      </w:r>
      <w:r w:rsidRPr="00304A24">
        <w:t xml:space="preserve">al </w:t>
      </w:r>
      <w:r w:rsidR="00C665E5" w:rsidRPr="00304A24">
        <w:t>energy</w:t>
      </w:r>
      <w:r w:rsidRPr="00304A24">
        <w:t>-security concerns</w:t>
      </w:r>
      <w:r w:rsidRPr="00CE1C27">
        <w:t xml:space="preserve"> that predominate </w:t>
      </w:r>
      <w:r w:rsidRPr="00304A24">
        <w:t>in the w</w:t>
      </w:r>
      <w:r w:rsidRPr="00CE1C27">
        <w:t>inter and are sparked by limited availability of fuel for gas</w:t>
      </w:r>
      <w:r w:rsidR="00A351BE">
        <w:t>-</w:t>
      </w:r>
      <w:r w:rsidRPr="00C23B36">
        <w:t>fired generators (see</w:t>
      </w:r>
      <w:r w:rsidR="00C86BE4">
        <w:t xml:space="preserve"> </w:t>
      </w:r>
      <w:r w:rsidR="00C86BE4">
        <w:fldChar w:fldCharType="begin"/>
      </w:r>
      <w:r w:rsidR="00C86BE4">
        <w:instrText xml:space="preserve"> REF _Ref12006458 \r \h </w:instrText>
      </w:r>
      <w:r w:rsidR="00C86BE4">
        <w:fldChar w:fldCharType="separate"/>
      </w:r>
      <w:r w:rsidR="005D0B73">
        <w:t>Section 7</w:t>
      </w:r>
      <w:r w:rsidR="00C86BE4">
        <w:fldChar w:fldCharType="end"/>
      </w:r>
      <w:r w:rsidRPr="00C23B36">
        <w:t>), the ISO incorporated a</w:t>
      </w:r>
      <w:r w:rsidRPr="00304A24">
        <w:t xml:space="preserve"> fuel-security reliability re</w:t>
      </w:r>
      <w:r w:rsidRPr="00CE1C27">
        <w:t>view into the FCM beginning with FCA 1</w:t>
      </w:r>
      <w:r w:rsidRPr="00C23B36">
        <w:t>3.</w:t>
      </w:r>
      <w:r w:rsidR="006710E3">
        <w:rPr>
          <w:rStyle w:val="FootnoteReference"/>
        </w:rPr>
        <w:footnoteReference w:id="110"/>
      </w:r>
      <w:r w:rsidR="0080457A">
        <w:t xml:space="preserve"> </w:t>
      </w:r>
      <w:r w:rsidRPr="00C23B36">
        <w:t>T</w:t>
      </w:r>
      <w:r w:rsidRPr="00CE1C27">
        <w:t>he new rules</w:t>
      </w:r>
      <w:r w:rsidR="004C52AB">
        <w:t xml:space="preserve">, </w:t>
      </w:r>
      <w:r w:rsidRPr="00CE1C27">
        <w:t>applicable through FCA 15</w:t>
      </w:r>
      <w:r w:rsidR="004C52AB">
        <w:t xml:space="preserve">, </w:t>
      </w:r>
      <w:r w:rsidRPr="00CE1C27">
        <w:t xml:space="preserve">established a process and criteria for evaluating the reliability impacts of retirement delist bids, substitution auction demand bids, and all </w:t>
      </w:r>
      <w:r w:rsidR="00AD774C">
        <w:t xml:space="preserve">annual </w:t>
      </w:r>
      <w:r w:rsidRPr="00CE1C27">
        <w:t>reconfiguration auction demand bids on system fuel secu</w:t>
      </w:r>
      <w:r w:rsidRPr="004C52AB">
        <w:t xml:space="preserve">rity, as required by the ISO tariff, Section III.13.2.5.2.5A, </w:t>
      </w:r>
      <w:r w:rsidRPr="004C52AB">
        <w:rPr>
          <w:i/>
        </w:rPr>
        <w:t>Fuel Security Reliability Review</w:t>
      </w:r>
      <w:r w:rsidRPr="004C52AB">
        <w:t>.</w:t>
      </w:r>
      <w:r w:rsidRPr="004C52AB">
        <w:rPr>
          <w:vertAlign w:val="superscript"/>
        </w:rPr>
        <w:footnoteReference w:id="111"/>
      </w:r>
      <w:r w:rsidR="00991D46">
        <w:t xml:space="preserve"> </w:t>
      </w:r>
      <w:r w:rsidR="00991D46" w:rsidRPr="00DB5598">
        <w:t>The fuel-security review consists of an hour-by-hour chronological simulation of the New England electricity supply system for a winter period from the beginning of December through the end of February. One of the key assumptions driving the results of the review is the amount of natural gas available for electricity generation. The process for this fuel security reliability review is detailed in Planning Procedure No. 10</w:t>
      </w:r>
      <w:r w:rsidR="003A2A43">
        <w:t xml:space="preserve"> (PP10)</w:t>
      </w:r>
      <w:r w:rsidR="00991D46" w:rsidRPr="00DB5598">
        <w:t xml:space="preserve">, </w:t>
      </w:r>
      <w:r w:rsidR="00991D46" w:rsidRPr="00DB5598">
        <w:rPr>
          <w:i/>
        </w:rPr>
        <w:t>Planning Procedure to Support the Forward Capacity Market</w:t>
      </w:r>
      <w:r w:rsidR="00DB5598">
        <w:t>, Appendix I</w:t>
      </w:r>
      <w:r w:rsidR="00991D46" w:rsidRPr="00DB5598">
        <w:t>.</w:t>
      </w:r>
      <w:r w:rsidR="00991D46" w:rsidRPr="00DB5598">
        <w:rPr>
          <w:vertAlign w:val="superscript"/>
        </w:rPr>
        <w:footnoteReference w:id="112"/>
      </w:r>
      <w:r w:rsidR="00991D46" w:rsidRPr="004C52AB">
        <w:t xml:space="preserve"> </w:t>
      </w:r>
      <w:r w:rsidR="00991D46">
        <w:t xml:space="preserve">(Refer to Section </w:t>
      </w:r>
      <w:r w:rsidR="00991D46">
        <w:fldChar w:fldCharType="begin"/>
      </w:r>
      <w:r w:rsidR="00991D46">
        <w:instrText xml:space="preserve"> REF _Ref12008216 \r \h </w:instrText>
      </w:r>
      <w:r w:rsidR="00991D46">
        <w:fldChar w:fldCharType="separate"/>
      </w:r>
      <w:r w:rsidR="005D0B73">
        <w:t>7.7.2</w:t>
      </w:r>
      <w:r w:rsidR="00991D46">
        <w:fldChar w:fldCharType="end"/>
      </w:r>
      <w:r w:rsidR="00991D46">
        <w:t xml:space="preserve"> for further discussion on solutions for addressing the region’s energy-security risks.)</w:t>
      </w:r>
    </w:p>
    <w:p w14:paraId="19E33303" w14:textId="7AECC627" w:rsidR="007F5CA5" w:rsidRDefault="004C7089" w:rsidP="004C52AB">
      <w:pPr>
        <w:autoSpaceDE w:val="0"/>
        <w:autoSpaceDN w:val="0"/>
        <w:adjustRightInd w:val="0"/>
      </w:pPr>
      <w:r w:rsidRPr="004C52AB">
        <w:t>In FCA 13, the ISO retained two resources, Mystic 8 and 9, for fuel security. Both resources are located in the NEM</w:t>
      </w:r>
      <w:r w:rsidRPr="00F176FF">
        <w:t xml:space="preserve">A/Boston load zone and sought to retire but elected to continue to operate for </w:t>
      </w:r>
      <w:r w:rsidR="00C86BE4" w:rsidRPr="00F176FF">
        <w:t>the 2022</w:t>
      </w:r>
      <w:r w:rsidR="00C86BE4" w:rsidRPr="00960963">
        <w:t>/2023 CCP (</w:t>
      </w:r>
      <w:r w:rsidRPr="00960963">
        <w:t>CCP</w:t>
      </w:r>
      <w:r w:rsidR="00B671B4" w:rsidRPr="00960963">
        <w:t xml:space="preserve"> </w:t>
      </w:r>
      <w:r w:rsidRPr="00960963">
        <w:t>13</w:t>
      </w:r>
      <w:r w:rsidR="00C86BE4" w:rsidRPr="00960963">
        <w:t>)</w:t>
      </w:r>
      <w:r w:rsidRPr="00960963">
        <w:t xml:space="preserve"> and possibly </w:t>
      </w:r>
      <w:r w:rsidR="00C86BE4" w:rsidRPr="00960963">
        <w:t>the 2023/2024 CCP (</w:t>
      </w:r>
      <w:r w:rsidRPr="00960963">
        <w:t>CCP</w:t>
      </w:r>
      <w:r w:rsidR="00B671B4" w:rsidRPr="00960963">
        <w:t xml:space="preserve"> </w:t>
      </w:r>
      <w:r w:rsidRPr="00BB0D3D">
        <w:t>14</w:t>
      </w:r>
      <w:r w:rsidR="00C86BE4" w:rsidRPr="008D59DA">
        <w:t>)</w:t>
      </w:r>
      <w:r w:rsidR="00F176FF" w:rsidRPr="008D59DA">
        <w:t>. (</w:t>
      </w:r>
      <w:r w:rsidR="00F176FF" w:rsidRPr="006B79B7">
        <w:t xml:space="preserve">See Section </w:t>
      </w:r>
      <w:r w:rsidR="00F176FF" w:rsidRPr="00F176FF">
        <w:fldChar w:fldCharType="begin"/>
      </w:r>
      <w:r w:rsidR="00F176FF" w:rsidRPr="00F176FF">
        <w:instrText xml:space="preserve"> REF _Ref485805448 \r \h </w:instrText>
      </w:r>
      <w:r w:rsidR="00F176FF">
        <w:instrText xml:space="preserve"> \* MERGEFORMAT </w:instrText>
      </w:r>
      <w:r w:rsidR="00F176FF" w:rsidRPr="00F176FF">
        <w:fldChar w:fldCharType="separate"/>
      </w:r>
      <w:r w:rsidR="005D0B73">
        <w:t>5.5.4</w:t>
      </w:r>
      <w:r w:rsidR="00F176FF" w:rsidRPr="00F176FF">
        <w:fldChar w:fldCharType="end"/>
      </w:r>
      <w:r w:rsidR="00F176FF" w:rsidRPr="00F176FF">
        <w:t xml:space="preserve"> for information </w:t>
      </w:r>
      <w:r w:rsidR="00B6172E">
        <w:t>regarding</w:t>
      </w:r>
      <w:r w:rsidR="00F176FF" w:rsidRPr="00F176FF">
        <w:t xml:space="preserve"> </w:t>
      </w:r>
      <w:r w:rsidR="00233778" w:rsidRPr="00F176FF">
        <w:t xml:space="preserve">the Boston 2028 </w:t>
      </w:r>
      <w:r w:rsidR="00960963" w:rsidRPr="00960963">
        <w:t>n</w:t>
      </w:r>
      <w:r w:rsidR="00233778" w:rsidRPr="00960963">
        <w:t xml:space="preserve">eeds </w:t>
      </w:r>
      <w:r w:rsidR="00960963" w:rsidRPr="003A2A43">
        <w:t>a</w:t>
      </w:r>
      <w:r w:rsidR="00233778" w:rsidRPr="00960963">
        <w:t>ssessment</w:t>
      </w:r>
      <w:r w:rsidR="00F176FF" w:rsidRPr="003A2A43">
        <w:t>.)</w:t>
      </w:r>
    </w:p>
    <w:p w14:paraId="3C28CA7D" w14:textId="77777777" w:rsidR="004C7089" w:rsidRPr="004C7089" w:rsidRDefault="004C7089" w:rsidP="00367A18">
      <w:pPr>
        <w:pStyle w:val="Heading4"/>
      </w:pPr>
      <w:bookmarkStart w:id="421" w:name="_Ref334017426"/>
      <w:bookmarkStart w:id="422" w:name="_Toc334601029"/>
      <w:bookmarkStart w:id="423" w:name="_Toc239157068"/>
      <w:bookmarkStart w:id="424" w:name="_Toc271632223"/>
      <w:bookmarkStart w:id="425" w:name="_Ref301440924"/>
      <w:bookmarkStart w:id="426" w:name="_Toc303086381"/>
      <w:bookmarkEnd w:id="408"/>
      <w:bookmarkEnd w:id="409"/>
      <w:bookmarkEnd w:id="410"/>
      <w:bookmarkEnd w:id="412"/>
      <w:r w:rsidRPr="004C7089">
        <w:lastRenderedPageBreak/>
        <w:t>Representative Systemwide Resource Needs</w:t>
      </w:r>
      <w:bookmarkEnd w:id="421"/>
      <w:bookmarkEnd w:id="422"/>
    </w:p>
    <w:p w14:paraId="03ECF36F" w14:textId="224CFA92" w:rsidR="004C7089" w:rsidRPr="004C7089" w:rsidRDefault="004C7089" w:rsidP="004C7089">
      <w:pPr>
        <w:spacing w:after="200" w:line="276" w:lineRule="auto"/>
      </w:pPr>
      <w:r w:rsidRPr="004C7089">
        <w:t xml:space="preserve">The representative net ICR values for future years (Section </w:t>
      </w:r>
      <w:r w:rsidRPr="004C7089">
        <w:fldChar w:fldCharType="begin"/>
      </w:r>
      <w:r w:rsidRPr="004C7089">
        <w:instrText xml:space="preserve"> REF _Ref387673339 \r \h  \* MERGEFORMAT </w:instrText>
      </w:r>
      <w:r w:rsidRPr="004C7089">
        <w:fldChar w:fldCharType="separate"/>
      </w:r>
      <w:r w:rsidR="005D0B73">
        <w:t>4.1.1</w:t>
      </w:r>
      <w:r w:rsidRPr="004C7089">
        <w:fldChar w:fldCharType="end"/>
      </w:r>
      <w:r w:rsidRPr="004C7089">
        <w:t xml:space="preserve">) indicate the systemwide capacity needs. </w:t>
      </w:r>
      <w:r w:rsidRPr="004C7089">
        <w:fldChar w:fldCharType="begin"/>
      </w:r>
      <w:r w:rsidRPr="004C7089">
        <w:instrText xml:space="preserve"> REF _Ref325445701 \h  \* MERGEFORMAT </w:instrText>
      </w:r>
      <w:r w:rsidRPr="004C7089">
        <w:fldChar w:fldCharType="separate"/>
      </w:r>
      <w:r w:rsidR="005D0B73" w:rsidRPr="005D0B73">
        <w:rPr>
          <w:bCs/>
          <w:szCs w:val="18"/>
        </w:rPr>
        <w:t>Table 4</w:t>
      </w:r>
      <w:r w:rsidR="005D0B73" w:rsidRPr="005D0B73">
        <w:rPr>
          <w:bCs/>
          <w:szCs w:val="18"/>
        </w:rPr>
        <w:noBreakHyphen/>
        <w:t>5</w:t>
      </w:r>
      <w:r w:rsidRPr="004C7089">
        <w:fldChar w:fldCharType="end"/>
      </w:r>
      <w:r w:rsidRPr="004C7089">
        <w:t xml:space="preserve"> compares these systemwide needs with the resources procured in FCA 13, accounting for the future levels of BTM PV (Section </w:t>
      </w:r>
      <w:r w:rsidR="0080457A">
        <w:fldChar w:fldCharType="begin"/>
      </w:r>
      <w:r w:rsidR="0080457A">
        <w:instrText xml:space="preserve"> REF _Ref11051059 \r \h </w:instrText>
      </w:r>
      <w:r w:rsidR="0080457A">
        <w:fldChar w:fldCharType="separate"/>
      </w:r>
      <w:r w:rsidR="005D0B73">
        <w:t>3.3</w:t>
      </w:r>
      <w:r w:rsidR="0080457A">
        <w:fldChar w:fldCharType="end"/>
      </w:r>
      <w:r w:rsidRPr="004C7089">
        <w:t xml:space="preserve">), and the future levels of energy-efficiency resources (Section </w:t>
      </w:r>
      <w:r w:rsidR="0080457A">
        <w:fldChar w:fldCharType="begin"/>
      </w:r>
      <w:r w:rsidR="0080457A">
        <w:instrText xml:space="preserve"> REF _Ref387327848 \r \h </w:instrText>
      </w:r>
      <w:r w:rsidR="0080457A">
        <w:fldChar w:fldCharType="separate"/>
      </w:r>
      <w:r w:rsidR="005D0B73">
        <w:t>3.2</w:t>
      </w:r>
      <w:r w:rsidR="0080457A">
        <w:fldChar w:fldCharType="end"/>
      </w:r>
      <w:r w:rsidRPr="004C7089">
        <w:t xml:space="preserve">). The projection of systemwide capacity needs assumes that all resources with CSOs through FCA 13 are in commercial operation by June 1, 2022, and that they remain in service through the 2028/2029 commitment period. </w:t>
      </w:r>
    </w:p>
    <w:p w14:paraId="34438A85" w14:textId="6F51FBF1" w:rsidR="004C7089" w:rsidRPr="004C7089" w:rsidRDefault="004C7089" w:rsidP="004C7089">
      <w:pPr>
        <w:spacing w:after="200" w:line="276" w:lineRule="auto"/>
      </w:pPr>
      <w:r w:rsidRPr="004C7089">
        <w:t xml:space="preserve">As shown in </w:t>
      </w:r>
      <w:r w:rsidRPr="004C7089">
        <w:fldChar w:fldCharType="begin"/>
      </w:r>
      <w:r w:rsidRPr="004C7089">
        <w:instrText xml:space="preserve"> REF _Ref325445701 \h  \* MERGEFORMAT </w:instrText>
      </w:r>
      <w:r w:rsidRPr="004C7089">
        <w:fldChar w:fldCharType="separate"/>
      </w:r>
      <w:r w:rsidR="005D0B73" w:rsidRPr="005D0B73">
        <w:rPr>
          <w:bCs/>
          <w:szCs w:val="18"/>
        </w:rPr>
        <w:t>Table 4</w:t>
      </w:r>
      <w:r w:rsidR="005D0B73" w:rsidRPr="005D0B73">
        <w:rPr>
          <w:bCs/>
          <w:szCs w:val="18"/>
        </w:rPr>
        <w:noBreakHyphen/>
        <w:t>5</w:t>
      </w:r>
      <w:r w:rsidRPr="004C7089">
        <w:fldChar w:fldCharType="end"/>
      </w:r>
      <w:r w:rsidRPr="004C7089">
        <w:t xml:space="preserve">, New England will be approximately 2,300 MW to 2,500 MW above net ICR during the 2024/2025 through 2028/2029 capacity commitment periods. This assumes that the projected load and capacity assumptions materialize, no additional retirements occur, and newly proposed resources are in service in accordance with their projected construction schedules. Even if additional resources were to retire, such as Mystic 8 and 9 totaling 1,413 MW, the ISO anticipates meeting the net ICR requirement because sufficient resources exist, EE resources have been forecasted, and additional resources have been proposed in the interconnection queue. The ISO monitors closely the build out of all new, noncommercial resources in anticipation that some may be early or others late. To date, the tendency has been toward new demand resources and renewables being available as much as a year in advance of their expected in-service date, while large-sized generation (e.g., </w:t>
      </w:r>
      <w:r w:rsidR="00801D7D">
        <w:t xml:space="preserve">CC </w:t>
      </w:r>
      <w:r w:rsidRPr="004C7089">
        <w:t xml:space="preserve">generators) has been delayed due to permitting issues and construction delays. </w:t>
      </w:r>
    </w:p>
    <w:p w14:paraId="1E25D5B4" w14:textId="15DE7CFA" w:rsidR="004C7089" w:rsidRPr="004C7089" w:rsidRDefault="004C7089" w:rsidP="004C7089">
      <w:pPr>
        <w:keepNext/>
        <w:keepLines/>
        <w:spacing w:after="120" w:line="240" w:lineRule="auto"/>
        <w:ind w:left="547" w:right="547"/>
        <w:jc w:val="center"/>
        <w:rPr>
          <w:rFonts w:ascii="Calibri" w:hAnsi="Calibri"/>
          <w:b/>
          <w:bCs/>
          <w:szCs w:val="18"/>
        </w:rPr>
      </w:pPr>
      <w:bookmarkStart w:id="427" w:name="_Ref325445701"/>
      <w:bookmarkStart w:id="428" w:name="_Toc330401259"/>
      <w:bookmarkStart w:id="429" w:name="_Toc334541932"/>
      <w:bookmarkStart w:id="430" w:name="_Toc334541969"/>
      <w:bookmarkStart w:id="431" w:name="_Toc365440708"/>
      <w:bookmarkStart w:id="432" w:name="_Toc391985608"/>
      <w:bookmarkStart w:id="433" w:name="_Toc481053564"/>
      <w:bookmarkStart w:id="434" w:name="_Toc491244009"/>
      <w:bookmarkStart w:id="435" w:name="_Toc12795336"/>
      <w:r w:rsidRPr="004C7089">
        <w:rPr>
          <w:rFonts w:ascii="Calibri" w:hAnsi="Calibri"/>
          <w:b/>
          <w:bCs/>
          <w:szCs w:val="18"/>
        </w:rPr>
        <w:t>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bookmarkEnd w:id="427"/>
      <w:r w:rsidRPr="004C7089">
        <w:rPr>
          <w:rFonts w:ascii="Calibri" w:hAnsi="Calibri"/>
          <w:b/>
          <w:bCs/>
          <w:szCs w:val="18"/>
        </w:rPr>
        <w:t xml:space="preserve"> </w:t>
      </w:r>
      <w:r w:rsidRPr="004C7089">
        <w:rPr>
          <w:rFonts w:ascii="Calibri" w:hAnsi="Calibri"/>
          <w:b/>
          <w:bCs/>
          <w:szCs w:val="18"/>
        </w:rPr>
        <w:br/>
        <w:t>Future Systemwide Needs (MW)</w:t>
      </w:r>
      <w:bookmarkEnd w:id="428"/>
      <w:bookmarkEnd w:id="429"/>
      <w:bookmarkEnd w:id="430"/>
      <w:bookmarkEnd w:id="431"/>
      <w:bookmarkEnd w:id="432"/>
      <w:bookmarkEnd w:id="433"/>
      <w:bookmarkEnd w:id="434"/>
      <w:bookmarkEnd w:id="435"/>
    </w:p>
    <w:tbl>
      <w:tblPr>
        <w:tblStyle w:val="TableGrid2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340"/>
        <w:gridCol w:w="1573"/>
        <w:gridCol w:w="1748"/>
        <w:gridCol w:w="1301"/>
        <w:gridCol w:w="1671"/>
      </w:tblGrid>
      <w:tr w:rsidR="004C7089" w:rsidRPr="004C7089" w14:paraId="769752AD" w14:textId="77777777" w:rsidTr="004C7089">
        <w:trPr>
          <w:jc w:val="center"/>
        </w:trPr>
        <w:tc>
          <w:tcPr>
            <w:tcW w:w="1283" w:type="dxa"/>
            <w:shd w:val="clear" w:color="auto" w:fill="1795D2" w:themeFill="accent1"/>
            <w:tcMar>
              <w:top w:w="14" w:type="dxa"/>
              <w:left w:w="115" w:type="dxa"/>
              <w:bottom w:w="14" w:type="dxa"/>
              <w:right w:w="115" w:type="dxa"/>
            </w:tcMar>
            <w:vAlign w:val="center"/>
          </w:tcPr>
          <w:p w14:paraId="2C841583" w14:textId="77777777"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Year</w:t>
            </w:r>
          </w:p>
        </w:tc>
        <w:tc>
          <w:tcPr>
            <w:tcW w:w="1370" w:type="dxa"/>
            <w:shd w:val="clear" w:color="auto" w:fill="1795D2" w:themeFill="accent1"/>
            <w:tcMar>
              <w:top w:w="14" w:type="dxa"/>
              <w:left w:w="115" w:type="dxa"/>
              <w:bottom w:w="14" w:type="dxa"/>
              <w:right w:w="115" w:type="dxa"/>
            </w:tcMar>
            <w:vAlign w:val="center"/>
          </w:tcPr>
          <w:p w14:paraId="623A0221" w14:textId="77777777"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50/50</w:t>
            </w:r>
            <w:r w:rsidRPr="004C7089">
              <w:rPr>
                <w:rFonts w:asciiTheme="majorHAnsi" w:hAnsiTheme="majorHAnsi"/>
                <w:b/>
                <w:color w:val="FFFFFF" w:themeColor="background1"/>
                <w:sz w:val="18"/>
                <w:szCs w:val="18"/>
              </w:rPr>
              <w:br/>
              <w:t>Peak Load</w:t>
            </w:r>
            <w:r w:rsidRPr="004C7089">
              <w:rPr>
                <w:rFonts w:asciiTheme="majorHAnsi" w:hAnsiTheme="majorHAnsi"/>
                <w:b/>
                <w:color w:val="FFFFFF" w:themeColor="background1"/>
                <w:sz w:val="18"/>
                <w:szCs w:val="18"/>
                <w:vertAlign w:val="superscript"/>
              </w:rPr>
              <w:t>(a)</w:t>
            </w:r>
          </w:p>
        </w:tc>
        <w:tc>
          <w:tcPr>
            <w:tcW w:w="1584" w:type="dxa"/>
            <w:shd w:val="clear" w:color="auto" w:fill="1795D2" w:themeFill="accent1"/>
            <w:tcMar>
              <w:top w:w="14" w:type="dxa"/>
              <w:left w:w="115" w:type="dxa"/>
              <w:bottom w:w="14" w:type="dxa"/>
              <w:right w:w="115" w:type="dxa"/>
            </w:tcMar>
            <w:vAlign w:val="center"/>
          </w:tcPr>
          <w:p w14:paraId="66708706" w14:textId="77777777"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Representative Net ICR (Need)</w:t>
            </w:r>
          </w:p>
        </w:tc>
        <w:tc>
          <w:tcPr>
            <w:tcW w:w="1778" w:type="dxa"/>
            <w:shd w:val="clear" w:color="auto" w:fill="1795D2" w:themeFill="accent1"/>
            <w:tcMar>
              <w:top w:w="14" w:type="dxa"/>
              <w:left w:w="115" w:type="dxa"/>
              <w:bottom w:w="14" w:type="dxa"/>
              <w:right w:w="115" w:type="dxa"/>
            </w:tcMar>
            <w:vAlign w:val="center"/>
          </w:tcPr>
          <w:p w14:paraId="05F8E59F" w14:textId="77777777"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FCA 13</w:t>
            </w:r>
            <w:r w:rsidRPr="004C7089">
              <w:rPr>
                <w:rFonts w:asciiTheme="majorHAnsi" w:hAnsiTheme="majorHAnsi"/>
                <w:b/>
                <w:color w:val="FFFFFF" w:themeColor="background1"/>
                <w:sz w:val="18"/>
                <w:szCs w:val="18"/>
              </w:rPr>
              <w:br/>
              <w:t>(Known Resources)</w:t>
            </w:r>
            <w:r w:rsidRPr="004C7089">
              <w:rPr>
                <w:rFonts w:asciiTheme="majorHAnsi" w:hAnsiTheme="majorHAnsi"/>
                <w:b/>
                <w:color w:val="FFFFFF" w:themeColor="background1"/>
                <w:sz w:val="18"/>
                <w:szCs w:val="18"/>
                <w:vertAlign w:val="superscript"/>
              </w:rPr>
              <w:t>(b)</w:t>
            </w:r>
          </w:p>
        </w:tc>
        <w:tc>
          <w:tcPr>
            <w:tcW w:w="1308" w:type="dxa"/>
            <w:shd w:val="clear" w:color="auto" w:fill="1795D2" w:themeFill="accent1"/>
            <w:tcMar>
              <w:top w:w="14" w:type="dxa"/>
              <w:left w:w="115" w:type="dxa"/>
              <w:bottom w:w="14" w:type="dxa"/>
              <w:right w:w="115" w:type="dxa"/>
            </w:tcMar>
            <w:vAlign w:val="center"/>
          </w:tcPr>
          <w:p w14:paraId="388DC294" w14:textId="77777777" w:rsidR="004C7089" w:rsidRPr="004C7089" w:rsidRDefault="004C7089" w:rsidP="004C7089">
            <w:pPr>
              <w:keepNext/>
              <w:keepLines/>
              <w:spacing w:before="40" w:after="40" w:line="240" w:lineRule="auto"/>
              <w:jc w:val="center"/>
              <w:rPr>
                <w:rFonts w:asciiTheme="majorHAnsi" w:hAnsiTheme="majorHAnsi"/>
                <w:b/>
                <w:bCs/>
                <w:color w:val="FFFFFF" w:themeColor="background1"/>
                <w:sz w:val="18"/>
                <w:szCs w:val="18"/>
              </w:rPr>
            </w:pPr>
            <w:r w:rsidRPr="004C7089">
              <w:rPr>
                <w:rFonts w:asciiTheme="majorHAnsi" w:hAnsiTheme="majorHAnsi"/>
                <w:b/>
                <w:color w:val="FFFFFF" w:themeColor="background1"/>
                <w:sz w:val="18"/>
                <w:szCs w:val="18"/>
              </w:rPr>
              <w:t>EE Forecast</w:t>
            </w:r>
            <w:r w:rsidRPr="004C7089">
              <w:rPr>
                <w:rFonts w:asciiTheme="majorHAnsi" w:hAnsiTheme="majorHAnsi"/>
                <w:b/>
                <w:color w:val="FFFFFF" w:themeColor="background1"/>
                <w:sz w:val="18"/>
                <w:szCs w:val="18"/>
              </w:rPr>
              <w:br/>
              <w:t>(New Resources)</w:t>
            </w:r>
            <w:r w:rsidRPr="004C7089">
              <w:rPr>
                <w:rFonts w:asciiTheme="majorHAnsi" w:hAnsiTheme="majorHAnsi"/>
                <w:b/>
                <w:color w:val="FFFFFF" w:themeColor="background1"/>
                <w:sz w:val="18"/>
                <w:szCs w:val="18"/>
                <w:vertAlign w:val="superscript"/>
              </w:rPr>
              <w:t>(c)</w:t>
            </w:r>
          </w:p>
        </w:tc>
        <w:tc>
          <w:tcPr>
            <w:tcW w:w="1671" w:type="dxa"/>
            <w:shd w:val="clear" w:color="auto" w:fill="1795D2" w:themeFill="accent1"/>
            <w:tcMar>
              <w:top w:w="14" w:type="dxa"/>
              <w:left w:w="115" w:type="dxa"/>
              <w:bottom w:w="14" w:type="dxa"/>
              <w:right w:w="115" w:type="dxa"/>
            </w:tcMar>
            <w:vAlign w:val="center"/>
          </w:tcPr>
          <w:p w14:paraId="316E7BFC" w14:textId="77777777" w:rsidR="004C7089" w:rsidRPr="004C7089" w:rsidRDefault="004C7089" w:rsidP="004C7089">
            <w:pPr>
              <w:keepNext/>
              <w:keepLines/>
              <w:spacing w:before="40" w:after="40" w:line="240" w:lineRule="auto"/>
              <w:jc w:val="center"/>
              <w:rPr>
                <w:rFonts w:asciiTheme="majorHAnsi" w:hAnsiTheme="majorHAnsi"/>
                <w:b/>
                <w:color w:val="FFFFFF" w:themeColor="background1"/>
                <w:sz w:val="18"/>
                <w:szCs w:val="18"/>
              </w:rPr>
            </w:pPr>
            <w:r w:rsidRPr="004C7089">
              <w:rPr>
                <w:rFonts w:asciiTheme="majorHAnsi" w:hAnsiTheme="majorHAnsi"/>
                <w:b/>
                <w:color w:val="FFFFFF" w:themeColor="background1"/>
                <w:sz w:val="18"/>
                <w:szCs w:val="18"/>
              </w:rPr>
              <w:t>Resource Surplus/Shortage</w:t>
            </w:r>
            <w:r w:rsidRPr="004C7089">
              <w:rPr>
                <w:rFonts w:asciiTheme="majorHAnsi" w:hAnsiTheme="majorHAnsi"/>
                <w:b/>
                <w:color w:val="FFFFFF" w:themeColor="background1"/>
                <w:sz w:val="18"/>
                <w:szCs w:val="18"/>
                <w:vertAlign w:val="superscript"/>
              </w:rPr>
              <w:t>(d)</w:t>
            </w:r>
          </w:p>
        </w:tc>
      </w:tr>
      <w:tr w:rsidR="004C7089" w:rsidRPr="004C7089" w14:paraId="035D41E2" w14:textId="77777777" w:rsidTr="004C7089">
        <w:trPr>
          <w:jc w:val="center"/>
        </w:trPr>
        <w:tc>
          <w:tcPr>
            <w:tcW w:w="1283" w:type="dxa"/>
            <w:shd w:val="clear" w:color="auto" w:fill="C4EBFB" w:themeFill="background2" w:themeFillTint="66"/>
            <w:tcMar>
              <w:top w:w="14" w:type="dxa"/>
              <w:left w:w="115" w:type="dxa"/>
              <w:bottom w:w="14" w:type="dxa"/>
              <w:right w:w="115" w:type="dxa"/>
            </w:tcMar>
            <w:vAlign w:val="center"/>
          </w:tcPr>
          <w:p w14:paraId="264BB8C6" w14:textId="77777777" w:rsidR="004C7089" w:rsidRPr="004C7089" w:rsidRDefault="004C7089" w:rsidP="004C7089">
            <w:pPr>
              <w:keepNext/>
              <w:keepLines/>
              <w:spacing w:before="40" w:after="40" w:line="240" w:lineRule="auto"/>
              <w:rPr>
                <w:rFonts w:asciiTheme="majorHAnsi" w:hAnsiTheme="majorHAnsi"/>
                <w:b/>
                <w:sz w:val="18"/>
                <w:szCs w:val="18"/>
              </w:rPr>
            </w:pPr>
            <w:bookmarkStart w:id="436" w:name="OLE_LINK1"/>
            <w:r w:rsidRPr="004C7089">
              <w:rPr>
                <w:rFonts w:asciiTheme="majorHAnsi" w:hAnsiTheme="majorHAnsi"/>
                <w:b/>
                <w:sz w:val="18"/>
                <w:szCs w:val="18"/>
              </w:rPr>
              <w:t>2024/2025</w:t>
            </w:r>
          </w:p>
        </w:tc>
        <w:tc>
          <w:tcPr>
            <w:tcW w:w="1370" w:type="dxa"/>
            <w:shd w:val="clear" w:color="auto" w:fill="C4EBFB" w:themeFill="background2" w:themeFillTint="66"/>
            <w:tcMar>
              <w:top w:w="14" w:type="dxa"/>
              <w:left w:w="58" w:type="dxa"/>
              <w:bottom w:w="14" w:type="dxa"/>
              <w:right w:w="216" w:type="dxa"/>
            </w:tcMar>
          </w:tcPr>
          <w:p w14:paraId="41FC5C92"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29,014</w:t>
            </w:r>
          </w:p>
        </w:tc>
        <w:tc>
          <w:tcPr>
            <w:tcW w:w="1584" w:type="dxa"/>
            <w:shd w:val="clear" w:color="auto" w:fill="C4EBFB" w:themeFill="background2" w:themeFillTint="66"/>
            <w:tcMar>
              <w:top w:w="14" w:type="dxa"/>
              <w:left w:w="58" w:type="dxa"/>
              <w:bottom w:w="14" w:type="dxa"/>
              <w:right w:w="216" w:type="dxa"/>
            </w:tcMar>
            <w:vAlign w:val="center"/>
          </w:tcPr>
          <w:p w14:paraId="09782250"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Arial"/>
                <w:bCs/>
                <w:sz w:val="18"/>
                <w:szCs w:val="18"/>
              </w:rPr>
              <w:t>32,950</w:t>
            </w:r>
          </w:p>
        </w:tc>
        <w:tc>
          <w:tcPr>
            <w:tcW w:w="1778" w:type="dxa"/>
            <w:shd w:val="clear" w:color="auto" w:fill="C4EBFB" w:themeFill="background2" w:themeFillTint="66"/>
            <w:tcMar>
              <w:top w:w="14" w:type="dxa"/>
              <w:left w:w="58" w:type="dxa"/>
              <w:bottom w:w="14" w:type="dxa"/>
              <w:right w:w="216" w:type="dxa"/>
            </w:tcMar>
            <w:vAlign w:val="center"/>
          </w:tcPr>
          <w:p w14:paraId="60C8FF4C"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14:paraId="19F6F535"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37" w:name="_Toc354744599"/>
            <w:r w:rsidRPr="004C7089">
              <w:rPr>
                <w:rFonts w:asciiTheme="majorHAnsi" w:hAnsiTheme="majorHAnsi"/>
                <w:sz w:val="18"/>
                <w:szCs w:val="18"/>
              </w:rPr>
              <w:t>581</w:t>
            </w:r>
            <w:bookmarkEnd w:id="437"/>
          </w:p>
        </w:tc>
        <w:tc>
          <w:tcPr>
            <w:tcW w:w="1671" w:type="dxa"/>
            <w:shd w:val="clear" w:color="auto" w:fill="C4EBFB" w:themeFill="background2" w:themeFillTint="66"/>
            <w:tcMar>
              <w:top w:w="14" w:type="dxa"/>
              <w:left w:w="58" w:type="dxa"/>
              <w:bottom w:w="14" w:type="dxa"/>
              <w:right w:w="216" w:type="dxa"/>
            </w:tcMar>
            <w:vAlign w:val="center"/>
          </w:tcPr>
          <w:p w14:paraId="3229A9A1"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38" w:name="RANGE!J13"/>
            <w:bookmarkStart w:id="439" w:name="_Toc354744600"/>
            <w:r w:rsidRPr="004C7089">
              <w:rPr>
                <w:rFonts w:asciiTheme="majorHAnsi" w:hAnsiTheme="majorHAnsi" w:cs="Calibri"/>
                <w:sz w:val="18"/>
                <w:szCs w:val="18"/>
              </w:rPr>
              <w:t>2,470</w:t>
            </w:r>
            <w:bookmarkEnd w:id="438"/>
            <w:bookmarkEnd w:id="439"/>
          </w:p>
        </w:tc>
      </w:tr>
      <w:tr w:rsidR="004C7089" w:rsidRPr="004C7089" w14:paraId="53F37484" w14:textId="77777777" w:rsidTr="004C7089">
        <w:trPr>
          <w:jc w:val="center"/>
        </w:trPr>
        <w:tc>
          <w:tcPr>
            <w:tcW w:w="1283" w:type="dxa"/>
            <w:shd w:val="clear" w:color="auto" w:fill="FFFFFF" w:themeFill="background1"/>
            <w:tcMar>
              <w:top w:w="14" w:type="dxa"/>
              <w:left w:w="115" w:type="dxa"/>
              <w:bottom w:w="14" w:type="dxa"/>
              <w:right w:w="115" w:type="dxa"/>
            </w:tcMar>
            <w:vAlign w:val="center"/>
          </w:tcPr>
          <w:p w14:paraId="2BB53E04" w14:textId="77777777"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2025/2026</w:t>
            </w:r>
          </w:p>
        </w:tc>
        <w:tc>
          <w:tcPr>
            <w:tcW w:w="1370" w:type="dxa"/>
            <w:shd w:val="clear" w:color="auto" w:fill="FFFFFF" w:themeFill="background1"/>
            <w:tcMar>
              <w:top w:w="14" w:type="dxa"/>
              <w:left w:w="58" w:type="dxa"/>
              <w:bottom w:w="14" w:type="dxa"/>
              <w:right w:w="216" w:type="dxa"/>
            </w:tcMar>
          </w:tcPr>
          <w:p w14:paraId="6318DACB"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29,196</w:t>
            </w:r>
          </w:p>
        </w:tc>
        <w:tc>
          <w:tcPr>
            <w:tcW w:w="1584" w:type="dxa"/>
            <w:shd w:val="clear" w:color="auto" w:fill="FFFFFF" w:themeFill="background1"/>
            <w:tcMar>
              <w:top w:w="14" w:type="dxa"/>
              <w:left w:w="58" w:type="dxa"/>
              <w:bottom w:w="14" w:type="dxa"/>
              <w:right w:w="216" w:type="dxa"/>
            </w:tcMar>
            <w:vAlign w:val="center"/>
          </w:tcPr>
          <w:p w14:paraId="4B8E988E" w14:textId="77777777"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33,165</w:t>
            </w:r>
          </w:p>
        </w:tc>
        <w:tc>
          <w:tcPr>
            <w:tcW w:w="1778" w:type="dxa"/>
            <w:shd w:val="clear" w:color="auto" w:fill="FFFFFF" w:themeFill="background1"/>
            <w:tcMar>
              <w:top w:w="14" w:type="dxa"/>
              <w:left w:w="58" w:type="dxa"/>
              <w:bottom w:w="14" w:type="dxa"/>
              <w:right w:w="216" w:type="dxa"/>
            </w:tcMar>
            <w:vAlign w:val="center"/>
          </w:tcPr>
          <w:p w14:paraId="387F4E43"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40" w:name="_Toc354744601"/>
            <w:r w:rsidRPr="004C7089">
              <w:rPr>
                <w:rFonts w:asciiTheme="majorHAnsi" w:hAnsiTheme="majorHAnsi"/>
                <w:sz w:val="18"/>
                <w:szCs w:val="18"/>
              </w:rPr>
              <w:t>34,839</w:t>
            </w:r>
            <w:bookmarkEnd w:id="440"/>
          </w:p>
        </w:tc>
        <w:tc>
          <w:tcPr>
            <w:tcW w:w="1308" w:type="dxa"/>
            <w:shd w:val="clear" w:color="auto" w:fill="FFFFFF" w:themeFill="background1"/>
            <w:tcMar>
              <w:top w:w="14" w:type="dxa"/>
              <w:left w:w="58" w:type="dxa"/>
              <w:bottom w:w="14" w:type="dxa"/>
              <w:right w:w="216" w:type="dxa"/>
            </w:tcMar>
            <w:vAlign w:val="bottom"/>
          </w:tcPr>
          <w:p w14:paraId="06EA2F8B"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817</w:t>
            </w:r>
          </w:p>
        </w:tc>
        <w:tc>
          <w:tcPr>
            <w:tcW w:w="1671" w:type="dxa"/>
            <w:shd w:val="clear" w:color="auto" w:fill="FFFFFF" w:themeFill="background1"/>
            <w:tcMar>
              <w:top w:w="14" w:type="dxa"/>
              <w:left w:w="58" w:type="dxa"/>
              <w:bottom w:w="14" w:type="dxa"/>
              <w:right w:w="216" w:type="dxa"/>
            </w:tcMar>
            <w:vAlign w:val="center"/>
          </w:tcPr>
          <w:p w14:paraId="612E9ABF"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41" w:name="RANGE!J14"/>
            <w:bookmarkStart w:id="442" w:name="_Toc354744603"/>
            <w:r w:rsidRPr="004C7089">
              <w:rPr>
                <w:rFonts w:asciiTheme="majorHAnsi" w:hAnsiTheme="majorHAnsi" w:cs="Calibri"/>
                <w:color w:val="000000"/>
                <w:sz w:val="18"/>
                <w:szCs w:val="18"/>
              </w:rPr>
              <w:t>2,491</w:t>
            </w:r>
            <w:bookmarkEnd w:id="441"/>
            <w:bookmarkEnd w:id="442"/>
          </w:p>
        </w:tc>
      </w:tr>
      <w:tr w:rsidR="004C7089" w:rsidRPr="004C7089" w14:paraId="5C079E10" w14:textId="77777777" w:rsidTr="004C7089">
        <w:trPr>
          <w:jc w:val="center"/>
        </w:trPr>
        <w:tc>
          <w:tcPr>
            <w:tcW w:w="1283" w:type="dxa"/>
            <w:shd w:val="clear" w:color="auto" w:fill="C4EBFB" w:themeFill="background2" w:themeFillTint="66"/>
            <w:tcMar>
              <w:top w:w="14" w:type="dxa"/>
              <w:left w:w="115" w:type="dxa"/>
              <w:bottom w:w="14" w:type="dxa"/>
              <w:right w:w="115" w:type="dxa"/>
            </w:tcMar>
            <w:vAlign w:val="center"/>
          </w:tcPr>
          <w:p w14:paraId="3DC9D1B5" w14:textId="77777777"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2026/2027</w:t>
            </w:r>
          </w:p>
        </w:tc>
        <w:tc>
          <w:tcPr>
            <w:tcW w:w="1370" w:type="dxa"/>
            <w:shd w:val="clear" w:color="auto" w:fill="C4EBFB" w:themeFill="background2" w:themeFillTint="66"/>
            <w:tcMar>
              <w:top w:w="14" w:type="dxa"/>
              <w:left w:w="58" w:type="dxa"/>
              <w:bottom w:w="14" w:type="dxa"/>
              <w:right w:w="216" w:type="dxa"/>
            </w:tcMar>
          </w:tcPr>
          <w:p w14:paraId="027ED9DC"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29,382</w:t>
            </w:r>
          </w:p>
        </w:tc>
        <w:tc>
          <w:tcPr>
            <w:tcW w:w="1584" w:type="dxa"/>
            <w:shd w:val="clear" w:color="auto" w:fill="C4EBFB" w:themeFill="background2" w:themeFillTint="66"/>
            <w:tcMar>
              <w:top w:w="14" w:type="dxa"/>
              <w:left w:w="58" w:type="dxa"/>
              <w:bottom w:w="14" w:type="dxa"/>
              <w:right w:w="216" w:type="dxa"/>
            </w:tcMar>
            <w:vAlign w:val="center"/>
          </w:tcPr>
          <w:p w14:paraId="57787CE0" w14:textId="77777777"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33,390</w:t>
            </w:r>
          </w:p>
        </w:tc>
        <w:tc>
          <w:tcPr>
            <w:tcW w:w="1778" w:type="dxa"/>
            <w:shd w:val="clear" w:color="auto" w:fill="C4EBFB" w:themeFill="background2" w:themeFillTint="66"/>
            <w:tcMar>
              <w:top w:w="14" w:type="dxa"/>
              <w:left w:w="58" w:type="dxa"/>
              <w:bottom w:w="14" w:type="dxa"/>
              <w:right w:w="216" w:type="dxa"/>
            </w:tcMar>
            <w:vAlign w:val="center"/>
          </w:tcPr>
          <w:p w14:paraId="445B80CF"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43" w:name="_Toc354744604"/>
            <w:r w:rsidRPr="004C7089">
              <w:rPr>
                <w:rFonts w:asciiTheme="majorHAnsi" w:hAnsiTheme="majorHAnsi"/>
                <w:sz w:val="18"/>
                <w:szCs w:val="18"/>
              </w:rPr>
              <w:t>34,839</w:t>
            </w:r>
            <w:bookmarkEnd w:id="443"/>
          </w:p>
        </w:tc>
        <w:tc>
          <w:tcPr>
            <w:tcW w:w="1308" w:type="dxa"/>
            <w:shd w:val="clear" w:color="auto" w:fill="C4EBFB" w:themeFill="background2" w:themeFillTint="66"/>
            <w:tcMar>
              <w:top w:w="14" w:type="dxa"/>
              <w:left w:w="58" w:type="dxa"/>
              <w:bottom w:w="14" w:type="dxa"/>
              <w:right w:w="216" w:type="dxa"/>
            </w:tcMar>
            <w:vAlign w:val="bottom"/>
          </w:tcPr>
          <w:p w14:paraId="0569511B"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44" w:name="_Toc354744605"/>
            <w:r w:rsidRPr="004C7089">
              <w:rPr>
                <w:rFonts w:asciiTheme="majorHAnsi" w:hAnsiTheme="majorHAnsi"/>
                <w:sz w:val="18"/>
                <w:szCs w:val="18"/>
              </w:rPr>
              <w:t>1,018</w:t>
            </w:r>
            <w:bookmarkEnd w:id="444"/>
          </w:p>
        </w:tc>
        <w:tc>
          <w:tcPr>
            <w:tcW w:w="1671" w:type="dxa"/>
            <w:shd w:val="clear" w:color="auto" w:fill="C4EBFB" w:themeFill="background2" w:themeFillTint="66"/>
            <w:tcMar>
              <w:top w:w="14" w:type="dxa"/>
              <w:left w:w="58" w:type="dxa"/>
              <w:bottom w:w="14" w:type="dxa"/>
              <w:right w:w="216" w:type="dxa"/>
            </w:tcMar>
            <w:vAlign w:val="center"/>
          </w:tcPr>
          <w:p w14:paraId="34592C5C" w14:textId="77777777" w:rsidR="004C7089" w:rsidRPr="004C7089" w:rsidRDefault="004C7089" w:rsidP="004C7089">
            <w:pPr>
              <w:keepNext/>
              <w:keepLines/>
              <w:spacing w:before="40" w:after="40" w:line="240" w:lineRule="auto"/>
              <w:jc w:val="right"/>
              <w:rPr>
                <w:rFonts w:asciiTheme="majorHAnsi" w:hAnsiTheme="majorHAnsi"/>
                <w:sz w:val="18"/>
                <w:szCs w:val="18"/>
              </w:rPr>
            </w:pPr>
            <w:bookmarkStart w:id="445" w:name="RANGE!J15"/>
            <w:bookmarkStart w:id="446" w:name="_Toc354744606"/>
            <w:r w:rsidRPr="004C7089">
              <w:rPr>
                <w:rFonts w:asciiTheme="majorHAnsi" w:hAnsiTheme="majorHAnsi" w:cs="Calibri"/>
                <w:color w:val="000000"/>
                <w:sz w:val="18"/>
                <w:szCs w:val="18"/>
              </w:rPr>
              <w:t>2,467</w:t>
            </w:r>
            <w:bookmarkEnd w:id="445"/>
            <w:bookmarkEnd w:id="446"/>
          </w:p>
        </w:tc>
      </w:tr>
      <w:tr w:rsidR="004C7089" w:rsidRPr="004C7089" w14:paraId="6C3B1C21" w14:textId="77777777" w:rsidTr="004C7089">
        <w:trPr>
          <w:jc w:val="center"/>
        </w:trPr>
        <w:tc>
          <w:tcPr>
            <w:tcW w:w="1283" w:type="dxa"/>
            <w:shd w:val="clear" w:color="auto" w:fill="FFFFFF" w:themeFill="background1"/>
            <w:tcMar>
              <w:top w:w="14" w:type="dxa"/>
              <w:left w:w="115" w:type="dxa"/>
              <w:bottom w:w="14" w:type="dxa"/>
              <w:right w:w="115" w:type="dxa"/>
            </w:tcMar>
            <w:vAlign w:val="center"/>
          </w:tcPr>
          <w:p w14:paraId="2B47A115" w14:textId="77777777"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2027/2028</w:t>
            </w:r>
          </w:p>
        </w:tc>
        <w:tc>
          <w:tcPr>
            <w:tcW w:w="1370" w:type="dxa"/>
            <w:shd w:val="clear" w:color="auto" w:fill="FFFFFF" w:themeFill="background1"/>
            <w:tcMar>
              <w:top w:w="14" w:type="dxa"/>
              <w:left w:w="58" w:type="dxa"/>
              <w:bottom w:w="14" w:type="dxa"/>
              <w:right w:w="216" w:type="dxa"/>
            </w:tcMar>
          </w:tcPr>
          <w:p w14:paraId="75FB713A" w14:textId="77777777"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29,576</w:t>
            </w:r>
          </w:p>
        </w:tc>
        <w:tc>
          <w:tcPr>
            <w:tcW w:w="1584" w:type="dxa"/>
            <w:shd w:val="clear" w:color="auto" w:fill="FFFFFF" w:themeFill="background1"/>
            <w:tcMar>
              <w:top w:w="14" w:type="dxa"/>
              <w:left w:w="58" w:type="dxa"/>
              <w:bottom w:w="14" w:type="dxa"/>
              <w:right w:w="216" w:type="dxa"/>
            </w:tcMar>
          </w:tcPr>
          <w:p w14:paraId="4A33ACAA" w14:textId="77777777"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33,625</w:t>
            </w:r>
          </w:p>
        </w:tc>
        <w:tc>
          <w:tcPr>
            <w:tcW w:w="1778" w:type="dxa"/>
            <w:shd w:val="clear" w:color="auto" w:fill="FFFFFF" w:themeFill="background1"/>
            <w:tcMar>
              <w:top w:w="14" w:type="dxa"/>
              <w:left w:w="58" w:type="dxa"/>
              <w:bottom w:w="14" w:type="dxa"/>
              <w:right w:w="216" w:type="dxa"/>
            </w:tcMar>
            <w:vAlign w:val="center"/>
          </w:tcPr>
          <w:p w14:paraId="3B73D37E" w14:textId="77777777"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sz w:val="18"/>
                <w:szCs w:val="18"/>
              </w:rPr>
              <w:t>34,839</w:t>
            </w:r>
          </w:p>
        </w:tc>
        <w:tc>
          <w:tcPr>
            <w:tcW w:w="1308" w:type="dxa"/>
            <w:shd w:val="clear" w:color="auto" w:fill="FFFFFF" w:themeFill="background1"/>
            <w:tcMar>
              <w:top w:w="14" w:type="dxa"/>
              <w:left w:w="58" w:type="dxa"/>
              <w:bottom w:w="14" w:type="dxa"/>
              <w:right w:w="216" w:type="dxa"/>
            </w:tcMar>
            <w:vAlign w:val="bottom"/>
          </w:tcPr>
          <w:p w14:paraId="65856B87"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1,185</w:t>
            </w:r>
          </w:p>
        </w:tc>
        <w:tc>
          <w:tcPr>
            <w:tcW w:w="1671" w:type="dxa"/>
            <w:shd w:val="clear" w:color="auto" w:fill="FFFFFF" w:themeFill="background1"/>
            <w:tcMar>
              <w:top w:w="14" w:type="dxa"/>
              <w:left w:w="58" w:type="dxa"/>
              <w:bottom w:w="14" w:type="dxa"/>
              <w:right w:w="216" w:type="dxa"/>
            </w:tcMar>
            <w:vAlign w:val="center"/>
          </w:tcPr>
          <w:p w14:paraId="4A7B0351" w14:textId="77777777" w:rsidR="004C7089" w:rsidRPr="004C7089" w:rsidRDefault="004C7089" w:rsidP="004C7089">
            <w:pPr>
              <w:keepNext/>
              <w:keepLines/>
              <w:spacing w:before="40" w:after="40" w:line="240" w:lineRule="auto"/>
              <w:jc w:val="right"/>
              <w:rPr>
                <w:rFonts w:asciiTheme="majorHAnsi" w:hAnsiTheme="majorHAnsi"/>
                <w:b/>
                <w:sz w:val="18"/>
                <w:szCs w:val="18"/>
              </w:rPr>
            </w:pPr>
            <w:r w:rsidRPr="004C7089">
              <w:rPr>
                <w:rFonts w:asciiTheme="majorHAnsi" w:hAnsiTheme="majorHAnsi" w:cs="Calibri"/>
                <w:color w:val="000000"/>
                <w:sz w:val="18"/>
                <w:szCs w:val="18"/>
              </w:rPr>
              <w:t>2,399</w:t>
            </w:r>
          </w:p>
        </w:tc>
      </w:tr>
      <w:tr w:rsidR="004C7089" w:rsidRPr="004C7089" w14:paraId="0DDE02D2" w14:textId="77777777" w:rsidTr="004C7089">
        <w:trPr>
          <w:jc w:val="center"/>
        </w:trPr>
        <w:tc>
          <w:tcPr>
            <w:tcW w:w="1283" w:type="dxa"/>
            <w:shd w:val="clear" w:color="auto" w:fill="C4EBFB" w:themeFill="background2" w:themeFillTint="66"/>
            <w:tcMar>
              <w:top w:w="14" w:type="dxa"/>
              <w:left w:w="115" w:type="dxa"/>
              <w:bottom w:w="14" w:type="dxa"/>
              <w:right w:w="115" w:type="dxa"/>
            </w:tcMar>
            <w:vAlign w:val="center"/>
          </w:tcPr>
          <w:p w14:paraId="32B318CC" w14:textId="77777777" w:rsidR="004C7089" w:rsidRPr="004C7089" w:rsidRDefault="004C7089" w:rsidP="004C7089">
            <w:pPr>
              <w:keepNext/>
              <w:keepLines/>
              <w:spacing w:before="40" w:after="40" w:line="240" w:lineRule="auto"/>
              <w:rPr>
                <w:rFonts w:asciiTheme="majorHAnsi" w:hAnsiTheme="majorHAnsi"/>
                <w:b/>
                <w:sz w:val="18"/>
                <w:szCs w:val="18"/>
              </w:rPr>
            </w:pPr>
            <w:r w:rsidRPr="004C7089">
              <w:rPr>
                <w:rFonts w:asciiTheme="majorHAnsi" w:hAnsiTheme="majorHAnsi"/>
                <w:b/>
                <w:sz w:val="18"/>
                <w:szCs w:val="18"/>
              </w:rPr>
              <w:t>2028/2029</w:t>
            </w:r>
          </w:p>
        </w:tc>
        <w:tc>
          <w:tcPr>
            <w:tcW w:w="1370" w:type="dxa"/>
            <w:shd w:val="clear" w:color="auto" w:fill="C4EBFB" w:themeFill="background2" w:themeFillTint="66"/>
            <w:tcMar>
              <w:top w:w="14" w:type="dxa"/>
              <w:left w:w="58" w:type="dxa"/>
              <w:bottom w:w="14" w:type="dxa"/>
              <w:right w:w="216" w:type="dxa"/>
            </w:tcMar>
          </w:tcPr>
          <w:p w14:paraId="1BCB18DD" w14:textId="77777777"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sz w:val="18"/>
                <w:szCs w:val="18"/>
              </w:rPr>
              <w:t>29,781</w:t>
            </w:r>
          </w:p>
        </w:tc>
        <w:tc>
          <w:tcPr>
            <w:tcW w:w="1584" w:type="dxa"/>
            <w:shd w:val="clear" w:color="auto" w:fill="C4EBFB" w:themeFill="background2" w:themeFillTint="66"/>
            <w:tcMar>
              <w:top w:w="14" w:type="dxa"/>
              <w:left w:w="58" w:type="dxa"/>
              <w:bottom w:w="14" w:type="dxa"/>
              <w:right w:w="216" w:type="dxa"/>
            </w:tcMar>
          </w:tcPr>
          <w:p w14:paraId="59858617" w14:textId="77777777" w:rsidR="004C7089" w:rsidRPr="004C7089" w:rsidRDefault="004C7089" w:rsidP="004C7089">
            <w:pPr>
              <w:keepNext/>
              <w:keepLines/>
              <w:spacing w:before="40" w:after="40" w:line="240" w:lineRule="auto"/>
              <w:jc w:val="right"/>
              <w:rPr>
                <w:rFonts w:asciiTheme="majorHAnsi" w:hAnsiTheme="majorHAnsi" w:cs="Arial"/>
                <w:bCs/>
                <w:sz w:val="18"/>
                <w:szCs w:val="18"/>
              </w:rPr>
            </w:pPr>
            <w:r w:rsidRPr="004C7089">
              <w:rPr>
                <w:rFonts w:asciiTheme="majorHAnsi" w:hAnsiTheme="majorHAnsi" w:cs="Arial"/>
                <w:bCs/>
                <w:sz w:val="18"/>
                <w:szCs w:val="18"/>
              </w:rPr>
              <w:t>33,870</w:t>
            </w:r>
          </w:p>
        </w:tc>
        <w:tc>
          <w:tcPr>
            <w:tcW w:w="1778" w:type="dxa"/>
            <w:shd w:val="clear" w:color="auto" w:fill="C4EBFB" w:themeFill="background2" w:themeFillTint="66"/>
            <w:tcMar>
              <w:top w:w="14" w:type="dxa"/>
              <w:left w:w="58" w:type="dxa"/>
              <w:bottom w:w="14" w:type="dxa"/>
              <w:right w:w="216" w:type="dxa"/>
            </w:tcMar>
            <w:vAlign w:val="center"/>
          </w:tcPr>
          <w:p w14:paraId="7275F5D9"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34,839</w:t>
            </w:r>
          </w:p>
        </w:tc>
        <w:tc>
          <w:tcPr>
            <w:tcW w:w="1308" w:type="dxa"/>
            <w:shd w:val="clear" w:color="auto" w:fill="C4EBFB" w:themeFill="background2" w:themeFillTint="66"/>
            <w:tcMar>
              <w:top w:w="14" w:type="dxa"/>
              <w:left w:w="58" w:type="dxa"/>
              <w:bottom w:w="14" w:type="dxa"/>
              <w:right w:w="216" w:type="dxa"/>
            </w:tcMar>
            <w:vAlign w:val="bottom"/>
          </w:tcPr>
          <w:p w14:paraId="32656957"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sz w:val="18"/>
                <w:szCs w:val="18"/>
              </w:rPr>
              <w:t>1,322</w:t>
            </w:r>
          </w:p>
        </w:tc>
        <w:tc>
          <w:tcPr>
            <w:tcW w:w="1671" w:type="dxa"/>
            <w:shd w:val="clear" w:color="auto" w:fill="C4EBFB" w:themeFill="background2" w:themeFillTint="66"/>
            <w:tcMar>
              <w:top w:w="14" w:type="dxa"/>
              <w:left w:w="58" w:type="dxa"/>
              <w:bottom w:w="14" w:type="dxa"/>
              <w:right w:w="216" w:type="dxa"/>
            </w:tcMar>
            <w:vAlign w:val="center"/>
          </w:tcPr>
          <w:p w14:paraId="7786EA78" w14:textId="77777777" w:rsidR="004C7089" w:rsidRPr="004C7089" w:rsidRDefault="004C7089" w:rsidP="004C7089">
            <w:pPr>
              <w:keepNext/>
              <w:keepLines/>
              <w:spacing w:before="40" w:after="40" w:line="240" w:lineRule="auto"/>
              <w:jc w:val="right"/>
              <w:rPr>
                <w:rFonts w:asciiTheme="majorHAnsi" w:hAnsiTheme="majorHAnsi"/>
                <w:sz w:val="18"/>
                <w:szCs w:val="18"/>
              </w:rPr>
            </w:pPr>
            <w:r w:rsidRPr="004C7089">
              <w:rPr>
                <w:rFonts w:asciiTheme="majorHAnsi" w:hAnsiTheme="majorHAnsi" w:cs="Calibri"/>
                <w:color w:val="000000"/>
                <w:sz w:val="18"/>
                <w:szCs w:val="18"/>
              </w:rPr>
              <w:t>2,291</w:t>
            </w:r>
          </w:p>
        </w:tc>
      </w:tr>
    </w:tbl>
    <w:bookmarkEnd w:id="436"/>
    <w:p w14:paraId="191EE445" w14:textId="77777777" w:rsidR="004C7089" w:rsidRPr="004C7089" w:rsidRDefault="004C7089" w:rsidP="004C7089">
      <w:pPr>
        <w:spacing w:before="120" w:after="80" w:line="240" w:lineRule="auto"/>
        <w:ind w:left="270" w:right="90" w:hanging="270"/>
        <w:rPr>
          <w:rFonts w:asciiTheme="minorHAnsi" w:hAnsiTheme="minorHAnsi"/>
          <w:sz w:val="16"/>
          <w:szCs w:val="16"/>
        </w:rPr>
      </w:pPr>
      <w:r w:rsidRPr="004C7089">
        <w:rPr>
          <w:rFonts w:asciiTheme="minorHAnsi" w:hAnsiTheme="minorHAnsi"/>
          <w:sz w:val="16"/>
          <w:szCs w:val="16"/>
        </w:rPr>
        <w:t>(a)</w:t>
      </w:r>
      <w:r w:rsidRPr="004C7089">
        <w:rPr>
          <w:rFonts w:asciiTheme="minorHAnsi" w:hAnsiTheme="minorHAnsi"/>
          <w:sz w:val="16"/>
          <w:szCs w:val="16"/>
        </w:rPr>
        <w:tab/>
      </w:r>
      <w:r w:rsidRPr="004C7089">
        <w:rPr>
          <w:rFonts w:asciiTheme="minorHAnsi" w:hAnsiTheme="minorHAnsi" w:cs="Arial"/>
          <w:sz w:val="16"/>
          <w:szCs w:val="16"/>
        </w:rPr>
        <w:t xml:space="preserve">The 50/50 peak loads reflect forecasted BTM PV resources. </w:t>
      </w:r>
    </w:p>
    <w:p w14:paraId="5127E476" w14:textId="77777777" w:rsidR="004C7089" w:rsidRPr="004C7089" w:rsidRDefault="004C7089" w:rsidP="004C7089">
      <w:pPr>
        <w:spacing w:after="80" w:line="240" w:lineRule="auto"/>
        <w:ind w:left="274" w:hanging="274"/>
        <w:rPr>
          <w:color w:val="1F497D"/>
          <w:sz w:val="16"/>
          <w:szCs w:val="16"/>
        </w:rPr>
      </w:pPr>
      <w:r w:rsidRPr="004C7089">
        <w:rPr>
          <w:rFonts w:asciiTheme="minorHAnsi" w:hAnsiTheme="minorHAnsi"/>
          <w:sz w:val="16"/>
          <w:szCs w:val="16"/>
        </w:rPr>
        <w:t>(b)</w:t>
      </w:r>
      <w:r w:rsidRPr="004C7089">
        <w:rPr>
          <w:rFonts w:asciiTheme="minorHAnsi" w:hAnsiTheme="minorHAnsi"/>
          <w:sz w:val="16"/>
          <w:szCs w:val="16"/>
        </w:rPr>
        <w:tab/>
        <w:t xml:space="preserve">FCA 13 resource numbers are based on FCA 13 auction results, assuming no additional retirements, Mystic 8 and 9 resources continue to operate (with a CSO of 1,413 MW), and the same level of imports (i.e., most imports need to requalify for every auction). Details </w:t>
      </w:r>
      <w:r w:rsidR="003A2A43">
        <w:rPr>
          <w:rFonts w:asciiTheme="minorHAnsi" w:hAnsiTheme="minorHAnsi"/>
          <w:sz w:val="16"/>
          <w:szCs w:val="16"/>
        </w:rPr>
        <w:t xml:space="preserve">are </w:t>
      </w:r>
      <w:r w:rsidRPr="004C7089">
        <w:rPr>
          <w:rFonts w:asciiTheme="minorHAnsi" w:hAnsiTheme="minorHAnsi"/>
          <w:sz w:val="16"/>
          <w:szCs w:val="16"/>
        </w:rPr>
        <w:t xml:space="preserve">available at </w:t>
      </w:r>
      <w:hyperlink r:id="rId45" w:history="1">
        <w:r w:rsidRPr="004C7089">
          <w:rPr>
            <w:rFonts w:asciiTheme="minorHAnsi" w:hAnsiTheme="minorHAnsi"/>
            <w:color w:val="000000"/>
            <w:sz w:val="16"/>
            <w:szCs w:val="16"/>
          </w:rPr>
          <w:t>https://www.iso-ne.com/static-assets/documents/2018/11/public_er19-___-000_11-6-18_fca_13_info_filing.pdf</w:t>
        </w:r>
      </w:hyperlink>
      <w:r w:rsidRPr="004C7089">
        <w:rPr>
          <w:rFonts w:asciiTheme="minorHAnsi" w:hAnsiTheme="minorHAnsi"/>
          <w:sz w:val="16"/>
          <w:szCs w:val="16"/>
        </w:rPr>
        <w:t xml:space="preserve">. </w:t>
      </w:r>
    </w:p>
    <w:p w14:paraId="027461F5" w14:textId="77777777" w:rsidR="004C7089" w:rsidRPr="004C7089" w:rsidRDefault="004C7089" w:rsidP="004C7089">
      <w:pPr>
        <w:spacing w:after="80" w:line="240" w:lineRule="auto"/>
        <w:ind w:left="274" w:right="86" w:hanging="274"/>
        <w:rPr>
          <w:rFonts w:asciiTheme="majorHAnsi" w:hAnsiTheme="majorHAnsi"/>
          <w:sz w:val="16"/>
          <w:szCs w:val="16"/>
        </w:rPr>
      </w:pPr>
      <w:r w:rsidRPr="004C7089">
        <w:rPr>
          <w:rFonts w:asciiTheme="minorHAnsi" w:hAnsiTheme="minorHAnsi"/>
          <w:sz w:val="16"/>
          <w:szCs w:val="16"/>
        </w:rPr>
        <w:t xml:space="preserve">(c) </w:t>
      </w:r>
      <w:r w:rsidRPr="004C7089">
        <w:rPr>
          <w:rFonts w:asciiTheme="minorHAnsi" w:hAnsiTheme="minorHAnsi"/>
          <w:sz w:val="16"/>
          <w:szCs w:val="16"/>
        </w:rPr>
        <w:tab/>
        <w:t>EE cumulative forecast values are based on the 2019 EE forecast. Details are available at</w:t>
      </w:r>
      <w:r w:rsidRPr="004C7089">
        <w:rPr>
          <w:rFonts w:asciiTheme="majorHAnsi" w:hAnsiTheme="majorHAnsi"/>
          <w:sz w:val="16"/>
          <w:szCs w:val="16"/>
        </w:rPr>
        <w:t xml:space="preserve"> the ISO’s “Energy-Efficiency Forecast,” webpage (2019), </w:t>
      </w:r>
      <w:hyperlink r:id="rId46" w:history="1">
        <w:r w:rsidRPr="004C7089">
          <w:rPr>
            <w:rFonts w:asciiTheme="majorHAnsi" w:hAnsiTheme="majorHAnsi"/>
            <w:color w:val="000000"/>
            <w:sz w:val="16"/>
            <w:szCs w:val="16"/>
          </w:rPr>
          <w:t>https://www.iso-ne.com/system-planning/system-forecasting/energy-efficiency-forecast</w:t>
        </w:r>
      </w:hyperlink>
      <w:r w:rsidRPr="004C7089">
        <w:rPr>
          <w:rFonts w:asciiTheme="majorHAnsi" w:hAnsiTheme="majorHAnsi"/>
          <w:sz w:val="16"/>
          <w:szCs w:val="16"/>
        </w:rPr>
        <w:t>.</w:t>
      </w:r>
    </w:p>
    <w:p w14:paraId="45DE945F" w14:textId="77777777" w:rsidR="004C7089" w:rsidRPr="004C7089" w:rsidRDefault="004C7089" w:rsidP="004C7089">
      <w:pPr>
        <w:spacing w:line="240" w:lineRule="auto"/>
        <w:ind w:left="274" w:right="86" w:hanging="274"/>
        <w:rPr>
          <w:rFonts w:asciiTheme="minorHAnsi" w:hAnsiTheme="minorHAnsi"/>
          <w:sz w:val="16"/>
          <w:szCs w:val="16"/>
        </w:rPr>
      </w:pPr>
      <w:r w:rsidRPr="004C7089">
        <w:rPr>
          <w:rFonts w:asciiTheme="minorHAnsi" w:hAnsiTheme="minorHAnsi"/>
          <w:sz w:val="16"/>
          <w:szCs w:val="16"/>
        </w:rPr>
        <w:t xml:space="preserve">(d) </w:t>
      </w:r>
      <w:r w:rsidRPr="004C7089">
        <w:rPr>
          <w:rFonts w:asciiTheme="minorHAnsi" w:hAnsiTheme="minorHAnsi"/>
          <w:sz w:val="16"/>
          <w:szCs w:val="16"/>
        </w:rPr>
        <w:tab/>
        <w:t>Additional resources would be required if additional resources retired or less capacity imports obtained CSOs.</w:t>
      </w:r>
    </w:p>
    <w:p w14:paraId="06EEEC57" w14:textId="77777777" w:rsidR="004C7089" w:rsidRPr="004C7089" w:rsidRDefault="004C7089" w:rsidP="00367A18">
      <w:pPr>
        <w:pStyle w:val="Heading4"/>
      </w:pPr>
      <w:r w:rsidRPr="004C7089">
        <w:t>Summary of New Capacity and Delist Bids</w:t>
      </w:r>
    </w:p>
    <w:p w14:paraId="16ED7856" w14:textId="77777777" w:rsidR="004C7089" w:rsidRPr="004C7089" w:rsidRDefault="004C7089" w:rsidP="004C7089">
      <w:r w:rsidRPr="004C7089">
        <w:t>As part of the FCM rules, the ISO reviews each primary auction delist bid, SA demand bid, and reconfiguration auction demand bids to determine whether the capacity associated with the request to shed a CSO is needed for the reliability of the New England electric power system.</w:t>
      </w:r>
      <w:r w:rsidRPr="004C7089" w:rsidDel="00F86DFB">
        <w:t xml:space="preserve"> </w:t>
      </w:r>
      <w:r w:rsidRPr="004C7089">
        <w:t>All reviews are performed in accordance with ISO tariff, Section III.13.2.5.2.5</w:t>
      </w:r>
      <w:r w:rsidR="003A2A43">
        <w:t xml:space="preserve"> </w:t>
      </w:r>
      <w:r w:rsidRPr="004C7089">
        <w:t xml:space="preserve">and </w:t>
      </w:r>
      <w:r w:rsidR="00670766" w:rsidRPr="004C52AB">
        <w:t>PP 10</w:t>
      </w:r>
      <w:r w:rsidR="003A2A43">
        <w:t>,</w:t>
      </w:r>
      <w:r w:rsidR="00670766" w:rsidRPr="004C52AB">
        <w:t xml:space="preserve"> </w:t>
      </w:r>
      <w:r w:rsidRPr="004C7089">
        <w:t xml:space="preserve">Beginning in 2018, a reliability review will also include a fuel-security assessment. </w:t>
      </w:r>
    </w:p>
    <w:p w14:paraId="2F2E2D98" w14:textId="539FE6C3" w:rsidR="004C7089" w:rsidRDefault="004C7089" w:rsidP="004C7089">
      <w:r w:rsidRPr="004C7089">
        <w:lastRenderedPageBreak/>
        <w:t xml:space="preserve">As shown in </w:t>
      </w:r>
      <w:r w:rsidR="00776412" w:rsidRPr="00776412">
        <w:fldChar w:fldCharType="begin"/>
      </w:r>
      <w:r w:rsidR="00776412" w:rsidRPr="00776412">
        <w:instrText xml:space="preserve"> REF _Ref11051216 \h  \* MERGEFORMAT </w:instrText>
      </w:r>
      <w:r w:rsidR="00776412" w:rsidRPr="00776412">
        <w:fldChar w:fldCharType="separate"/>
      </w:r>
      <w:r w:rsidR="005D0B73" w:rsidRPr="005D0B73">
        <w:rPr>
          <w:bCs/>
          <w:szCs w:val="18"/>
        </w:rPr>
        <w:t>F</w:t>
      </w:r>
      <w:r w:rsidR="005D0B73" w:rsidRPr="005D0B73">
        <w:rPr>
          <w:bCs/>
        </w:rPr>
        <w:t>igure</w:t>
      </w:r>
      <w:r w:rsidR="005D0B73" w:rsidRPr="005D0B73">
        <w:rPr>
          <w:rStyle w:val="Caption-FigureChar"/>
          <w:rFonts w:ascii="Cambria" w:hAnsi="Cambria"/>
          <w:b w:val="0"/>
        </w:rPr>
        <w:t xml:space="preserve"> </w:t>
      </w:r>
      <w:r w:rsidR="005D0B73" w:rsidRPr="005D0B73">
        <w:rPr>
          <w:rStyle w:val="Caption-FigureChar"/>
          <w:rFonts w:ascii="Cambria" w:hAnsi="Cambria"/>
          <w:b w:val="0"/>
          <w:noProof/>
        </w:rPr>
        <w:t>4</w:t>
      </w:r>
      <w:r w:rsidR="005D0B73" w:rsidRPr="005D0B73">
        <w:rPr>
          <w:rStyle w:val="Caption-FigureChar"/>
          <w:rFonts w:ascii="Cambria" w:hAnsi="Cambria"/>
          <w:b w:val="0"/>
          <w:noProof/>
        </w:rPr>
        <w:noBreakHyphen/>
        <w:t>2</w:t>
      </w:r>
      <w:r w:rsidR="00776412" w:rsidRPr="00776412">
        <w:fldChar w:fldCharType="end"/>
      </w:r>
      <w:r w:rsidRPr="004C7089">
        <w:t>, more than 5,400 MW of generation and demand-response capacity have retired or will retire by 2022/2023.</w:t>
      </w:r>
      <w:r w:rsidRPr="004C7089">
        <w:rPr>
          <w:vertAlign w:val="superscript"/>
        </w:rPr>
        <w:footnoteReference w:id="113"/>
      </w:r>
      <w:r w:rsidRPr="004C7089">
        <w:rPr>
          <w:vertAlign w:val="superscript"/>
        </w:rPr>
        <w:t xml:space="preserve"> </w:t>
      </w:r>
      <w:r w:rsidRPr="004C7089">
        <w:t>The ISO evaluates the effect of potential retirements on the system as well as the potential impact to the Forward Capacity Market. During the 2018/2019 through 2022/2023 period, over 3,700 MW of generating resources and 2,900 MW of demand resources have been or are expected to be installed. In general,</w:t>
      </w:r>
      <w:r w:rsidRPr="004C7089">
        <w:rPr>
          <w:rFonts w:asciiTheme="majorHAnsi" w:hAnsiTheme="majorHAnsi"/>
        </w:rPr>
        <w:t xml:space="preserve"> </w:t>
      </w:r>
      <w:r w:rsidRPr="004C7089">
        <w:t>new generation resources typically have been clearing within one or two auctions in response to major retirements on the system, while new demand resources have been clearing at relatively the same levels regardless of retirements. In recent FCAs, fast-start generation, such as gas-fired combined-cycle generators and large gas-fired combustion turbines, are clearing. Renewables such as solar, solar combined with batteries, and wind have also cleared more often.</w:t>
      </w:r>
    </w:p>
    <w:p w14:paraId="1997FC75" w14:textId="77777777" w:rsidR="00904104" w:rsidRPr="00FF5F0E" w:rsidRDefault="00904104" w:rsidP="00FF5F0E">
      <w:pPr>
        <w:spacing w:after="0" w:line="240" w:lineRule="auto"/>
        <w:jc w:val="center"/>
      </w:pPr>
      <w:r w:rsidRPr="00904104">
        <w:rPr>
          <w:noProof/>
        </w:rPr>
        <w:drawing>
          <wp:inline distT="0" distB="0" distL="0" distR="0" wp14:anchorId="0E3BA8B3" wp14:editId="21C3A67B">
            <wp:extent cx="5657850" cy="2905945"/>
            <wp:effectExtent l="19050" t="19050" r="19050"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7850" cy="2905945"/>
                    </a:xfrm>
                    <a:prstGeom prst="rect">
                      <a:avLst/>
                    </a:prstGeom>
                    <a:noFill/>
                    <a:ln w="3175">
                      <a:solidFill>
                        <a:srgbClr val="000000"/>
                      </a:solidFill>
                    </a:ln>
                  </pic:spPr>
                </pic:pic>
              </a:graphicData>
            </a:graphic>
          </wp:inline>
        </w:drawing>
      </w:r>
    </w:p>
    <w:p w14:paraId="76BCDEFB" w14:textId="518A5BFA" w:rsidR="004C7089" w:rsidRPr="004C7089" w:rsidRDefault="004C7089" w:rsidP="0096115D">
      <w:pPr>
        <w:keepNext/>
        <w:keepLines/>
        <w:tabs>
          <w:tab w:val="left" w:pos="900"/>
        </w:tabs>
        <w:spacing w:before="120" w:line="240" w:lineRule="auto"/>
        <w:ind w:right="-360"/>
        <w:rPr>
          <w:rFonts w:asciiTheme="minorHAnsi" w:eastAsia="Times New Roman" w:hAnsiTheme="minorHAnsi"/>
          <w:sz w:val="16"/>
          <w:szCs w:val="16"/>
        </w:rPr>
      </w:pPr>
      <w:bookmarkStart w:id="447" w:name="_Ref11051216"/>
      <w:bookmarkStart w:id="448" w:name="_Toc17709749"/>
      <w:r w:rsidRPr="00FF5F0E">
        <w:rPr>
          <w:rFonts w:ascii="Calibri" w:hAnsi="Calibri"/>
          <w:b/>
          <w:bCs/>
          <w:szCs w:val="18"/>
        </w:rPr>
        <w:t>F</w:t>
      </w:r>
      <w:r w:rsidRPr="00FF5F0E">
        <w:rPr>
          <w:rStyle w:val="Caption-FigureChar"/>
        </w:rPr>
        <w:t xml:space="preserve">igure </w:t>
      </w:r>
      <w:r w:rsidR="008E7223">
        <w:rPr>
          <w:rStyle w:val="Caption-FigureChar"/>
        </w:rPr>
        <w:fldChar w:fldCharType="begin"/>
      </w:r>
      <w:r w:rsidR="008E7223">
        <w:rPr>
          <w:rStyle w:val="Caption-FigureChar"/>
        </w:rPr>
        <w:instrText xml:space="preserve"> STYLEREF 1 \s </w:instrText>
      </w:r>
      <w:r w:rsidR="008E7223">
        <w:rPr>
          <w:rStyle w:val="Caption-FigureChar"/>
        </w:rPr>
        <w:fldChar w:fldCharType="separate"/>
      </w:r>
      <w:r w:rsidR="008E7223">
        <w:rPr>
          <w:rStyle w:val="Caption-FigureChar"/>
          <w:noProof/>
        </w:rPr>
        <w:t>4</w:t>
      </w:r>
      <w:r w:rsidR="008E7223">
        <w:rPr>
          <w:rStyle w:val="Caption-FigureChar"/>
        </w:rPr>
        <w:fldChar w:fldCharType="end"/>
      </w:r>
      <w:r w:rsidR="008E7223">
        <w:rPr>
          <w:rStyle w:val="Caption-FigureChar"/>
        </w:rPr>
        <w:noBreakHyphen/>
      </w:r>
      <w:r w:rsidR="008E7223">
        <w:rPr>
          <w:rStyle w:val="Caption-FigureChar"/>
        </w:rPr>
        <w:fldChar w:fldCharType="begin"/>
      </w:r>
      <w:r w:rsidR="008E7223">
        <w:rPr>
          <w:rStyle w:val="Caption-FigureChar"/>
        </w:rPr>
        <w:instrText xml:space="preserve"> SEQ Figure \* ARABIC \s 1 </w:instrText>
      </w:r>
      <w:r w:rsidR="008E7223">
        <w:rPr>
          <w:rStyle w:val="Caption-FigureChar"/>
        </w:rPr>
        <w:fldChar w:fldCharType="separate"/>
      </w:r>
      <w:r w:rsidR="008E7223">
        <w:rPr>
          <w:rStyle w:val="Caption-FigureChar"/>
          <w:noProof/>
        </w:rPr>
        <w:t>2</w:t>
      </w:r>
      <w:r w:rsidR="008E7223">
        <w:rPr>
          <w:rStyle w:val="Caption-FigureChar"/>
        </w:rPr>
        <w:fldChar w:fldCharType="end"/>
      </w:r>
      <w:bookmarkEnd w:id="447"/>
      <w:r w:rsidRPr="00FF5F0E">
        <w:rPr>
          <w:rStyle w:val="Caption-FigureChar"/>
        </w:rPr>
        <w:t xml:space="preserve">: Summary of new capacity </w:t>
      </w:r>
      <w:r w:rsidR="00AD774C" w:rsidRPr="00FF5F0E">
        <w:rPr>
          <w:rStyle w:val="Caption-FigureChar"/>
        </w:rPr>
        <w:t xml:space="preserve">additions </w:t>
      </w:r>
      <w:r w:rsidRPr="00FF5F0E">
        <w:rPr>
          <w:rStyle w:val="Caption-FigureChar"/>
        </w:rPr>
        <w:t>and retirement</w:t>
      </w:r>
      <w:r w:rsidR="00AD774C" w:rsidRPr="00FF5F0E">
        <w:rPr>
          <w:rStyle w:val="Caption-FigureChar"/>
        </w:rPr>
        <w:t>s clearing in each FCA,</w:t>
      </w:r>
      <w:r w:rsidRPr="00FF5F0E">
        <w:rPr>
          <w:rStyle w:val="Caption-FigureChar"/>
        </w:rPr>
        <w:t xml:space="preserve"> for FCA 8 to FCA 13 (MW).</w:t>
      </w:r>
      <w:bookmarkEnd w:id="448"/>
      <w:r w:rsidRPr="00FF5F0E">
        <w:rPr>
          <w:rStyle w:val="Caption-FigureChar"/>
        </w:rPr>
        <w:t xml:space="preserve"> </w:t>
      </w:r>
    </w:p>
    <w:p w14:paraId="46C33227" w14:textId="77777777" w:rsidR="004C7089" w:rsidRPr="004C7089" w:rsidRDefault="004C7089" w:rsidP="00367A18">
      <w:pPr>
        <w:pStyle w:val="Heading2"/>
      </w:pPr>
      <w:bookmarkStart w:id="449" w:name="_Ref418883537"/>
      <w:bookmarkStart w:id="450" w:name="_Toc481053252"/>
      <w:bookmarkStart w:id="451" w:name="_Toc490323028"/>
      <w:bookmarkStart w:id="452" w:name="_Toc12795169"/>
      <w:r w:rsidRPr="004C7089">
        <w:t>Determining FCM Capacity Zones</w:t>
      </w:r>
      <w:bookmarkEnd w:id="449"/>
      <w:bookmarkEnd w:id="450"/>
      <w:bookmarkEnd w:id="451"/>
      <w:bookmarkEnd w:id="452"/>
    </w:p>
    <w:p w14:paraId="4967DC75" w14:textId="77777777" w:rsidR="004C7089" w:rsidRPr="004C7089" w:rsidRDefault="004C7089" w:rsidP="004C7089">
      <w:r w:rsidRPr="004C7089">
        <w:t xml:space="preserve">For developing FCM capacity zones, the ISO annually identifies and evaluates all the boundaries and interface transfer capabilities that could be relevant to FCA capacity zone modeling. The review must focus on the actual constraints observed and expected on the New England system and directly considers submitted retirements and rejected delist bids. This review is designed to be responsive to system changes, such as new transmission facilities and new capacity resources. </w:t>
      </w:r>
    </w:p>
    <w:p w14:paraId="308149A0" w14:textId="77777777" w:rsidR="004C7089" w:rsidRPr="004C7089" w:rsidRDefault="004C7089" w:rsidP="004C7089">
      <w:r w:rsidRPr="004C7089">
        <w:t>Determining capacity zones is a two-step process. Step one identifies potential zonal boundaries and associated transfer limits to be tested for modeling in the auction. Step two uses objective criteria to determine whether or not a zone should be modeled for the pertinent capacity commitment period. With respect to step two, the trigger to model an import-constrained zone is based on the quantity of existing resources in the zone, whereas the trigger to model an export-constrained zone is based on the quantity of existing and proposed new resources that could qualify in the zone. Zones neither import- or export-constrained are merged into the Rest-of-Po</w:t>
      </w:r>
      <w:r w:rsidRPr="00456611">
        <w:t xml:space="preserve">ol </w:t>
      </w:r>
      <w:r w:rsidRPr="00805C72">
        <w:t>(ROP)</w:t>
      </w:r>
      <w:r w:rsidRPr="00456611">
        <w:t xml:space="preserve"> cap</w:t>
      </w:r>
      <w:r w:rsidRPr="004C7089">
        <w:t xml:space="preserve">acity zone. Once a capacity zone is </w:t>
      </w:r>
      <w:r w:rsidRPr="004C7089">
        <w:lastRenderedPageBreak/>
        <w:t xml:space="preserve">established for an FCA, it will not be modified for reconfiguration auctions. This FERC-approved methodology for determining capacity zones focuses on the review of system conditions for the capacity commitment period associated with the upcoming FCA. Generally, zone determinations are made in the spring of each year and presented to the RC, PSPC, and </w:t>
      </w:r>
      <w:r w:rsidR="00374F47">
        <w:t xml:space="preserve">the </w:t>
      </w:r>
      <w:r w:rsidRPr="004C7089">
        <w:t>PAC.</w:t>
      </w:r>
    </w:p>
    <w:p w14:paraId="6AF23FC9" w14:textId="77777777" w:rsidR="004C7089" w:rsidRPr="004C7089" w:rsidRDefault="004C7089" w:rsidP="004C7089">
      <w:r w:rsidRPr="00E85649">
        <w:t>For FCA 14, it was determined that the following capacity zones will be modeled: Southeastern New England (SENE), Northern New England (NNE) with the Maine capacity zone nested inside the NNE zone, and Rest-of-Pool.</w:t>
      </w:r>
      <w:r w:rsidRPr="00E85649">
        <w:rPr>
          <w:vertAlign w:val="superscript"/>
        </w:rPr>
        <w:footnoteReference w:id="114"/>
      </w:r>
      <w:r w:rsidRPr="00E85649">
        <w:t xml:space="preserve"> The SENE zone was modeled because constraints continue to be observed in the transfer of power into the SENE area. These constraints were observed for the contingency loss of either generating resources or other transmission elements on or near the boundary formed by the combination of the load zones. The NNE zone and the Maine zone were modeled for FCA 14 because </w:t>
      </w:r>
      <w:r w:rsidR="00374F47" w:rsidRPr="00E85649">
        <w:t>a</w:t>
      </w:r>
      <w:r w:rsidRPr="00E85649">
        <w:t xml:space="preserve"> significant amount of new capacity additions </w:t>
      </w:r>
      <w:r w:rsidR="00374F47" w:rsidRPr="00E85649">
        <w:t xml:space="preserve">were </w:t>
      </w:r>
      <w:r w:rsidRPr="00E85649">
        <w:t>proposed in the northern part of the system during the qualification process, making the area more likely to be export constrained. Similar to previous FCAs, Connecticut was evaluated as a potential import-constrained zone but was merged with the ROP</w:t>
      </w:r>
      <w:r w:rsidRPr="004C7089">
        <w:t xml:space="preserve"> capacity zone because the transmission system has been improved significantly and the markets have responded for building new generation in the area. The Western Massachusetts load zone will continue to form the basis of the ROP capacity zone. The final set of capacity zones </w:t>
      </w:r>
      <w:r w:rsidR="00776412">
        <w:t>for</w:t>
      </w:r>
      <w:r w:rsidRPr="004C7089">
        <w:t xml:space="preserve"> FCA 14 will be filed with FERC in November 2019.</w:t>
      </w:r>
    </w:p>
    <w:p w14:paraId="6A85F8DB" w14:textId="77777777" w:rsidR="004C7089" w:rsidRPr="004C7089" w:rsidRDefault="004C7089" w:rsidP="00367A18">
      <w:pPr>
        <w:pStyle w:val="Heading2"/>
        <w:rPr>
          <w:rFonts w:eastAsia="Times New Roman"/>
        </w:rPr>
      </w:pPr>
      <w:bookmarkStart w:id="453" w:name="_Ref419703700"/>
      <w:bookmarkStart w:id="454" w:name="_Toc490323029"/>
      <w:bookmarkStart w:id="455" w:name="_Toc12795170"/>
      <w:bookmarkStart w:id="456" w:name="_Toc481053258"/>
      <w:r w:rsidRPr="004C7089">
        <w:rPr>
          <w:rFonts w:eastAsia="Times New Roman"/>
        </w:rPr>
        <w:t>Analyzing Operable Capacity</w:t>
      </w:r>
      <w:bookmarkEnd w:id="453"/>
      <w:bookmarkEnd w:id="454"/>
      <w:bookmarkEnd w:id="455"/>
      <w:r w:rsidRPr="004C7089">
        <w:rPr>
          <w:rFonts w:eastAsia="Times New Roman"/>
        </w:rPr>
        <w:t xml:space="preserve"> </w:t>
      </w:r>
      <w:bookmarkEnd w:id="456"/>
    </w:p>
    <w:p w14:paraId="30A8C6B2" w14:textId="064A1256" w:rsidR="004C7089" w:rsidRDefault="004C7089" w:rsidP="004C7089">
      <w:r w:rsidRPr="004C7089">
        <w:t xml:space="preserve">The ISO performs systemwide operable-capacity analyses to estimate the net capacity and determine the operable-capacity margin available under summer and winter seasonal peak load conditions for two scenarios (i.e., using the 50/50 and 90/10 forecasts of peak load). The analysis assumes that peak load conditions are reduced to fully reflect BTM PV (see Section </w:t>
      </w:r>
      <w:r w:rsidR="00776412">
        <w:fldChar w:fldCharType="begin"/>
      </w:r>
      <w:r w:rsidR="00776412">
        <w:instrText xml:space="preserve"> REF _Ref11051335 \r \h </w:instrText>
      </w:r>
      <w:r w:rsidR="00776412">
        <w:fldChar w:fldCharType="separate"/>
      </w:r>
      <w:r w:rsidR="005D0B73">
        <w:t>3.3</w:t>
      </w:r>
      <w:r w:rsidR="00776412">
        <w:fldChar w:fldCharType="end"/>
      </w:r>
      <w:r w:rsidRPr="004C7089">
        <w:t xml:space="preserve">). It also assumes that to meet the assumed peak demand plus operating-reserve requirements, the capacity in New England will only be equal to the net ICR, which relies on load and capacity relief from the implementation of ISO Operating Procedure No. 4, </w:t>
      </w:r>
      <w:r w:rsidRPr="004C7089">
        <w:rPr>
          <w:i/>
        </w:rPr>
        <w:t xml:space="preserve">Action during a Capacity Deficiency </w:t>
      </w:r>
      <w:r w:rsidRPr="004C7089">
        <w:t>(OP 4) actions to meet the one-day-in-10 years loss</w:t>
      </w:r>
      <w:r w:rsidR="0082639A">
        <w:t>-</w:t>
      </w:r>
      <w:r w:rsidRPr="004C7089">
        <w:t>of</w:t>
      </w:r>
      <w:r w:rsidR="0082639A">
        <w:t>-</w:t>
      </w:r>
      <w:r w:rsidRPr="004C7089">
        <w:t>load expect</w:t>
      </w:r>
      <w:r w:rsidRPr="00380100">
        <w:t>ation (</w:t>
      </w:r>
      <w:r w:rsidRPr="00805C72">
        <w:t>LOLE)</w:t>
      </w:r>
      <w:r w:rsidR="00926F11">
        <w:t>.</w:t>
      </w:r>
      <w:r w:rsidRPr="004C7089">
        <w:rPr>
          <w:vertAlign w:val="superscript"/>
        </w:rPr>
        <w:footnoteReference w:id="115"/>
      </w:r>
      <w:r w:rsidRPr="004C7089">
        <w:t xml:space="preserve"> A negative margin for a specific scenario indicates the extent that possible mitigation actions would be required through predefined protocols, as prescribed in OP 4</w:t>
      </w:r>
      <w:r w:rsidRPr="004C7089">
        <w:rPr>
          <w:i/>
        </w:rPr>
        <w:t xml:space="preserve"> </w:t>
      </w:r>
      <w:r w:rsidRPr="004C7089">
        <w:t xml:space="preserve">or Operating Procedure No. 7 (OP 7), </w:t>
      </w:r>
      <w:r w:rsidRPr="004C7089">
        <w:rPr>
          <w:i/>
        </w:rPr>
        <w:t>Action in an Emergency</w:t>
      </w:r>
      <w:r w:rsidRPr="004C7089">
        <w:t>.</w:t>
      </w:r>
      <w:r w:rsidRPr="004C7089">
        <w:rPr>
          <w:vertAlign w:val="superscript"/>
        </w:rPr>
        <w:footnoteReference w:id="116"/>
      </w:r>
    </w:p>
    <w:p w14:paraId="55DB6C09" w14:textId="77777777" w:rsidR="004C7089" w:rsidRPr="004C7089" w:rsidRDefault="004C7089" w:rsidP="00367A18">
      <w:pPr>
        <w:pStyle w:val="Heading3"/>
      </w:pPr>
      <w:bookmarkStart w:id="457" w:name="_Toc12795171"/>
      <w:r w:rsidRPr="004C7089">
        <w:t>Summer Operable Capacity</w:t>
      </w:r>
      <w:bookmarkEnd w:id="457"/>
    </w:p>
    <w:p w14:paraId="5DCC7926" w14:textId="00852EAA" w:rsidR="0082639A" w:rsidRDefault="00374F47" w:rsidP="00BD06A9">
      <w:r>
        <w:fldChar w:fldCharType="begin"/>
      </w:r>
      <w:r>
        <w:instrText xml:space="preserve"> REF _Ref13323074 \h </w:instrText>
      </w:r>
      <w:r>
        <w:fldChar w:fldCharType="separate"/>
      </w:r>
      <w:r w:rsidR="005D0B73" w:rsidRPr="0082639A">
        <w:t xml:space="preserve">Table </w:t>
      </w:r>
      <w:r w:rsidR="005D0B73">
        <w:rPr>
          <w:noProof/>
        </w:rPr>
        <w:t>4</w:t>
      </w:r>
      <w:r w:rsidR="005D0B73" w:rsidRPr="0082639A">
        <w:noBreakHyphen/>
      </w:r>
      <w:r w:rsidR="005D0B73">
        <w:rPr>
          <w:noProof/>
        </w:rPr>
        <w:t>6</w:t>
      </w:r>
      <w:r>
        <w:fldChar w:fldCharType="end"/>
      </w:r>
      <w:r>
        <w:t xml:space="preserve"> </w:t>
      </w:r>
      <w:r w:rsidR="003F7737">
        <w:t xml:space="preserve">shows the results of the ISO’s systemwide operable-capacity analysis during the summer for the 2020/2021 to 2028/2029 commitment periods. </w:t>
      </w:r>
      <w:r w:rsidR="003F7737" w:rsidRPr="0082639A">
        <w:t xml:space="preserve">The results show that if the loads associated with the 50/50 forecast occurred, </w:t>
      </w:r>
      <w:r w:rsidR="00914D26">
        <w:t xml:space="preserve">the system’s </w:t>
      </w:r>
      <w:r w:rsidR="003F7737" w:rsidRPr="00374F47">
        <w:t>operable</w:t>
      </w:r>
      <w:r w:rsidR="00A47D51" w:rsidRPr="00374F47">
        <w:t xml:space="preserve"> </w:t>
      </w:r>
      <w:r w:rsidR="003F7737" w:rsidRPr="00374F47">
        <w:t>capacity margin</w:t>
      </w:r>
      <w:r w:rsidR="00A47D51" w:rsidRPr="00374F47">
        <w:t xml:space="preserve"> would</w:t>
      </w:r>
      <w:r w:rsidR="003F7737" w:rsidRPr="00374F47">
        <w:t xml:space="preserve"> rang</w:t>
      </w:r>
      <w:r w:rsidR="00A47D51" w:rsidRPr="00374F47">
        <w:t xml:space="preserve">e </w:t>
      </w:r>
      <w:r w:rsidR="003F7737" w:rsidRPr="00374F47">
        <w:t>from approximately 650 MW to 760 MW before summer 2023. N</w:t>
      </w:r>
      <w:r w:rsidR="003F7737" w:rsidRPr="00926F11">
        <w:t xml:space="preserve">ew England </w:t>
      </w:r>
      <w:r w:rsidR="003F7737" w:rsidRPr="00374F47">
        <w:t xml:space="preserve">could experience </w:t>
      </w:r>
      <w:r w:rsidR="00926F11" w:rsidRPr="00374F47">
        <w:t xml:space="preserve">operable-capacity margin shortfalls beginning </w:t>
      </w:r>
      <w:r w:rsidR="003F7737" w:rsidRPr="00374F47">
        <w:t xml:space="preserve">summer 2024 </w:t>
      </w:r>
      <w:r w:rsidR="00914D26" w:rsidRPr="00374F47">
        <w:t xml:space="preserve">due to </w:t>
      </w:r>
      <w:r w:rsidR="00926F11" w:rsidRPr="00374F47">
        <w:t>the lower reserve margins used for the later years. (As</w:t>
      </w:r>
      <w:r w:rsidR="00926F11" w:rsidRPr="00914D26">
        <w:t xml:space="preserve"> discussed in Section </w:t>
      </w:r>
      <w:r w:rsidR="00926F11" w:rsidRPr="00914D26">
        <w:fldChar w:fldCharType="begin"/>
      </w:r>
      <w:r w:rsidR="00926F11" w:rsidRPr="00914D26">
        <w:instrText xml:space="preserve"> REF _Ref387673339 \r \h  \* MERGEFORMAT </w:instrText>
      </w:r>
      <w:r w:rsidR="00926F11" w:rsidRPr="00914D26">
        <w:fldChar w:fldCharType="separate"/>
      </w:r>
      <w:r w:rsidR="005D0B73">
        <w:t>4.1.1</w:t>
      </w:r>
      <w:r w:rsidR="00926F11" w:rsidRPr="00914D26">
        <w:fldChar w:fldCharType="end"/>
      </w:r>
      <w:r w:rsidR="00926F11" w:rsidRPr="00914D26">
        <w:t xml:space="preserve">, </w:t>
      </w:r>
      <w:r w:rsidR="0082639A" w:rsidRPr="00914D26">
        <w:t xml:space="preserve">the </w:t>
      </w:r>
      <w:r w:rsidR="00926F11" w:rsidRPr="00914D26">
        <w:t xml:space="preserve">ICR calculations </w:t>
      </w:r>
      <w:r w:rsidR="0082639A" w:rsidRPr="00914D26">
        <w:t xml:space="preserve">for 2019 through 2022 </w:t>
      </w:r>
      <w:r w:rsidR="00926F11" w:rsidRPr="00914D26">
        <w:t xml:space="preserve">were based on the CELT 2018 </w:t>
      </w:r>
      <w:r w:rsidR="00926F11" w:rsidRPr="00914D26">
        <w:lastRenderedPageBreak/>
        <w:t>forecast</w:t>
      </w:r>
      <w:r w:rsidR="0082639A" w:rsidRPr="00914D26">
        <w:t>,</w:t>
      </w:r>
      <w:r w:rsidR="00926F11" w:rsidRPr="00914D26">
        <w:t xml:space="preserve"> </w:t>
      </w:r>
      <w:r>
        <w:t>which resulted in a reserve margin of 18%. B</w:t>
      </w:r>
      <w:r w:rsidR="00926F11" w:rsidRPr="00914D26">
        <w:t xml:space="preserve">ut </w:t>
      </w:r>
      <w:r w:rsidR="0082639A" w:rsidRPr="00914D26">
        <w:t xml:space="preserve">the calculation for 2024 through 2028 </w:t>
      </w:r>
      <w:r w:rsidR="00926F11" w:rsidRPr="00914D26">
        <w:t>used the CELT 2019 forecast</w:t>
      </w:r>
      <w:r>
        <w:t xml:space="preserve">, which </w:t>
      </w:r>
      <w:r w:rsidR="00926F11" w:rsidRPr="00380100">
        <w:t xml:space="preserve">resulted in a reserve margin of </w:t>
      </w:r>
      <w:r w:rsidR="00926F11">
        <w:t xml:space="preserve">13.7% beginning in 2024.) The extent of </w:t>
      </w:r>
      <w:r w:rsidR="00B56309">
        <w:t xml:space="preserve">potentially </w:t>
      </w:r>
      <w:r w:rsidR="00926F11">
        <w:t>required OP 4 actions decreases from 20</w:t>
      </w:r>
      <w:r w:rsidR="00926F11" w:rsidRPr="00B56309">
        <w:t xml:space="preserve">24 to 2028 because the ICR </w:t>
      </w:r>
      <w:r w:rsidR="00B56309" w:rsidRPr="00B56309">
        <w:t xml:space="preserve">(i.e., the required capacity) </w:t>
      </w:r>
      <w:r w:rsidR="00926F11" w:rsidRPr="00B56309">
        <w:t xml:space="preserve">grows faster than the </w:t>
      </w:r>
      <w:r w:rsidR="00B56309">
        <w:t xml:space="preserve">projected </w:t>
      </w:r>
      <w:r w:rsidR="00926F11" w:rsidRPr="00B56309">
        <w:t>peak loads, which results in a higher reserve margin</w:t>
      </w:r>
      <w:r w:rsidR="00926F11">
        <w:t xml:space="preserve"> in the later years. </w:t>
      </w:r>
      <w:bookmarkStart w:id="458" w:name="_Ref419042532"/>
      <w:bookmarkStart w:id="459" w:name="_Toc481053565"/>
      <w:bookmarkStart w:id="460" w:name="_Toc491244010"/>
    </w:p>
    <w:p w14:paraId="08508585" w14:textId="3E68CDC0" w:rsidR="004C7089" w:rsidRPr="0082639A" w:rsidRDefault="0082639A" w:rsidP="00805C72">
      <w:pPr>
        <w:pStyle w:val="Caption"/>
        <w:keepNext/>
        <w:keepLines/>
        <w:rPr>
          <w:bCs w:val="0"/>
        </w:rPr>
      </w:pPr>
      <w:bookmarkStart w:id="461" w:name="_Ref13323074"/>
      <w:bookmarkStart w:id="462" w:name="_Toc12795337"/>
      <w:r w:rsidRPr="0082639A">
        <w:t xml:space="preserve">Table </w:t>
      </w:r>
      <w:fldSimple w:instr=" STYLEREF 1 \s ">
        <w:r w:rsidR="005D0B73">
          <w:rPr>
            <w:noProof/>
          </w:rPr>
          <w:t>4</w:t>
        </w:r>
      </w:fldSimple>
      <w:r w:rsidRPr="0082639A">
        <w:noBreakHyphen/>
      </w:r>
      <w:fldSimple w:instr=" SEQ Table \* ARABIC \s 1 ">
        <w:r w:rsidR="005D0B73">
          <w:rPr>
            <w:noProof/>
          </w:rPr>
          <w:t>6</w:t>
        </w:r>
      </w:fldSimple>
      <w:bookmarkEnd w:id="458"/>
      <w:bookmarkEnd w:id="461"/>
      <w:r w:rsidR="004C7089" w:rsidRPr="0082639A">
        <w:rPr>
          <w:bCs w:val="0"/>
        </w:rPr>
        <w:br/>
        <w:t xml:space="preserve">Projected New England Operable-Capacity Analysis for Summer 2020 </w:t>
      </w:r>
      <w:r w:rsidR="004C7089" w:rsidRPr="0082639A">
        <w:rPr>
          <w:rFonts w:cs="Arial"/>
          <w:bCs w:val="0"/>
        </w:rPr>
        <w:t xml:space="preserve">to </w:t>
      </w:r>
      <w:r w:rsidR="004C7089" w:rsidRPr="0082639A">
        <w:rPr>
          <w:bCs w:val="0"/>
        </w:rPr>
        <w:t>2028,</w:t>
      </w:r>
      <w:r w:rsidR="004C7089" w:rsidRPr="0082639A">
        <w:rPr>
          <w:bCs w:val="0"/>
        </w:rPr>
        <w:br/>
        <w:t>Assuming 50/50 and 90/10 Loads (MW)</w:t>
      </w:r>
      <w:bookmarkEnd w:id="459"/>
      <w:bookmarkEnd w:id="460"/>
      <w:bookmarkEnd w:id="462"/>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14:paraId="2FBFC3E7" w14:textId="77777777" w:rsidTr="004C7089">
        <w:trPr>
          <w:trHeight w:val="465"/>
        </w:trPr>
        <w:tc>
          <w:tcPr>
            <w:tcW w:w="2736" w:type="dxa"/>
            <w:gridSpan w:val="2"/>
            <w:shd w:val="clear" w:color="auto" w:fill="1795D2" w:themeFill="accent1"/>
            <w:noWrap/>
            <w:tcMar>
              <w:top w:w="29" w:type="dxa"/>
              <w:left w:w="115" w:type="dxa"/>
              <w:bottom w:w="29" w:type="dxa"/>
              <w:right w:w="115" w:type="dxa"/>
            </w:tcMar>
            <w:vAlign w:val="center"/>
            <w:hideMark/>
          </w:tcPr>
          <w:p w14:paraId="141EE336"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(Summer MW)</w:t>
            </w:r>
          </w:p>
        </w:tc>
        <w:tc>
          <w:tcPr>
            <w:tcW w:w="763" w:type="dxa"/>
            <w:shd w:val="clear" w:color="auto" w:fill="1795D2" w:themeFill="accent1"/>
            <w:noWrap/>
            <w:tcMar>
              <w:top w:w="29" w:type="dxa"/>
              <w:left w:w="115" w:type="dxa"/>
              <w:bottom w:w="29" w:type="dxa"/>
              <w:right w:w="115" w:type="dxa"/>
            </w:tcMar>
            <w:vAlign w:val="center"/>
            <w:hideMark/>
          </w:tcPr>
          <w:p w14:paraId="7FFF4250"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p>
        </w:tc>
        <w:tc>
          <w:tcPr>
            <w:tcW w:w="763" w:type="dxa"/>
            <w:shd w:val="clear" w:color="auto" w:fill="1795D2" w:themeFill="accent1"/>
            <w:noWrap/>
            <w:tcMar>
              <w:top w:w="29" w:type="dxa"/>
              <w:left w:w="115" w:type="dxa"/>
              <w:bottom w:w="29" w:type="dxa"/>
              <w:right w:w="115" w:type="dxa"/>
            </w:tcMar>
            <w:vAlign w:val="center"/>
            <w:hideMark/>
          </w:tcPr>
          <w:p w14:paraId="7EA00400"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p>
        </w:tc>
        <w:tc>
          <w:tcPr>
            <w:tcW w:w="763" w:type="dxa"/>
            <w:shd w:val="clear" w:color="auto" w:fill="1795D2" w:themeFill="accent1"/>
            <w:noWrap/>
            <w:tcMar>
              <w:top w:w="29" w:type="dxa"/>
              <w:left w:w="115" w:type="dxa"/>
              <w:bottom w:w="29" w:type="dxa"/>
              <w:right w:w="115" w:type="dxa"/>
            </w:tcMar>
            <w:vAlign w:val="center"/>
            <w:hideMark/>
          </w:tcPr>
          <w:p w14:paraId="5BC66777"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p>
        </w:tc>
        <w:tc>
          <w:tcPr>
            <w:tcW w:w="763" w:type="dxa"/>
            <w:shd w:val="clear" w:color="auto" w:fill="1795D2" w:themeFill="accent1"/>
            <w:noWrap/>
            <w:tcMar>
              <w:top w:w="29" w:type="dxa"/>
              <w:left w:w="115" w:type="dxa"/>
              <w:bottom w:w="29" w:type="dxa"/>
              <w:right w:w="115" w:type="dxa"/>
            </w:tcMar>
            <w:vAlign w:val="center"/>
            <w:hideMark/>
          </w:tcPr>
          <w:p w14:paraId="657C169F"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p>
        </w:tc>
        <w:tc>
          <w:tcPr>
            <w:tcW w:w="763" w:type="dxa"/>
            <w:shd w:val="clear" w:color="auto" w:fill="1795D2" w:themeFill="accent1"/>
            <w:noWrap/>
            <w:tcMar>
              <w:top w:w="29" w:type="dxa"/>
              <w:left w:w="115" w:type="dxa"/>
              <w:bottom w:w="29" w:type="dxa"/>
              <w:right w:w="115" w:type="dxa"/>
            </w:tcMar>
            <w:vAlign w:val="center"/>
            <w:hideMark/>
          </w:tcPr>
          <w:p w14:paraId="647CBC28"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p>
        </w:tc>
        <w:tc>
          <w:tcPr>
            <w:tcW w:w="763" w:type="dxa"/>
            <w:shd w:val="clear" w:color="auto" w:fill="1795D2" w:themeFill="accent1"/>
            <w:noWrap/>
            <w:tcMar>
              <w:top w:w="29" w:type="dxa"/>
              <w:left w:w="115" w:type="dxa"/>
              <w:bottom w:w="29" w:type="dxa"/>
              <w:right w:w="115" w:type="dxa"/>
            </w:tcMar>
            <w:vAlign w:val="center"/>
            <w:hideMark/>
          </w:tcPr>
          <w:p w14:paraId="204B480A"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p>
        </w:tc>
        <w:tc>
          <w:tcPr>
            <w:tcW w:w="763" w:type="dxa"/>
            <w:shd w:val="clear" w:color="auto" w:fill="1795D2" w:themeFill="accent1"/>
            <w:noWrap/>
            <w:tcMar>
              <w:top w:w="29" w:type="dxa"/>
              <w:left w:w="115" w:type="dxa"/>
              <w:bottom w:w="29" w:type="dxa"/>
              <w:right w:w="115" w:type="dxa"/>
            </w:tcMar>
            <w:vAlign w:val="center"/>
            <w:hideMark/>
          </w:tcPr>
          <w:p w14:paraId="031764A1"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p>
        </w:tc>
        <w:tc>
          <w:tcPr>
            <w:tcW w:w="763" w:type="dxa"/>
            <w:shd w:val="clear" w:color="auto" w:fill="1795D2" w:themeFill="accent1"/>
            <w:noWrap/>
            <w:tcMar>
              <w:top w:w="29" w:type="dxa"/>
              <w:left w:w="115" w:type="dxa"/>
              <w:bottom w:w="29" w:type="dxa"/>
              <w:right w:w="115" w:type="dxa"/>
            </w:tcMar>
            <w:vAlign w:val="center"/>
            <w:hideMark/>
          </w:tcPr>
          <w:p w14:paraId="337C226C"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w:t>
            </w:r>
          </w:p>
        </w:tc>
        <w:tc>
          <w:tcPr>
            <w:tcW w:w="763" w:type="dxa"/>
            <w:shd w:val="clear" w:color="auto" w:fill="1795D2" w:themeFill="accent1"/>
            <w:noWrap/>
            <w:tcMar>
              <w:top w:w="29" w:type="dxa"/>
              <w:left w:w="115" w:type="dxa"/>
              <w:bottom w:w="29" w:type="dxa"/>
              <w:right w:w="115" w:type="dxa"/>
            </w:tcMar>
            <w:vAlign w:val="center"/>
            <w:hideMark/>
          </w:tcPr>
          <w:p w14:paraId="3C4149FA" w14:textId="77777777" w:rsidR="004C7089" w:rsidRPr="004C7089" w:rsidRDefault="004C7089">
            <w:pPr>
              <w:keepNext/>
              <w:keepLines/>
              <w:spacing w:after="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p>
        </w:tc>
      </w:tr>
      <w:tr w:rsidR="004C7089" w:rsidRPr="004C7089" w14:paraId="4DC6BA8B" w14:textId="77777777" w:rsidTr="004C7089">
        <w:trPr>
          <w:trHeight w:val="300"/>
        </w:trPr>
        <w:tc>
          <w:tcPr>
            <w:tcW w:w="864" w:type="dxa"/>
            <w:vMerge w:val="restart"/>
            <w:shd w:val="clear" w:color="auto" w:fill="auto"/>
            <w:noWrap/>
            <w:tcMar>
              <w:top w:w="29" w:type="dxa"/>
              <w:left w:w="115" w:type="dxa"/>
              <w:bottom w:w="29" w:type="dxa"/>
              <w:right w:w="115" w:type="dxa"/>
            </w:tcMar>
            <w:vAlign w:val="center"/>
            <w:hideMark/>
          </w:tcPr>
          <w:p w14:paraId="6ACB44B7" w14:textId="77777777"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tcMar>
              <w:top w:w="29" w:type="dxa"/>
              <w:left w:w="115" w:type="dxa"/>
              <w:bottom w:w="29" w:type="dxa"/>
              <w:right w:w="115" w:type="dxa"/>
            </w:tcMar>
            <w:vAlign w:val="center"/>
            <w:hideMark/>
          </w:tcPr>
          <w:p w14:paraId="13180B7B"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r w:rsidRPr="006B0FAA">
              <w:rPr>
                <w:rFonts w:asciiTheme="majorHAnsi" w:eastAsia="Times New Roman" w:hAnsiTheme="majorHAnsi"/>
                <w:sz w:val="18"/>
                <w:szCs w:val="18"/>
                <w:vertAlign w:val="superscript"/>
              </w:rPr>
              <w:t>(a)</w:t>
            </w:r>
          </w:p>
        </w:tc>
        <w:tc>
          <w:tcPr>
            <w:tcW w:w="763" w:type="dxa"/>
            <w:shd w:val="clear" w:color="auto" w:fill="auto"/>
            <w:noWrap/>
            <w:tcMar>
              <w:top w:w="29" w:type="dxa"/>
              <w:left w:w="115" w:type="dxa"/>
              <w:bottom w:w="29" w:type="dxa"/>
              <w:right w:w="115" w:type="dxa"/>
            </w:tcMar>
            <w:vAlign w:val="center"/>
            <w:hideMark/>
          </w:tcPr>
          <w:p w14:paraId="1C7D2FD9"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28,353</w:t>
            </w:r>
          </w:p>
        </w:tc>
        <w:tc>
          <w:tcPr>
            <w:tcW w:w="763" w:type="dxa"/>
            <w:shd w:val="clear" w:color="auto" w:fill="auto"/>
            <w:noWrap/>
            <w:tcMar>
              <w:top w:w="29" w:type="dxa"/>
              <w:left w:w="115" w:type="dxa"/>
              <w:bottom w:w="29" w:type="dxa"/>
              <w:right w:w="115" w:type="dxa"/>
            </w:tcMar>
            <w:vAlign w:val="center"/>
            <w:hideMark/>
          </w:tcPr>
          <w:p w14:paraId="09A15A39"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28,499</w:t>
            </w:r>
          </w:p>
        </w:tc>
        <w:tc>
          <w:tcPr>
            <w:tcW w:w="763" w:type="dxa"/>
            <w:shd w:val="clear" w:color="auto" w:fill="auto"/>
            <w:noWrap/>
            <w:tcMar>
              <w:top w:w="29" w:type="dxa"/>
              <w:left w:w="115" w:type="dxa"/>
              <w:bottom w:w="29" w:type="dxa"/>
              <w:right w:w="115" w:type="dxa"/>
            </w:tcMar>
            <w:vAlign w:val="center"/>
            <w:hideMark/>
          </w:tcPr>
          <w:p w14:paraId="0E0EEDA3"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28,670</w:t>
            </w:r>
          </w:p>
        </w:tc>
        <w:tc>
          <w:tcPr>
            <w:tcW w:w="763" w:type="dxa"/>
            <w:shd w:val="clear" w:color="auto" w:fill="auto"/>
            <w:noWrap/>
            <w:tcMar>
              <w:top w:w="29" w:type="dxa"/>
              <w:left w:w="115" w:type="dxa"/>
              <w:bottom w:w="29" w:type="dxa"/>
              <w:right w:w="115" w:type="dxa"/>
            </w:tcMar>
            <w:vAlign w:val="center"/>
            <w:hideMark/>
          </w:tcPr>
          <w:p w14:paraId="6DBF5124"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28,838</w:t>
            </w:r>
          </w:p>
        </w:tc>
        <w:tc>
          <w:tcPr>
            <w:tcW w:w="763" w:type="dxa"/>
            <w:shd w:val="clear" w:color="auto" w:fill="auto"/>
            <w:noWrap/>
            <w:tcMar>
              <w:top w:w="29" w:type="dxa"/>
              <w:left w:w="115" w:type="dxa"/>
              <w:bottom w:w="29" w:type="dxa"/>
              <w:right w:w="115" w:type="dxa"/>
            </w:tcMar>
            <w:vAlign w:val="center"/>
            <w:hideMark/>
          </w:tcPr>
          <w:p w14:paraId="5F98C47E"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29,014</w:t>
            </w:r>
          </w:p>
        </w:tc>
        <w:tc>
          <w:tcPr>
            <w:tcW w:w="763" w:type="dxa"/>
            <w:shd w:val="clear" w:color="auto" w:fill="auto"/>
            <w:noWrap/>
            <w:tcMar>
              <w:top w:w="29" w:type="dxa"/>
              <w:left w:w="115" w:type="dxa"/>
              <w:bottom w:w="29" w:type="dxa"/>
              <w:right w:w="115" w:type="dxa"/>
            </w:tcMar>
            <w:vAlign w:val="center"/>
            <w:hideMark/>
          </w:tcPr>
          <w:p w14:paraId="02B6FDB4"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29,196</w:t>
            </w:r>
          </w:p>
        </w:tc>
        <w:tc>
          <w:tcPr>
            <w:tcW w:w="763" w:type="dxa"/>
            <w:shd w:val="clear" w:color="auto" w:fill="auto"/>
            <w:noWrap/>
            <w:tcMar>
              <w:top w:w="29" w:type="dxa"/>
              <w:left w:w="115" w:type="dxa"/>
              <w:bottom w:w="29" w:type="dxa"/>
              <w:right w:w="115" w:type="dxa"/>
            </w:tcMar>
            <w:vAlign w:val="center"/>
            <w:hideMark/>
          </w:tcPr>
          <w:p w14:paraId="412F9365"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29382</w:t>
            </w:r>
          </w:p>
        </w:tc>
        <w:tc>
          <w:tcPr>
            <w:tcW w:w="763" w:type="dxa"/>
            <w:shd w:val="clear" w:color="auto" w:fill="auto"/>
            <w:noWrap/>
            <w:tcMar>
              <w:top w:w="29" w:type="dxa"/>
              <w:left w:w="115" w:type="dxa"/>
              <w:bottom w:w="29" w:type="dxa"/>
              <w:right w:w="115" w:type="dxa"/>
            </w:tcMar>
            <w:vAlign w:val="center"/>
            <w:hideMark/>
          </w:tcPr>
          <w:p w14:paraId="59365B97"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29,576</w:t>
            </w:r>
          </w:p>
        </w:tc>
        <w:tc>
          <w:tcPr>
            <w:tcW w:w="763" w:type="dxa"/>
            <w:shd w:val="clear" w:color="auto" w:fill="auto"/>
            <w:noWrap/>
            <w:tcMar>
              <w:top w:w="29" w:type="dxa"/>
              <w:left w:w="115" w:type="dxa"/>
              <w:bottom w:w="29" w:type="dxa"/>
              <w:right w:w="115" w:type="dxa"/>
            </w:tcMar>
            <w:vAlign w:val="center"/>
            <w:hideMark/>
          </w:tcPr>
          <w:p w14:paraId="15648ECB" w14:textId="77777777" w:rsidR="004C7089" w:rsidRPr="006B0FAA" w:rsidRDefault="004C7089">
            <w:pPr>
              <w:keepNext/>
              <w:keepLines/>
              <w:spacing w:after="0" w:line="240" w:lineRule="auto"/>
              <w:jc w:val="right"/>
              <w:rPr>
                <w:rFonts w:asciiTheme="majorHAnsi" w:eastAsia="Times New Roman" w:hAnsiTheme="majorHAnsi" w:cs="Arial"/>
                <w:sz w:val="18"/>
                <w:szCs w:val="18"/>
              </w:rPr>
            </w:pPr>
            <w:r w:rsidRPr="006B0FAA">
              <w:rPr>
                <w:rFonts w:asciiTheme="majorHAnsi" w:hAnsiTheme="majorHAnsi" w:cs="Arial"/>
                <w:sz w:val="18"/>
                <w:szCs w:val="18"/>
              </w:rPr>
              <w:t>29,781</w:t>
            </w:r>
          </w:p>
        </w:tc>
      </w:tr>
      <w:tr w:rsidR="004C7089" w:rsidRPr="004C7089" w14:paraId="40F51CC4" w14:textId="77777777" w:rsidTr="004C7089">
        <w:trPr>
          <w:trHeight w:val="300"/>
        </w:trPr>
        <w:tc>
          <w:tcPr>
            <w:tcW w:w="864" w:type="dxa"/>
            <w:vMerge/>
            <w:shd w:val="clear" w:color="auto" w:fill="auto"/>
            <w:noWrap/>
            <w:tcMar>
              <w:top w:w="29" w:type="dxa"/>
              <w:left w:w="115" w:type="dxa"/>
              <w:bottom w:w="29" w:type="dxa"/>
              <w:right w:w="115" w:type="dxa"/>
            </w:tcMar>
            <w:vAlign w:val="center"/>
            <w:hideMark/>
          </w:tcPr>
          <w:p w14:paraId="5BEF3432"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14:paraId="02B249DE"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14:paraId="0CC88C1D"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04B3EC7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05823C21"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70497217"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4CAAC6D2"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4E9A353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0CF7568C"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07BFDFC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66F786A4"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14:paraId="46F8B224" w14:textId="77777777" w:rsidTr="004C7089">
        <w:trPr>
          <w:trHeight w:val="300"/>
        </w:trPr>
        <w:tc>
          <w:tcPr>
            <w:tcW w:w="864" w:type="dxa"/>
            <w:vMerge/>
            <w:shd w:val="clear" w:color="auto" w:fill="auto"/>
            <w:noWrap/>
            <w:tcMar>
              <w:top w:w="29" w:type="dxa"/>
              <w:left w:w="115" w:type="dxa"/>
              <w:bottom w:w="29" w:type="dxa"/>
              <w:right w:w="115" w:type="dxa"/>
            </w:tcMar>
            <w:vAlign w:val="center"/>
            <w:hideMark/>
          </w:tcPr>
          <w:p w14:paraId="165D6738"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14:paraId="184D84EC" w14:textId="77777777"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14:paraId="70F10056"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30,658</w:t>
            </w:r>
          </w:p>
        </w:tc>
        <w:tc>
          <w:tcPr>
            <w:tcW w:w="763" w:type="dxa"/>
            <w:shd w:val="clear" w:color="auto" w:fill="auto"/>
            <w:noWrap/>
            <w:tcMar>
              <w:top w:w="29" w:type="dxa"/>
              <w:left w:w="115" w:type="dxa"/>
              <w:bottom w:w="29" w:type="dxa"/>
              <w:right w:w="115" w:type="dxa"/>
            </w:tcMar>
            <w:vAlign w:val="center"/>
            <w:hideMark/>
          </w:tcPr>
          <w:p w14:paraId="68A6E2B1"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30,804</w:t>
            </w:r>
          </w:p>
        </w:tc>
        <w:tc>
          <w:tcPr>
            <w:tcW w:w="763" w:type="dxa"/>
            <w:shd w:val="clear" w:color="auto" w:fill="auto"/>
            <w:noWrap/>
            <w:tcMar>
              <w:top w:w="29" w:type="dxa"/>
              <w:left w:w="115" w:type="dxa"/>
              <w:bottom w:w="29" w:type="dxa"/>
              <w:right w:w="115" w:type="dxa"/>
            </w:tcMar>
            <w:vAlign w:val="center"/>
            <w:hideMark/>
          </w:tcPr>
          <w:p w14:paraId="65539F74"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30,975</w:t>
            </w:r>
          </w:p>
        </w:tc>
        <w:tc>
          <w:tcPr>
            <w:tcW w:w="763" w:type="dxa"/>
            <w:shd w:val="clear" w:color="auto" w:fill="auto"/>
            <w:noWrap/>
            <w:tcMar>
              <w:top w:w="29" w:type="dxa"/>
              <w:left w:w="115" w:type="dxa"/>
              <w:bottom w:w="29" w:type="dxa"/>
              <w:right w:w="115" w:type="dxa"/>
            </w:tcMar>
            <w:vAlign w:val="center"/>
            <w:hideMark/>
          </w:tcPr>
          <w:p w14:paraId="54190858"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31,143</w:t>
            </w:r>
          </w:p>
        </w:tc>
        <w:tc>
          <w:tcPr>
            <w:tcW w:w="763" w:type="dxa"/>
            <w:shd w:val="clear" w:color="auto" w:fill="auto"/>
            <w:noWrap/>
            <w:tcMar>
              <w:top w:w="29" w:type="dxa"/>
              <w:left w:w="115" w:type="dxa"/>
              <w:bottom w:w="29" w:type="dxa"/>
              <w:right w:w="115" w:type="dxa"/>
            </w:tcMar>
            <w:vAlign w:val="center"/>
            <w:hideMark/>
          </w:tcPr>
          <w:p w14:paraId="5F6204B0"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31,319</w:t>
            </w:r>
          </w:p>
        </w:tc>
        <w:tc>
          <w:tcPr>
            <w:tcW w:w="763" w:type="dxa"/>
            <w:shd w:val="clear" w:color="auto" w:fill="auto"/>
            <w:noWrap/>
            <w:tcMar>
              <w:top w:w="29" w:type="dxa"/>
              <w:left w:w="115" w:type="dxa"/>
              <w:bottom w:w="29" w:type="dxa"/>
              <w:right w:w="115" w:type="dxa"/>
            </w:tcMar>
            <w:vAlign w:val="center"/>
            <w:hideMark/>
          </w:tcPr>
          <w:p w14:paraId="4E5AC348"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31,501</w:t>
            </w:r>
          </w:p>
        </w:tc>
        <w:tc>
          <w:tcPr>
            <w:tcW w:w="763" w:type="dxa"/>
            <w:shd w:val="clear" w:color="auto" w:fill="auto"/>
            <w:noWrap/>
            <w:tcMar>
              <w:top w:w="29" w:type="dxa"/>
              <w:left w:w="115" w:type="dxa"/>
              <w:bottom w:w="29" w:type="dxa"/>
              <w:right w:w="115" w:type="dxa"/>
            </w:tcMar>
            <w:vAlign w:val="center"/>
            <w:hideMark/>
          </w:tcPr>
          <w:p w14:paraId="0B0277DA"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31,687</w:t>
            </w:r>
          </w:p>
        </w:tc>
        <w:tc>
          <w:tcPr>
            <w:tcW w:w="763" w:type="dxa"/>
            <w:shd w:val="clear" w:color="auto" w:fill="auto"/>
            <w:noWrap/>
            <w:tcMar>
              <w:top w:w="29" w:type="dxa"/>
              <w:left w:w="115" w:type="dxa"/>
              <w:bottom w:w="29" w:type="dxa"/>
              <w:right w:w="115" w:type="dxa"/>
            </w:tcMar>
            <w:vAlign w:val="center"/>
            <w:hideMark/>
          </w:tcPr>
          <w:p w14:paraId="78BC9FBD"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31,881</w:t>
            </w:r>
          </w:p>
        </w:tc>
        <w:tc>
          <w:tcPr>
            <w:tcW w:w="763" w:type="dxa"/>
            <w:shd w:val="clear" w:color="auto" w:fill="auto"/>
            <w:noWrap/>
            <w:tcMar>
              <w:top w:w="29" w:type="dxa"/>
              <w:left w:w="115" w:type="dxa"/>
              <w:bottom w:w="29" w:type="dxa"/>
              <w:right w:w="115" w:type="dxa"/>
            </w:tcMar>
            <w:vAlign w:val="center"/>
            <w:hideMark/>
          </w:tcPr>
          <w:p w14:paraId="774902AE"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Calibri" w:hAnsi="Calibri" w:cs="Calibri"/>
                <w:b/>
                <w:sz w:val="18"/>
                <w:szCs w:val="18"/>
              </w:rPr>
              <w:t>32,086</w:t>
            </w:r>
          </w:p>
        </w:tc>
      </w:tr>
      <w:tr w:rsidR="004C7089" w:rsidRPr="004C7089" w14:paraId="6843E103" w14:textId="77777777" w:rsidTr="004C7089">
        <w:trPr>
          <w:trHeight w:val="525"/>
        </w:trPr>
        <w:tc>
          <w:tcPr>
            <w:tcW w:w="864" w:type="dxa"/>
            <w:vMerge/>
            <w:shd w:val="clear" w:color="auto" w:fill="auto"/>
            <w:noWrap/>
            <w:tcMar>
              <w:top w:w="29" w:type="dxa"/>
              <w:left w:w="115" w:type="dxa"/>
              <w:bottom w:w="29" w:type="dxa"/>
              <w:right w:w="115" w:type="dxa"/>
            </w:tcMar>
            <w:vAlign w:val="center"/>
            <w:hideMark/>
          </w:tcPr>
          <w:p w14:paraId="4DD6DC54"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46CF66C5"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14:paraId="1DA66EC2"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14:paraId="14F3BE21" w14:textId="77777777" w:rsidR="004C7089" w:rsidRPr="006B0FAA" w:rsidRDefault="004C7089">
            <w:pPr>
              <w:keepNext/>
              <w:keepLines/>
              <w:spacing w:after="0" w:line="240" w:lineRule="auto"/>
              <w:jc w:val="center"/>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14:paraId="65D1AD8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14:paraId="37FC424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14:paraId="63879D3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hideMark/>
          </w:tcPr>
          <w:p w14:paraId="64A8529A"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hideMark/>
          </w:tcPr>
          <w:p w14:paraId="2875BA2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hideMark/>
          </w:tcPr>
          <w:p w14:paraId="4774678E"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hideMark/>
          </w:tcPr>
          <w:p w14:paraId="57B57B31"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33,870</w:t>
            </w:r>
          </w:p>
        </w:tc>
      </w:tr>
      <w:tr w:rsidR="004C7089" w:rsidRPr="004C7089" w14:paraId="25BB24D6" w14:textId="77777777" w:rsidTr="004C7089">
        <w:trPr>
          <w:trHeight w:val="480"/>
        </w:trPr>
        <w:tc>
          <w:tcPr>
            <w:tcW w:w="864" w:type="dxa"/>
            <w:vMerge/>
            <w:shd w:val="clear" w:color="auto" w:fill="auto"/>
            <w:noWrap/>
            <w:tcMar>
              <w:top w:w="29" w:type="dxa"/>
              <w:left w:w="115" w:type="dxa"/>
              <w:bottom w:w="29" w:type="dxa"/>
              <w:right w:w="115" w:type="dxa"/>
            </w:tcMar>
            <w:vAlign w:val="center"/>
            <w:hideMark/>
          </w:tcPr>
          <w:p w14:paraId="0F1C249B"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45B51318"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14:paraId="4EAA4FD1"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76C4E56E"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7AA2AB5D"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4D94F91C"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6725776B"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23633251"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2F8E1D3A"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7A03FEB4"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064F27EB"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14:paraId="60FC7520" w14:textId="77777777" w:rsidTr="004C7089">
        <w:trPr>
          <w:trHeight w:val="300"/>
        </w:trPr>
        <w:tc>
          <w:tcPr>
            <w:tcW w:w="864" w:type="dxa"/>
            <w:vMerge/>
            <w:shd w:val="clear" w:color="auto" w:fill="auto"/>
            <w:noWrap/>
            <w:tcMar>
              <w:top w:w="29" w:type="dxa"/>
              <w:left w:w="115" w:type="dxa"/>
              <w:bottom w:w="29" w:type="dxa"/>
              <w:right w:w="115" w:type="dxa"/>
            </w:tcMar>
            <w:vAlign w:val="center"/>
            <w:hideMark/>
          </w:tcPr>
          <w:p w14:paraId="1780DDA4"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45C3A363" w14:textId="77777777"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auto" w:fill="CCEAF9" w:themeFill="accent1" w:themeFillTint="33"/>
            <w:noWrap/>
            <w:tcMar>
              <w:top w:w="29" w:type="dxa"/>
              <w:left w:w="115" w:type="dxa"/>
              <w:bottom w:w="29" w:type="dxa"/>
              <w:right w:w="115" w:type="dxa"/>
            </w:tcMar>
            <w:vAlign w:val="center"/>
            <w:hideMark/>
          </w:tcPr>
          <w:p w14:paraId="7D5FD963" w14:textId="77777777"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31,420</w:t>
            </w:r>
          </w:p>
        </w:tc>
        <w:tc>
          <w:tcPr>
            <w:tcW w:w="763" w:type="dxa"/>
            <w:shd w:val="clear" w:color="auto" w:fill="CCEAF9" w:themeFill="accent1" w:themeFillTint="33"/>
            <w:noWrap/>
            <w:tcMar>
              <w:top w:w="29" w:type="dxa"/>
              <w:left w:w="115" w:type="dxa"/>
              <w:bottom w:w="29" w:type="dxa"/>
              <w:right w:w="115" w:type="dxa"/>
            </w:tcMar>
            <w:vAlign w:val="center"/>
            <w:hideMark/>
          </w:tcPr>
          <w:p w14:paraId="6123B5A8" w14:textId="77777777"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31,450</w:t>
            </w:r>
          </w:p>
        </w:tc>
        <w:tc>
          <w:tcPr>
            <w:tcW w:w="763" w:type="dxa"/>
            <w:shd w:val="clear" w:color="auto" w:fill="CCEAF9" w:themeFill="accent1" w:themeFillTint="33"/>
            <w:noWrap/>
            <w:tcMar>
              <w:top w:w="29" w:type="dxa"/>
              <w:left w:w="115" w:type="dxa"/>
              <w:bottom w:w="29" w:type="dxa"/>
              <w:right w:w="115" w:type="dxa"/>
            </w:tcMar>
            <w:vAlign w:val="center"/>
            <w:hideMark/>
          </w:tcPr>
          <w:p w14:paraId="31FCD043" w14:textId="77777777"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31,650</w:t>
            </w:r>
          </w:p>
        </w:tc>
        <w:tc>
          <w:tcPr>
            <w:tcW w:w="763" w:type="dxa"/>
            <w:shd w:val="clear" w:color="auto" w:fill="CCEAF9" w:themeFill="accent1" w:themeFillTint="33"/>
            <w:noWrap/>
            <w:tcMar>
              <w:top w:w="29" w:type="dxa"/>
              <w:left w:w="115" w:type="dxa"/>
              <w:bottom w:w="29" w:type="dxa"/>
              <w:right w:w="115" w:type="dxa"/>
            </w:tcMar>
            <w:vAlign w:val="center"/>
            <w:hideMark/>
          </w:tcPr>
          <w:p w14:paraId="4ACE7933" w14:textId="77777777" w:rsidR="004C7089" w:rsidRPr="006B0FAA" w:rsidRDefault="004C7089">
            <w:pPr>
              <w:keepNext/>
              <w:keepLines/>
              <w:spacing w:after="0" w:line="240" w:lineRule="auto"/>
              <w:jc w:val="right"/>
              <w:rPr>
                <w:rFonts w:asciiTheme="majorHAnsi" w:eastAsia="Times New Roman" w:hAnsiTheme="majorHAnsi"/>
                <w:b/>
                <w:bCs/>
                <w:sz w:val="18"/>
                <w:szCs w:val="18"/>
              </w:rPr>
            </w:pPr>
            <w:r w:rsidRPr="006B0FAA">
              <w:rPr>
                <w:rFonts w:asciiTheme="majorHAnsi" w:hAnsiTheme="majorHAnsi"/>
                <w:b/>
                <w:bCs/>
                <w:sz w:val="18"/>
                <w:szCs w:val="18"/>
              </w:rPr>
              <w:t>N/A</w:t>
            </w:r>
          </w:p>
        </w:tc>
        <w:tc>
          <w:tcPr>
            <w:tcW w:w="763" w:type="dxa"/>
            <w:shd w:val="clear" w:color="auto" w:fill="CCEAF9" w:themeFill="accent1" w:themeFillTint="33"/>
            <w:noWrap/>
            <w:tcMar>
              <w:top w:w="29" w:type="dxa"/>
              <w:left w:w="115" w:type="dxa"/>
              <w:bottom w:w="29" w:type="dxa"/>
              <w:right w:w="115" w:type="dxa"/>
            </w:tcMar>
            <w:vAlign w:val="center"/>
            <w:hideMark/>
          </w:tcPr>
          <w:p w14:paraId="6E0C71B7"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auto" w:fill="CCEAF9" w:themeFill="accent1" w:themeFillTint="33"/>
            <w:noWrap/>
            <w:tcMar>
              <w:top w:w="29" w:type="dxa"/>
              <w:left w:w="115" w:type="dxa"/>
              <w:bottom w:w="29" w:type="dxa"/>
              <w:right w:w="115" w:type="dxa"/>
            </w:tcMar>
            <w:vAlign w:val="center"/>
            <w:hideMark/>
          </w:tcPr>
          <w:p w14:paraId="6E7371AA"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auto" w:fill="CCEAF9" w:themeFill="accent1" w:themeFillTint="33"/>
            <w:noWrap/>
            <w:tcMar>
              <w:top w:w="29" w:type="dxa"/>
              <w:left w:w="115" w:type="dxa"/>
              <w:bottom w:w="29" w:type="dxa"/>
              <w:right w:w="115" w:type="dxa"/>
            </w:tcMar>
            <w:vAlign w:val="center"/>
            <w:hideMark/>
          </w:tcPr>
          <w:p w14:paraId="5DDC6E15"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auto" w:fill="CCEAF9" w:themeFill="accent1" w:themeFillTint="33"/>
            <w:noWrap/>
            <w:tcMar>
              <w:top w:w="29" w:type="dxa"/>
              <w:left w:w="115" w:type="dxa"/>
              <w:bottom w:w="29" w:type="dxa"/>
              <w:right w:w="115" w:type="dxa"/>
            </w:tcMar>
            <w:vAlign w:val="center"/>
            <w:hideMark/>
          </w:tcPr>
          <w:p w14:paraId="6C78080C"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auto" w:fill="CCEAF9" w:themeFill="accent1" w:themeFillTint="33"/>
            <w:noWrap/>
            <w:tcMar>
              <w:top w:w="29" w:type="dxa"/>
              <w:left w:w="115" w:type="dxa"/>
              <w:bottom w:w="29" w:type="dxa"/>
              <w:right w:w="115" w:type="dxa"/>
            </w:tcMar>
            <w:vAlign w:val="center"/>
            <w:hideMark/>
          </w:tcPr>
          <w:p w14:paraId="53D9AE31"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14:paraId="12DAB842" w14:textId="77777777" w:rsidTr="004C7089">
        <w:trPr>
          <w:trHeight w:val="540"/>
        </w:trPr>
        <w:tc>
          <w:tcPr>
            <w:tcW w:w="864" w:type="dxa"/>
            <w:vMerge/>
            <w:shd w:val="clear" w:color="auto" w:fill="auto"/>
            <w:noWrap/>
            <w:tcMar>
              <w:top w:w="29" w:type="dxa"/>
              <w:left w:w="115" w:type="dxa"/>
              <w:bottom w:w="29" w:type="dxa"/>
              <w:right w:w="115" w:type="dxa"/>
            </w:tcMar>
            <w:vAlign w:val="center"/>
            <w:hideMark/>
          </w:tcPr>
          <w:p w14:paraId="502638F8"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14:paraId="656474F5" w14:textId="77777777"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50/50 forecast</w:t>
            </w:r>
          </w:p>
        </w:tc>
        <w:tc>
          <w:tcPr>
            <w:tcW w:w="763" w:type="dxa"/>
            <w:shd w:val="clear" w:color="auto" w:fill="9AD6F4" w:themeFill="accent1" w:themeFillTint="66"/>
            <w:noWrap/>
            <w:tcMar>
              <w:top w:w="29" w:type="dxa"/>
              <w:left w:w="115" w:type="dxa"/>
              <w:bottom w:w="29" w:type="dxa"/>
              <w:right w:w="115" w:type="dxa"/>
            </w:tcMar>
            <w:hideMark/>
          </w:tcPr>
          <w:p w14:paraId="59E7C64D" w14:textId="77777777" w:rsidR="004C7089" w:rsidRPr="006B0FAA" w:rsidRDefault="004C7089">
            <w:pPr>
              <w:keepNext/>
              <w:keepLines/>
              <w:spacing w:after="0" w:line="240" w:lineRule="auto"/>
              <w:jc w:val="right"/>
              <w:rPr>
                <w:rFonts w:asciiTheme="majorHAnsi" w:hAnsiTheme="majorHAnsi"/>
                <w:b/>
                <w:sz w:val="18"/>
                <w:szCs w:val="18"/>
              </w:rPr>
            </w:pPr>
          </w:p>
          <w:p w14:paraId="2BAF5602"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762</w:t>
            </w:r>
          </w:p>
        </w:tc>
        <w:tc>
          <w:tcPr>
            <w:tcW w:w="763" w:type="dxa"/>
            <w:shd w:val="clear" w:color="auto" w:fill="9AD6F4" w:themeFill="accent1" w:themeFillTint="66"/>
            <w:noWrap/>
            <w:tcMar>
              <w:top w:w="29" w:type="dxa"/>
              <w:left w:w="115" w:type="dxa"/>
              <w:bottom w:w="29" w:type="dxa"/>
              <w:right w:w="115" w:type="dxa"/>
            </w:tcMar>
            <w:hideMark/>
          </w:tcPr>
          <w:p w14:paraId="008362FF" w14:textId="77777777" w:rsidR="004C7089" w:rsidRPr="006B0FAA" w:rsidRDefault="004C7089">
            <w:pPr>
              <w:keepNext/>
              <w:keepLines/>
              <w:spacing w:after="0" w:line="240" w:lineRule="auto"/>
              <w:jc w:val="right"/>
              <w:rPr>
                <w:rFonts w:asciiTheme="majorHAnsi" w:hAnsiTheme="majorHAnsi"/>
                <w:b/>
                <w:sz w:val="18"/>
                <w:szCs w:val="18"/>
              </w:rPr>
            </w:pPr>
          </w:p>
          <w:p w14:paraId="4B798310"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646</w:t>
            </w:r>
          </w:p>
        </w:tc>
        <w:tc>
          <w:tcPr>
            <w:tcW w:w="763" w:type="dxa"/>
            <w:shd w:val="clear" w:color="auto" w:fill="9AD6F4" w:themeFill="accent1" w:themeFillTint="66"/>
            <w:noWrap/>
            <w:tcMar>
              <w:top w:w="29" w:type="dxa"/>
              <w:left w:w="115" w:type="dxa"/>
              <w:bottom w:w="29" w:type="dxa"/>
              <w:right w:w="115" w:type="dxa"/>
            </w:tcMar>
            <w:hideMark/>
          </w:tcPr>
          <w:p w14:paraId="0FA5E006" w14:textId="77777777" w:rsidR="004C7089" w:rsidRPr="006B0FAA" w:rsidRDefault="004C7089">
            <w:pPr>
              <w:keepNext/>
              <w:keepLines/>
              <w:spacing w:after="0" w:line="240" w:lineRule="auto"/>
              <w:jc w:val="right"/>
              <w:rPr>
                <w:rFonts w:asciiTheme="majorHAnsi" w:hAnsiTheme="majorHAnsi"/>
                <w:b/>
                <w:sz w:val="18"/>
                <w:szCs w:val="18"/>
              </w:rPr>
            </w:pPr>
          </w:p>
          <w:p w14:paraId="698FF1A3"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675</w:t>
            </w:r>
          </w:p>
        </w:tc>
        <w:tc>
          <w:tcPr>
            <w:tcW w:w="763" w:type="dxa"/>
            <w:shd w:val="clear" w:color="auto" w:fill="9AD6F4" w:themeFill="accent1" w:themeFillTint="66"/>
            <w:noWrap/>
            <w:tcMar>
              <w:top w:w="29" w:type="dxa"/>
              <w:left w:w="115" w:type="dxa"/>
              <w:bottom w:w="29" w:type="dxa"/>
              <w:right w:w="115" w:type="dxa"/>
            </w:tcMar>
            <w:hideMark/>
          </w:tcPr>
          <w:p w14:paraId="5235E18A" w14:textId="77777777" w:rsidR="004C7089" w:rsidRPr="006B0FAA" w:rsidRDefault="004C7089">
            <w:pPr>
              <w:keepNext/>
              <w:keepLines/>
              <w:spacing w:after="0" w:line="240" w:lineRule="auto"/>
              <w:jc w:val="right"/>
              <w:rPr>
                <w:rFonts w:asciiTheme="majorHAnsi" w:hAnsiTheme="majorHAnsi"/>
                <w:b/>
                <w:sz w:val="18"/>
                <w:szCs w:val="18"/>
              </w:rPr>
            </w:pPr>
          </w:p>
          <w:p w14:paraId="781A577A"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b/>
                <w:sz w:val="18"/>
                <w:szCs w:val="18"/>
              </w:rPr>
              <w:t>N/A</w:t>
            </w:r>
          </w:p>
        </w:tc>
        <w:tc>
          <w:tcPr>
            <w:tcW w:w="763" w:type="dxa"/>
            <w:shd w:val="clear" w:color="auto" w:fill="9AD6F4" w:themeFill="accent1" w:themeFillTint="66"/>
            <w:noWrap/>
            <w:tcMar>
              <w:top w:w="29" w:type="dxa"/>
              <w:left w:w="115" w:type="dxa"/>
              <w:bottom w:w="29" w:type="dxa"/>
              <w:right w:w="115" w:type="dxa"/>
            </w:tcMar>
            <w:hideMark/>
          </w:tcPr>
          <w:p w14:paraId="259AD630" w14:textId="77777777" w:rsidR="004C7089" w:rsidRPr="006B0FAA" w:rsidRDefault="004C7089">
            <w:pPr>
              <w:keepNext/>
              <w:keepLines/>
              <w:spacing w:after="0" w:line="240" w:lineRule="auto"/>
              <w:jc w:val="right"/>
              <w:rPr>
                <w:rFonts w:asciiTheme="majorHAnsi" w:hAnsiTheme="majorHAnsi"/>
                <w:b/>
                <w:sz w:val="18"/>
                <w:szCs w:val="18"/>
              </w:rPr>
            </w:pPr>
          </w:p>
          <w:p w14:paraId="4017B472"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469</w:t>
            </w:r>
          </w:p>
        </w:tc>
        <w:tc>
          <w:tcPr>
            <w:tcW w:w="763" w:type="dxa"/>
            <w:shd w:val="clear" w:color="auto" w:fill="9AD6F4" w:themeFill="accent1" w:themeFillTint="66"/>
            <w:noWrap/>
            <w:tcMar>
              <w:top w:w="29" w:type="dxa"/>
              <w:left w:w="115" w:type="dxa"/>
              <w:bottom w:w="29" w:type="dxa"/>
              <w:right w:w="115" w:type="dxa"/>
            </w:tcMar>
            <w:hideMark/>
          </w:tcPr>
          <w:p w14:paraId="68725E6A" w14:textId="77777777" w:rsidR="004C7089" w:rsidRPr="006B0FAA" w:rsidRDefault="004C7089">
            <w:pPr>
              <w:keepNext/>
              <w:keepLines/>
              <w:spacing w:after="0" w:line="240" w:lineRule="auto"/>
              <w:jc w:val="right"/>
              <w:rPr>
                <w:rFonts w:asciiTheme="majorHAnsi" w:hAnsiTheme="majorHAnsi"/>
                <w:b/>
                <w:sz w:val="18"/>
                <w:szCs w:val="18"/>
              </w:rPr>
            </w:pPr>
          </w:p>
          <w:p w14:paraId="069D0305"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436</w:t>
            </w:r>
          </w:p>
        </w:tc>
        <w:tc>
          <w:tcPr>
            <w:tcW w:w="763" w:type="dxa"/>
            <w:shd w:val="clear" w:color="auto" w:fill="9AD6F4" w:themeFill="accent1" w:themeFillTint="66"/>
            <w:noWrap/>
            <w:tcMar>
              <w:top w:w="29" w:type="dxa"/>
              <w:left w:w="115" w:type="dxa"/>
              <w:bottom w:w="29" w:type="dxa"/>
              <w:right w:w="115" w:type="dxa"/>
            </w:tcMar>
          </w:tcPr>
          <w:p w14:paraId="5089899E" w14:textId="77777777" w:rsidR="004C7089" w:rsidRPr="006B0FAA" w:rsidRDefault="004C7089">
            <w:pPr>
              <w:keepNext/>
              <w:keepLines/>
              <w:spacing w:after="0" w:line="240" w:lineRule="auto"/>
              <w:jc w:val="right"/>
              <w:rPr>
                <w:rFonts w:asciiTheme="majorHAnsi" w:hAnsiTheme="majorHAnsi"/>
                <w:b/>
                <w:sz w:val="18"/>
                <w:szCs w:val="18"/>
              </w:rPr>
            </w:pPr>
          </w:p>
          <w:p w14:paraId="47715215"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397</w:t>
            </w:r>
          </w:p>
        </w:tc>
        <w:tc>
          <w:tcPr>
            <w:tcW w:w="763" w:type="dxa"/>
            <w:shd w:val="clear" w:color="auto" w:fill="9AD6F4" w:themeFill="accent1" w:themeFillTint="66"/>
            <w:noWrap/>
            <w:tcMar>
              <w:top w:w="29" w:type="dxa"/>
              <w:left w:w="115" w:type="dxa"/>
              <w:bottom w:w="29" w:type="dxa"/>
              <w:right w:w="115" w:type="dxa"/>
            </w:tcMar>
          </w:tcPr>
          <w:p w14:paraId="6166C7BE" w14:textId="77777777" w:rsidR="004C7089" w:rsidRPr="006B0FAA" w:rsidRDefault="004C7089">
            <w:pPr>
              <w:keepNext/>
              <w:keepLines/>
              <w:spacing w:after="0" w:line="240" w:lineRule="auto"/>
              <w:jc w:val="right"/>
              <w:rPr>
                <w:rFonts w:asciiTheme="majorHAnsi" w:hAnsiTheme="majorHAnsi"/>
                <w:b/>
                <w:sz w:val="18"/>
                <w:szCs w:val="18"/>
              </w:rPr>
            </w:pPr>
          </w:p>
          <w:p w14:paraId="3F09B53E"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356</w:t>
            </w:r>
          </w:p>
        </w:tc>
        <w:tc>
          <w:tcPr>
            <w:tcW w:w="763" w:type="dxa"/>
            <w:shd w:val="clear" w:color="auto" w:fill="9AD6F4" w:themeFill="accent1" w:themeFillTint="66"/>
            <w:noWrap/>
            <w:tcMar>
              <w:top w:w="29" w:type="dxa"/>
              <w:left w:w="115" w:type="dxa"/>
              <w:bottom w:w="29" w:type="dxa"/>
              <w:right w:w="115" w:type="dxa"/>
            </w:tcMar>
          </w:tcPr>
          <w:p w14:paraId="727AD09B" w14:textId="77777777" w:rsidR="004C7089" w:rsidRPr="006B0FAA" w:rsidRDefault="004C7089">
            <w:pPr>
              <w:keepNext/>
              <w:keepLines/>
              <w:spacing w:after="0" w:line="240" w:lineRule="auto"/>
              <w:jc w:val="right"/>
              <w:rPr>
                <w:rFonts w:asciiTheme="majorHAnsi" w:hAnsiTheme="majorHAnsi"/>
                <w:b/>
                <w:sz w:val="18"/>
                <w:szCs w:val="18"/>
              </w:rPr>
            </w:pPr>
          </w:p>
          <w:p w14:paraId="6CA1B647" w14:textId="77777777" w:rsidR="004C7089" w:rsidRPr="006B0FAA" w:rsidRDefault="004C7089">
            <w:pPr>
              <w:keepNext/>
              <w:keepLines/>
              <w:spacing w:after="0" w:line="240" w:lineRule="auto"/>
              <w:jc w:val="right"/>
              <w:rPr>
                <w:rFonts w:asciiTheme="majorHAnsi" w:hAnsiTheme="majorHAnsi"/>
                <w:b/>
                <w:sz w:val="18"/>
                <w:szCs w:val="18"/>
              </w:rPr>
            </w:pPr>
            <w:r w:rsidRPr="006B0FAA">
              <w:rPr>
                <w:rFonts w:asciiTheme="majorHAnsi" w:hAnsiTheme="majorHAnsi"/>
                <w:sz w:val="18"/>
                <w:szCs w:val="18"/>
              </w:rPr>
              <w:t>−</w:t>
            </w:r>
            <w:r w:rsidRPr="006B0FAA">
              <w:rPr>
                <w:rFonts w:asciiTheme="majorHAnsi" w:hAnsiTheme="majorHAnsi"/>
                <w:b/>
                <w:sz w:val="18"/>
                <w:szCs w:val="18"/>
              </w:rPr>
              <w:t>316</w:t>
            </w:r>
          </w:p>
        </w:tc>
      </w:tr>
      <w:tr w:rsidR="004C7089" w:rsidRPr="004C7089" w14:paraId="050D61C0" w14:textId="77777777" w:rsidTr="004C7089">
        <w:trPr>
          <w:trHeight w:val="300"/>
        </w:trPr>
        <w:tc>
          <w:tcPr>
            <w:tcW w:w="864" w:type="dxa"/>
            <w:vMerge w:val="restart"/>
            <w:shd w:val="clear" w:color="auto" w:fill="CCEAF9" w:themeFill="accent1" w:themeFillTint="33"/>
            <w:noWrap/>
            <w:tcMar>
              <w:top w:w="29" w:type="dxa"/>
              <w:left w:w="115" w:type="dxa"/>
              <w:bottom w:w="29" w:type="dxa"/>
              <w:right w:w="115" w:type="dxa"/>
            </w:tcMar>
            <w:vAlign w:val="center"/>
            <w:hideMark/>
          </w:tcPr>
          <w:p w14:paraId="6BDB7632" w14:textId="77777777" w:rsidR="004C7089" w:rsidRPr="004C7089" w:rsidRDefault="004C7089">
            <w:pPr>
              <w:keepNext/>
              <w:keepLines/>
              <w:spacing w:after="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tcMar>
              <w:top w:w="29" w:type="dxa"/>
              <w:left w:w="115" w:type="dxa"/>
              <w:bottom w:w="29" w:type="dxa"/>
              <w:right w:w="115" w:type="dxa"/>
            </w:tcMar>
            <w:vAlign w:val="center"/>
            <w:hideMark/>
          </w:tcPr>
          <w:p w14:paraId="5D523B2C"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Load net of BTM PV</w:t>
            </w:r>
          </w:p>
        </w:tc>
        <w:tc>
          <w:tcPr>
            <w:tcW w:w="763" w:type="dxa"/>
            <w:shd w:val="clear" w:color="auto" w:fill="auto"/>
            <w:noWrap/>
            <w:tcMar>
              <w:top w:w="29" w:type="dxa"/>
              <w:left w:w="115" w:type="dxa"/>
              <w:bottom w:w="29" w:type="dxa"/>
              <w:right w:w="115" w:type="dxa"/>
            </w:tcMar>
            <w:vAlign w:val="center"/>
            <w:hideMark/>
          </w:tcPr>
          <w:p w14:paraId="36B4ED1D"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30,273</w:t>
            </w:r>
          </w:p>
        </w:tc>
        <w:tc>
          <w:tcPr>
            <w:tcW w:w="763" w:type="dxa"/>
            <w:shd w:val="clear" w:color="auto" w:fill="auto"/>
            <w:noWrap/>
            <w:tcMar>
              <w:top w:w="29" w:type="dxa"/>
              <w:left w:w="115" w:type="dxa"/>
              <w:bottom w:w="29" w:type="dxa"/>
              <w:right w:w="115" w:type="dxa"/>
            </w:tcMar>
            <w:vAlign w:val="center"/>
            <w:hideMark/>
          </w:tcPr>
          <w:p w14:paraId="55F93B1D"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30,449</w:t>
            </w:r>
          </w:p>
        </w:tc>
        <w:tc>
          <w:tcPr>
            <w:tcW w:w="763" w:type="dxa"/>
            <w:shd w:val="clear" w:color="auto" w:fill="auto"/>
            <w:noWrap/>
            <w:tcMar>
              <w:top w:w="29" w:type="dxa"/>
              <w:left w:w="115" w:type="dxa"/>
              <w:bottom w:w="29" w:type="dxa"/>
              <w:right w:w="115" w:type="dxa"/>
            </w:tcMar>
            <w:vAlign w:val="center"/>
            <w:hideMark/>
          </w:tcPr>
          <w:p w14:paraId="555DAF9C"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30,652</w:t>
            </w:r>
          </w:p>
        </w:tc>
        <w:tc>
          <w:tcPr>
            <w:tcW w:w="763" w:type="dxa"/>
            <w:shd w:val="clear" w:color="auto" w:fill="auto"/>
            <w:noWrap/>
            <w:tcMar>
              <w:top w:w="29" w:type="dxa"/>
              <w:left w:w="115" w:type="dxa"/>
              <w:bottom w:w="29" w:type="dxa"/>
              <w:right w:w="115" w:type="dxa"/>
            </w:tcMar>
            <w:vAlign w:val="center"/>
            <w:hideMark/>
          </w:tcPr>
          <w:p w14:paraId="0626D8FB"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30,851</w:t>
            </w:r>
          </w:p>
        </w:tc>
        <w:tc>
          <w:tcPr>
            <w:tcW w:w="763" w:type="dxa"/>
            <w:shd w:val="clear" w:color="auto" w:fill="auto"/>
            <w:noWrap/>
            <w:tcMar>
              <w:top w:w="29" w:type="dxa"/>
              <w:left w:w="115" w:type="dxa"/>
              <w:bottom w:w="29" w:type="dxa"/>
              <w:right w:w="115" w:type="dxa"/>
            </w:tcMar>
            <w:vAlign w:val="center"/>
            <w:hideMark/>
          </w:tcPr>
          <w:p w14:paraId="1B5EB87A"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31,058</w:t>
            </w:r>
          </w:p>
        </w:tc>
        <w:tc>
          <w:tcPr>
            <w:tcW w:w="763" w:type="dxa"/>
            <w:shd w:val="clear" w:color="auto" w:fill="auto"/>
            <w:noWrap/>
            <w:tcMar>
              <w:top w:w="29" w:type="dxa"/>
              <w:left w:w="115" w:type="dxa"/>
              <w:bottom w:w="29" w:type="dxa"/>
              <w:right w:w="115" w:type="dxa"/>
            </w:tcMar>
            <w:vAlign w:val="center"/>
            <w:hideMark/>
          </w:tcPr>
          <w:p w14:paraId="1BD7E901"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31,270</w:t>
            </w:r>
          </w:p>
        </w:tc>
        <w:tc>
          <w:tcPr>
            <w:tcW w:w="763" w:type="dxa"/>
            <w:shd w:val="clear" w:color="auto" w:fill="auto"/>
            <w:noWrap/>
            <w:tcMar>
              <w:top w:w="29" w:type="dxa"/>
              <w:left w:w="115" w:type="dxa"/>
              <w:bottom w:w="29" w:type="dxa"/>
              <w:right w:w="115" w:type="dxa"/>
            </w:tcMar>
            <w:vAlign w:val="center"/>
            <w:hideMark/>
          </w:tcPr>
          <w:p w14:paraId="4512862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31,488</w:t>
            </w:r>
          </w:p>
        </w:tc>
        <w:tc>
          <w:tcPr>
            <w:tcW w:w="763" w:type="dxa"/>
            <w:shd w:val="clear" w:color="auto" w:fill="auto"/>
            <w:noWrap/>
            <w:tcMar>
              <w:top w:w="29" w:type="dxa"/>
              <w:left w:w="115" w:type="dxa"/>
              <w:bottom w:w="29" w:type="dxa"/>
              <w:right w:w="115" w:type="dxa"/>
            </w:tcMar>
            <w:vAlign w:val="center"/>
            <w:hideMark/>
          </w:tcPr>
          <w:p w14:paraId="72B2831A"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31,713</w:t>
            </w:r>
          </w:p>
        </w:tc>
        <w:tc>
          <w:tcPr>
            <w:tcW w:w="763" w:type="dxa"/>
            <w:shd w:val="clear" w:color="auto" w:fill="auto"/>
            <w:noWrap/>
            <w:tcMar>
              <w:top w:w="29" w:type="dxa"/>
              <w:left w:w="115" w:type="dxa"/>
              <w:bottom w:w="29" w:type="dxa"/>
              <w:right w:w="115" w:type="dxa"/>
            </w:tcMar>
            <w:vAlign w:val="center"/>
            <w:hideMark/>
          </w:tcPr>
          <w:p w14:paraId="455C67F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805C72">
              <w:rPr>
                <w:rFonts w:ascii="Calibri" w:hAnsi="Calibri" w:cs="Calibri"/>
                <w:sz w:val="18"/>
                <w:szCs w:val="18"/>
              </w:rPr>
              <w:t>31,948</w:t>
            </w:r>
          </w:p>
        </w:tc>
      </w:tr>
      <w:tr w:rsidR="004C7089" w:rsidRPr="004C7089" w14:paraId="39274398" w14:textId="77777777"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14:paraId="6D6BAF41"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14:paraId="572F4CC5"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Operating reserves</w:t>
            </w:r>
            <w:r w:rsidRPr="006B0FAA">
              <w:rPr>
                <w:rFonts w:asciiTheme="majorHAnsi" w:eastAsia="Times New Roman" w:hAnsiTheme="majorHAnsi"/>
                <w:sz w:val="18"/>
                <w:szCs w:val="18"/>
                <w:vertAlign w:val="superscript"/>
              </w:rPr>
              <w:t>(b)</w:t>
            </w:r>
          </w:p>
        </w:tc>
        <w:tc>
          <w:tcPr>
            <w:tcW w:w="763" w:type="dxa"/>
            <w:shd w:val="clear" w:color="auto" w:fill="auto"/>
            <w:noWrap/>
            <w:tcMar>
              <w:top w:w="29" w:type="dxa"/>
              <w:left w:w="115" w:type="dxa"/>
              <w:bottom w:w="29" w:type="dxa"/>
              <w:right w:w="115" w:type="dxa"/>
            </w:tcMar>
            <w:vAlign w:val="center"/>
            <w:hideMark/>
          </w:tcPr>
          <w:p w14:paraId="4CA0FAA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56BCD7B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25AD96A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0F78429B"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139FFCEB"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7BB6773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220893DC"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3E1D23C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c>
          <w:tcPr>
            <w:tcW w:w="763" w:type="dxa"/>
            <w:shd w:val="clear" w:color="auto" w:fill="auto"/>
            <w:noWrap/>
            <w:tcMar>
              <w:top w:w="29" w:type="dxa"/>
              <w:left w:w="115" w:type="dxa"/>
              <w:bottom w:w="29" w:type="dxa"/>
              <w:right w:w="115" w:type="dxa"/>
            </w:tcMar>
            <w:vAlign w:val="center"/>
            <w:hideMark/>
          </w:tcPr>
          <w:p w14:paraId="7EF286B8"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2,305</w:t>
            </w:r>
          </w:p>
        </w:tc>
      </w:tr>
      <w:tr w:rsidR="004C7089" w:rsidRPr="004C7089" w14:paraId="3789DCEA" w14:textId="77777777"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14:paraId="3258F6B6"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auto"/>
            <w:tcMar>
              <w:top w:w="29" w:type="dxa"/>
              <w:left w:w="115" w:type="dxa"/>
              <w:bottom w:w="29" w:type="dxa"/>
              <w:right w:w="115" w:type="dxa"/>
            </w:tcMar>
            <w:vAlign w:val="center"/>
            <w:hideMark/>
          </w:tcPr>
          <w:p w14:paraId="19FD6B74" w14:textId="77777777"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requirement</w:t>
            </w:r>
          </w:p>
        </w:tc>
        <w:tc>
          <w:tcPr>
            <w:tcW w:w="763" w:type="dxa"/>
            <w:shd w:val="clear" w:color="auto" w:fill="auto"/>
            <w:noWrap/>
            <w:tcMar>
              <w:top w:w="29" w:type="dxa"/>
              <w:left w:w="115" w:type="dxa"/>
              <w:bottom w:w="29" w:type="dxa"/>
              <w:right w:w="115" w:type="dxa"/>
            </w:tcMar>
            <w:vAlign w:val="center"/>
            <w:hideMark/>
          </w:tcPr>
          <w:p w14:paraId="2A0FF19F"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32,578</w:t>
            </w:r>
          </w:p>
        </w:tc>
        <w:tc>
          <w:tcPr>
            <w:tcW w:w="763" w:type="dxa"/>
            <w:shd w:val="clear" w:color="auto" w:fill="auto"/>
            <w:noWrap/>
            <w:tcMar>
              <w:top w:w="29" w:type="dxa"/>
              <w:left w:w="115" w:type="dxa"/>
              <w:bottom w:w="29" w:type="dxa"/>
              <w:right w:w="115" w:type="dxa"/>
            </w:tcMar>
            <w:vAlign w:val="center"/>
            <w:hideMark/>
          </w:tcPr>
          <w:p w14:paraId="40B5283E"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32,754</w:t>
            </w:r>
          </w:p>
        </w:tc>
        <w:tc>
          <w:tcPr>
            <w:tcW w:w="763" w:type="dxa"/>
            <w:shd w:val="clear" w:color="auto" w:fill="auto"/>
            <w:noWrap/>
            <w:tcMar>
              <w:top w:w="29" w:type="dxa"/>
              <w:left w:w="115" w:type="dxa"/>
              <w:bottom w:w="29" w:type="dxa"/>
              <w:right w:w="115" w:type="dxa"/>
            </w:tcMar>
            <w:vAlign w:val="center"/>
            <w:hideMark/>
          </w:tcPr>
          <w:p w14:paraId="00D5B74E"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32,957</w:t>
            </w:r>
          </w:p>
        </w:tc>
        <w:tc>
          <w:tcPr>
            <w:tcW w:w="763" w:type="dxa"/>
            <w:shd w:val="clear" w:color="auto" w:fill="auto"/>
            <w:noWrap/>
            <w:tcMar>
              <w:top w:w="29" w:type="dxa"/>
              <w:left w:w="115" w:type="dxa"/>
              <w:bottom w:w="29" w:type="dxa"/>
              <w:right w:w="115" w:type="dxa"/>
            </w:tcMar>
            <w:vAlign w:val="center"/>
            <w:hideMark/>
          </w:tcPr>
          <w:p w14:paraId="21E5EA94"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33,156</w:t>
            </w:r>
          </w:p>
        </w:tc>
        <w:tc>
          <w:tcPr>
            <w:tcW w:w="763" w:type="dxa"/>
            <w:shd w:val="clear" w:color="auto" w:fill="auto"/>
            <w:noWrap/>
            <w:tcMar>
              <w:top w:w="29" w:type="dxa"/>
              <w:left w:w="115" w:type="dxa"/>
              <w:bottom w:w="29" w:type="dxa"/>
              <w:right w:w="115" w:type="dxa"/>
            </w:tcMar>
            <w:vAlign w:val="center"/>
            <w:hideMark/>
          </w:tcPr>
          <w:p w14:paraId="0C64EEEF"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33,363</w:t>
            </w:r>
          </w:p>
        </w:tc>
        <w:tc>
          <w:tcPr>
            <w:tcW w:w="763" w:type="dxa"/>
            <w:shd w:val="clear" w:color="auto" w:fill="auto"/>
            <w:noWrap/>
            <w:tcMar>
              <w:top w:w="29" w:type="dxa"/>
              <w:left w:w="115" w:type="dxa"/>
              <w:bottom w:w="29" w:type="dxa"/>
              <w:right w:w="115" w:type="dxa"/>
            </w:tcMar>
            <w:vAlign w:val="center"/>
            <w:hideMark/>
          </w:tcPr>
          <w:p w14:paraId="172F0A86"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33,575</w:t>
            </w:r>
          </w:p>
        </w:tc>
        <w:tc>
          <w:tcPr>
            <w:tcW w:w="763" w:type="dxa"/>
            <w:shd w:val="clear" w:color="auto" w:fill="auto"/>
            <w:noWrap/>
            <w:tcMar>
              <w:top w:w="29" w:type="dxa"/>
              <w:left w:w="115" w:type="dxa"/>
              <w:bottom w:w="29" w:type="dxa"/>
              <w:right w:w="115" w:type="dxa"/>
            </w:tcMar>
            <w:vAlign w:val="center"/>
            <w:hideMark/>
          </w:tcPr>
          <w:p w14:paraId="02B381A6"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33,793</w:t>
            </w:r>
          </w:p>
        </w:tc>
        <w:tc>
          <w:tcPr>
            <w:tcW w:w="763" w:type="dxa"/>
            <w:shd w:val="clear" w:color="auto" w:fill="auto"/>
            <w:noWrap/>
            <w:tcMar>
              <w:top w:w="29" w:type="dxa"/>
              <w:left w:w="115" w:type="dxa"/>
              <w:bottom w:w="29" w:type="dxa"/>
              <w:right w:w="115" w:type="dxa"/>
            </w:tcMar>
            <w:vAlign w:val="center"/>
            <w:hideMark/>
          </w:tcPr>
          <w:p w14:paraId="3B8179A9"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34,018</w:t>
            </w:r>
          </w:p>
        </w:tc>
        <w:tc>
          <w:tcPr>
            <w:tcW w:w="763" w:type="dxa"/>
            <w:shd w:val="clear" w:color="auto" w:fill="auto"/>
            <w:noWrap/>
            <w:tcMar>
              <w:top w:w="29" w:type="dxa"/>
              <w:left w:w="115" w:type="dxa"/>
              <w:bottom w:w="29" w:type="dxa"/>
              <w:right w:w="115" w:type="dxa"/>
            </w:tcMar>
            <w:vAlign w:val="center"/>
            <w:hideMark/>
          </w:tcPr>
          <w:p w14:paraId="71251B01"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34,253</w:t>
            </w:r>
          </w:p>
        </w:tc>
      </w:tr>
      <w:tr w:rsidR="004C7089" w:rsidRPr="004C7089" w14:paraId="733BEAD4" w14:textId="77777777" w:rsidTr="004C7089">
        <w:trPr>
          <w:trHeight w:val="525"/>
        </w:trPr>
        <w:tc>
          <w:tcPr>
            <w:tcW w:w="864" w:type="dxa"/>
            <w:vMerge/>
            <w:shd w:val="clear" w:color="auto" w:fill="CCEAF9" w:themeFill="accent1" w:themeFillTint="33"/>
            <w:noWrap/>
            <w:tcMar>
              <w:top w:w="29" w:type="dxa"/>
              <w:left w:w="115" w:type="dxa"/>
              <w:bottom w:w="29" w:type="dxa"/>
              <w:right w:w="115" w:type="dxa"/>
            </w:tcMar>
            <w:vAlign w:val="center"/>
            <w:hideMark/>
          </w:tcPr>
          <w:p w14:paraId="3EECD80C"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1F291270"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Installed capacity</w:t>
            </w:r>
            <w:r w:rsidRPr="006B0FAA">
              <w:rPr>
                <w:rFonts w:asciiTheme="majorHAnsi" w:eastAsia="Times New Roman" w:hAnsiTheme="majorHAnsi"/>
                <w:sz w:val="18"/>
                <w:szCs w:val="18"/>
              </w:rPr>
              <w:br/>
              <w:t>(net ICR)</w:t>
            </w:r>
            <w:r w:rsidRPr="006B0FAA">
              <w:rPr>
                <w:rFonts w:asciiTheme="majorHAnsi" w:eastAsia="Times New Roman" w:hAnsiTheme="majorHAnsi"/>
                <w:sz w:val="18"/>
                <w:szCs w:val="18"/>
                <w:vertAlign w:val="superscript"/>
              </w:rPr>
              <w:t>(c)</w:t>
            </w:r>
          </w:p>
        </w:tc>
        <w:tc>
          <w:tcPr>
            <w:tcW w:w="763" w:type="dxa"/>
            <w:shd w:val="clear" w:color="auto" w:fill="CCEAF9" w:themeFill="accent1" w:themeFillTint="33"/>
            <w:noWrap/>
            <w:tcMar>
              <w:top w:w="29" w:type="dxa"/>
              <w:left w:w="115" w:type="dxa"/>
              <w:bottom w:w="29" w:type="dxa"/>
              <w:right w:w="115" w:type="dxa"/>
            </w:tcMar>
            <w:vAlign w:val="center"/>
            <w:hideMark/>
          </w:tcPr>
          <w:p w14:paraId="05B51082"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33,520</w:t>
            </w:r>
          </w:p>
        </w:tc>
        <w:tc>
          <w:tcPr>
            <w:tcW w:w="763" w:type="dxa"/>
            <w:shd w:val="clear" w:color="auto" w:fill="CCEAF9" w:themeFill="accent1" w:themeFillTint="33"/>
            <w:noWrap/>
            <w:tcMar>
              <w:top w:w="29" w:type="dxa"/>
              <w:left w:w="115" w:type="dxa"/>
              <w:bottom w:w="29" w:type="dxa"/>
              <w:right w:w="115" w:type="dxa"/>
            </w:tcMar>
            <w:vAlign w:val="center"/>
            <w:hideMark/>
          </w:tcPr>
          <w:p w14:paraId="0E46F916"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33,550</w:t>
            </w:r>
          </w:p>
        </w:tc>
        <w:tc>
          <w:tcPr>
            <w:tcW w:w="763" w:type="dxa"/>
            <w:shd w:val="clear" w:color="auto" w:fill="CCEAF9" w:themeFill="accent1" w:themeFillTint="33"/>
            <w:noWrap/>
            <w:tcMar>
              <w:top w:w="29" w:type="dxa"/>
              <w:left w:w="115" w:type="dxa"/>
              <w:bottom w:w="29" w:type="dxa"/>
              <w:right w:w="115" w:type="dxa"/>
            </w:tcMar>
            <w:vAlign w:val="center"/>
            <w:hideMark/>
          </w:tcPr>
          <w:p w14:paraId="53CE7AC3"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33,750</w:t>
            </w:r>
          </w:p>
        </w:tc>
        <w:tc>
          <w:tcPr>
            <w:tcW w:w="763" w:type="dxa"/>
            <w:shd w:val="clear" w:color="auto" w:fill="CCEAF9" w:themeFill="accent1" w:themeFillTint="33"/>
            <w:noWrap/>
            <w:tcMar>
              <w:top w:w="29" w:type="dxa"/>
              <w:left w:w="115" w:type="dxa"/>
              <w:bottom w:w="29" w:type="dxa"/>
              <w:right w:w="115" w:type="dxa"/>
            </w:tcMar>
            <w:vAlign w:val="center"/>
            <w:hideMark/>
          </w:tcPr>
          <w:p w14:paraId="33486667"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N/A</w:t>
            </w:r>
          </w:p>
        </w:tc>
        <w:tc>
          <w:tcPr>
            <w:tcW w:w="763" w:type="dxa"/>
            <w:shd w:val="clear" w:color="auto" w:fill="CCEAF9" w:themeFill="accent1" w:themeFillTint="33"/>
            <w:noWrap/>
            <w:tcMar>
              <w:top w:w="29" w:type="dxa"/>
              <w:left w:w="115" w:type="dxa"/>
              <w:bottom w:w="29" w:type="dxa"/>
              <w:right w:w="115" w:type="dxa"/>
            </w:tcMar>
            <w:vAlign w:val="center"/>
          </w:tcPr>
          <w:p w14:paraId="7B8D55E8" w14:textId="77777777"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32,950</w:t>
            </w:r>
          </w:p>
        </w:tc>
        <w:tc>
          <w:tcPr>
            <w:tcW w:w="763" w:type="dxa"/>
            <w:shd w:val="clear" w:color="auto" w:fill="CCEAF9" w:themeFill="accent1" w:themeFillTint="33"/>
            <w:noWrap/>
            <w:tcMar>
              <w:top w:w="29" w:type="dxa"/>
              <w:left w:w="115" w:type="dxa"/>
              <w:bottom w:w="29" w:type="dxa"/>
              <w:right w:w="115" w:type="dxa"/>
            </w:tcMar>
            <w:vAlign w:val="center"/>
          </w:tcPr>
          <w:p w14:paraId="782592F9" w14:textId="77777777"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33,165</w:t>
            </w:r>
          </w:p>
        </w:tc>
        <w:tc>
          <w:tcPr>
            <w:tcW w:w="763" w:type="dxa"/>
            <w:shd w:val="clear" w:color="auto" w:fill="CCEAF9" w:themeFill="accent1" w:themeFillTint="33"/>
            <w:noWrap/>
            <w:tcMar>
              <w:top w:w="29" w:type="dxa"/>
              <w:left w:w="115" w:type="dxa"/>
              <w:bottom w:w="29" w:type="dxa"/>
              <w:right w:w="115" w:type="dxa"/>
            </w:tcMar>
            <w:vAlign w:val="center"/>
          </w:tcPr>
          <w:p w14:paraId="548457A9" w14:textId="77777777"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33,390</w:t>
            </w:r>
          </w:p>
        </w:tc>
        <w:tc>
          <w:tcPr>
            <w:tcW w:w="763" w:type="dxa"/>
            <w:shd w:val="clear" w:color="auto" w:fill="CCEAF9" w:themeFill="accent1" w:themeFillTint="33"/>
            <w:noWrap/>
            <w:tcMar>
              <w:top w:w="29" w:type="dxa"/>
              <w:left w:w="115" w:type="dxa"/>
              <w:bottom w:w="29" w:type="dxa"/>
              <w:right w:w="115" w:type="dxa"/>
            </w:tcMar>
            <w:vAlign w:val="center"/>
          </w:tcPr>
          <w:p w14:paraId="7423DC50" w14:textId="77777777"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33,625</w:t>
            </w:r>
          </w:p>
        </w:tc>
        <w:tc>
          <w:tcPr>
            <w:tcW w:w="763" w:type="dxa"/>
            <w:shd w:val="clear" w:color="auto" w:fill="CCEAF9" w:themeFill="accent1" w:themeFillTint="33"/>
            <w:noWrap/>
            <w:tcMar>
              <w:top w:w="29" w:type="dxa"/>
              <w:left w:w="115" w:type="dxa"/>
              <w:bottom w:w="29" w:type="dxa"/>
              <w:right w:w="115" w:type="dxa"/>
            </w:tcMar>
            <w:vAlign w:val="center"/>
          </w:tcPr>
          <w:p w14:paraId="1EC7D4D0" w14:textId="77777777" w:rsidR="004C7089" w:rsidRPr="006B0FAA" w:rsidRDefault="004C7089">
            <w:pPr>
              <w:keepNext/>
              <w:keepLines/>
              <w:spacing w:after="0" w:line="240" w:lineRule="auto"/>
              <w:jc w:val="right"/>
              <w:rPr>
                <w:rFonts w:asciiTheme="majorHAnsi" w:hAnsiTheme="majorHAnsi"/>
                <w:sz w:val="18"/>
                <w:szCs w:val="18"/>
              </w:rPr>
            </w:pPr>
            <w:r w:rsidRPr="006B0FAA">
              <w:rPr>
                <w:rFonts w:asciiTheme="majorHAnsi" w:hAnsiTheme="majorHAnsi"/>
                <w:sz w:val="18"/>
                <w:szCs w:val="18"/>
              </w:rPr>
              <w:t>33,870</w:t>
            </w:r>
          </w:p>
        </w:tc>
      </w:tr>
      <w:tr w:rsidR="004C7089" w:rsidRPr="004C7089" w14:paraId="24E6E913" w14:textId="77777777" w:rsidTr="004C7089">
        <w:trPr>
          <w:trHeight w:val="480"/>
        </w:trPr>
        <w:tc>
          <w:tcPr>
            <w:tcW w:w="864" w:type="dxa"/>
            <w:vMerge/>
            <w:shd w:val="clear" w:color="auto" w:fill="CCEAF9" w:themeFill="accent1" w:themeFillTint="33"/>
            <w:noWrap/>
            <w:tcMar>
              <w:top w:w="29" w:type="dxa"/>
              <w:left w:w="115" w:type="dxa"/>
              <w:bottom w:w="29" w:type="dxa"/>
              <w:right w:w="115" w:type="dxa"/>
            </w:tcMar>
            <w:vAlign w:val="center"/>
            <w:hideMark/>
          </w:tcPr>
          <w:p w14:paraId="5CACBADA"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69893681" w14:textId="77777777" w:rsidR="004C7089" w:rsidRPr="006B0FAA" w:rsidRDefault="004C7089">
            <w:pPr>
              <w:keepNext/>
              <w:keepLines/>
              <w:spacing w:after="0" w:line="240" w:lineRule="auto"/>
              <w:rPr>
                <w:rFonts w:asciiTheme="majorHAnsi" w:eastAsia="Times New Roman" w:hAnsiTheme="majorHAnsi"/>
                <w:sz w:val="18"/>
                <w:szCs w:val="18"/>
              </w:rPr>
            </w:pPr>
            <w:r w:rsidRPr="006B0FAA">
              <w:rPr>
                <w:rFonts w:asciiTheme="majorHAnsi" w:eastAsia="Times New Roman" w:hAnsiTheme="majorHAnsi"/>
                <w:sz w:val="18"/>
                <w:szCs w:val="18"/>
              </w:rPr>
              <w:t>Assumed unavailable capacity</w:t>
            </w:r>
          </w:p>
        </w:tc>
        <w:tc>
          <w:tcPr>
            <w:tcW w:w="763" w:type="dxa"/>
            <w:shd w:val="clear" w:color="auto" w:fill="CCEAF9" w:themeFill="accent1" w:themeFillTint="33"/>
            <w:noWrap/>
            <w:tcMar>
              <w:top w:w="29" w:type="dxa"/>
              <w:left w:w="115" w:type="dxa"/>
              <w:bottom w:w="29" w:type="dxa"/>
              <w:right w:w="115" w:type="dxa"/>
            </w:tcMar>
            <w:vAlign w:val="center"/>
            <w:hideMark/>
          </w:tcPr>
          <w:p w14:paraId="4FFCCFA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30B60205"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51784BF0"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0F061307"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7714A90A"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6EA5D8FE"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6B828BEC"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0A3EBC1F"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c>
          <w:tcPr>
            <w:tcW w:w="763" w:type="dxa"/>
            <w:shd w:val="clear" w:color="auto" w:fill="CCEAF9" w:themeFill="accent1" w:themeFillTint="33"/>
            <w:noWrap/>
            <w:tcMar>
              <w:top w:w="29" w:type="dxa"/>
              <w:left w:w="115" w:type="dxa"/>
              <w:bottom w:w="29" w:type="dxa"/>
              <w:right w:w="115" w:type="dxa"/>
            </w:tcMar>
            <w:vAlign w:val="center"/>
            <w:hideMark/>
          </w:tcPr>
          <w:p w14:paraId="23C3AD95" w14:textId="77777777" w:rsidR="004C7089" w:rsidRPr="006B0FAA" w:rsidRDefault="004C7089">
            <w:pPr>
              <w:keepNext/>
              <w:keepLines/>
              <w:spacing w:after="0" w:line="240" w:lineRule="auto"/>
              <w:jc w:val="right"/>
              <w:rPr>
                <w:rFonts w:asciiTheme="majorHAnsi" w:eastAsia="Times New Roman" w:hAnsiTheme="majorHAnsi"/>
                <w:sz w:val="18"/>
                <w:szCs w:val="18"/>
              </w:rPr>
            </w:pPr>
            <w:r w:rsidRPr="006B0FAA">
              <w:rPr>
                <w:rFonts w:asciiTheme="majorHAnsi" w:hAnsiTheme="majorHAnsi"/>
                <w:sz w:val="18"/>
                <w:szCs w:val="18"/>
              </w:rPr>
              <w:t>−2,100</w:t>
            </w:r>
          </w:p>
        </w:tc>
      </w:tr>
      <w:tr w:rsidR="004C7089" w:rsidRPr="004C7089" w14:paraId="39BFAC4A" w14:textId="77777777" w:rsidTr="004C7089">
        <w:trPr>
          <w:trHeight w:val="300"/>
        </w:trPr>
        <w:tc>
          <w:tcPr>
            <w:tcW w:w="864" w:type="dxa"/>
            <w:vMerge/>
            <w:shd w:val="clear" w:color="auto" w:fill="CCEAF9" w:themeFill="accent1" w:themeFillTint="33"/>
            <w:noWrap/>
            <w:tcMar>
              <w:top w:w="29" w:type="dxa"/>
              <w:left w:w="115" w:type="dxa"/>
              <w:bottom w:w="29" w:type="dxa"/>
              <w:right w:w="115" w:type="dxa"/>
            </w:tcMar>
            <w:vAlign w:val="center"/>
            <w:hideMark/>
          </w:tcPr>
          <w:p w14:paraId="49883D5E" w14:textId="77777777" w:rsidR="004C7089" w:rsidRPr="004C7089" w:rsidRDefault="004C7089">
            <w:pPr>
              <w:keepNext/>
              <w:keepLines/>
              <w:spacing w:after="0" w:line="240" w:lineRule="auto"/>
              <w:rPr>
                <w:rFonts w:asciiTheme="majorHAnsi" w:eastAsia="Times New Roman" w:hAnsiTheme="majorHAnsi"/>
                <w:color w:val="000000"/>
                <w:sz w:val="18"/>
                <w:szCs w:val="18"/>
              </w:rPr>
            </w:pPr>
          </w:p>
        </w:tc>
        <w:tc>
          <w:tcPr>
            <w:tcW w:w="1872" w:type="dxa"/>
            <w:shd w:val="clear" w:color="auto" w:fill="CCEAF9" w:themeFill="accent1" w:themeFillTint="33"/>
            <w:tcMar>
              <w:top w:w="29" w:type="dxa"/>
              <w:left w:w="115" w:type="dxa"/>
              <w:bottom w:w="29" w:type="dxa"/>
              <w:right w:w="115" w:type="dxa"/>
            </w:tcMar>
            <w:vAlign w:val="center"/>
            <w:hideMark/>
          </w:tcPr>
          <w:p w14:paraId="0AA71339" w14:textId="77777777" w:rsidR="004C7089" w:rsidRPr="006B0FAA" w:rsidRDefault="004C708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Total net capacity</w:t>
            </w:r>
            <w:r w:rsidRPr="006B0FAA">
              <w:rPr>
                <w:rFonts w:asciiTheme="majorHAnsi" w:eastAsia="Times New Roman" w:hAnsiTheme="majorHAnsi"/>
                <w:b/>
                <w:bCs/>
                <w:sz w:val="18"/>
                <w:szCs w:val="18"/>
                <w:vertAlign w:val="superscript"/>
              </w:rPr>
              <w:t>(d)</w:t>
            </w:r>
          </w:p>
        </w:tc>
        <w:tc>
          <w:tcPr>
            <w:tcW w:w="763" w:type="dxa"/>
            <w:shd w:val="clear" w:color="000000" w:fill="C8E3F4"/>
            <w:noWrap/>
            <w:tcMar>
              <w:top w:w="29" w:type="dxa"/>
              <w:left w:w="115" w:type="dxa"/>
              <w:bottom w:w="29" w:type="dxa"/>
              <w:right w:w="115" w:type="dxa"/>
            </w:tcMar>
            <w:vAlign w:val="center"/>
            <w:hideMark/>
          </w:tcPr>
          <w:p w14:paraId="46991D8A"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31,420</w:t>
            </w:r>
          </w:p>
        </w:tc>
        <w:tc>
          <w:tcPr>
            <w:tcW w:w="763" w:type="dxa"/>
            <w:shd w:val="clear" w:color="000000" w:fill="C8E3F4"/>
            <w:noWrap/>
            <w:tcMar>
              <w:top w:w="29" w:type="dxa"/>
              <w:left w:w="115" w:type="dxa"/>
              <w:bottom w:w="29" w:type="dxa"/>
              <w:right w:w="115" w:type="dxa"/>
            </w:tcMar>
            <w:vAlign w:val="center"/>
            <w:hideMark/>
          </w:tcPr>
          <w:p w14:paraId="7B0F1AEF"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31,450</w:t>
            </w:r>
          </w:p>
        </w:tc>
        <w:tc>
          <w:tcPr>
            <w:tcW w:w="763" w:type="dxa"/>
            <w:shd w:val="clear" w:color="000000" w:fill="C8E3F4"/>
            <w:noWrap/>
            <w:tcMar>
              <w:top w:w="29" w:type="dxa"/>
              <w:left w:w="115" w:type="dxa"/>
              <w:bottom w:w="29" w:type="dxa"/>
              <w:right w:w="115" w:type="dxa"/>
            </w:tcMar>
            <w:vAlign w:val="center"/>
            <w:hideMark/>
          </w:tcPr>
          <w:p w14:paraId="0D8940EF"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31,650</w:t>
            </w:r>
          </w:p>
        </w:tc>
        <w:tc>
          <w:tcPr>
            <w:tcW w:w="763" w:type="dxa"/>
            <w:shd w:val="clear" w:color="000000" w:fill="C8E3F4"/>
            <w:noWrap/>
            <w:tcMar>
              <w:top w:w="29" w:type="dxa"/>
              <w:left w:w="115" w:type="dxa"/>
              <w:bottom w:w="29" w:type="dxa"/>
              <w:right w:w="115" w:type="dxa"/>
            </w:tcMar>
            <w:vAlign w:val="center"/>
            <w:hideMark/>
          </w:tcPr>
          <w:p w14:paraId="658CB8E9" w14:textId="77777777" w:rsidR="004C7089" w:rsidRPr="006B0FAA" w:rsidRDefault="004C708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000000" w:fill="C8E3F4"/>
            <w:noWrap/>
            <w:tcMar>
              <w:top w:w="29" w:type="dxa"/>
              <w:left w:w="115" w:type="dxa"/>
              <w:bottom w:w="29" w:type="dxa"/>
              <w:right w:w="115" w:type="dxa"/>
            </w:tcMar>
            <w:vAlign w:val="center"/>
          </w:tcPr>
          <w:p w14:paraId="629EA34D" w14:textId="77777777" w:rsidR="004C7089" w:rsidRPr="006B0FAA" w:rsidRDefault="004C7089">
            <w:pPr>
              <w:keepNext/>
              <w:keepLines/>
              <w:spacing w:after="0" w:line="240" w:lineRule="auto"/>
              <w:rPr>
                <w:rFonts w:asciiTheme="majorHAnsi" w:hAnsiTheme="majorHAnsi"/>
                <w:b/>
                <w:bCs/>
                <w:sz w:val="18"/>
                <w:szCs w:val="18"/>
              </w:rPr>
            </w:pPr>
            <w:r w:rsidRPr="006B0FAA">
              <w:rPr>
                <w:rFonts w:asciiTheme="majorHAnsi" w:hAnsiTheme="majorHAnsi"/>
                <w:b/>
                <w:bCs/>
                <w:sz w:val="18"/>
                <w:szCs w:val="18"/>
              </w:rPr>
              <w:t>30,850</w:t>
            </w:r>
          </w:p>
        </w:tc>
        <w:tc>
          <w:tcPr>
            <w:tcW w:w="763" w:type="dxa"/>
            <w:shd w:val="clear" w:color="000000" w:fill="C8E3F4"/>
            <w:noWrap/>
            <w:tcMar>
              <w:top w:w="29" w:type="dxa"/>
              <w:left w:w="115" w:type="dxa"/>
              <w:bottom w:w="29" w:type="dxa"/>
              <w:right w:w="115" w:type="dxa"/>
            </w:tcMar>
            <w:vAlign w:val="center"/>
          </w:tcPr>
          <w:p w14:paraId="7AEBA6F2"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31,065</w:t>
            </w:r>
          </w:p>
        </w:tc>
        <w:tc>
          <w:tcPr>
            <w:tcW w:w="763" w:type="dxa"/>
            <w:shd w:val="clear" w:color="000000" w:fill="C8E3F4"/>
            <w:noWrap/>
            <w:tcMar>
              <w:top w:w="29" w:type="dxa"/>
              <w:left w:w="115" w:type="dxa"/>
              <w:bottom w:w="29" w:type="dxa"/>
              <w:right w:w="115" w:type="dxa"/>
            </w:tcMar>
            <w:vAlign w:val="center"/>
          </w:tcPr>
          <w:p w14:paraId="3D709A49"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31,290</w:t>
            </w:r>
          </w:p>
        </w:tc>
        <w:tc>
          <w:tcPr>
            <w:tcW w:w="763" w:type="dxa"/>
            <w:shd w:val="clear" w:color="000000" w:fill="C8E3F4"/>
            <w:noWrap/>
            <w:tcMar>
              <w:top w:w="29" w:type="dxa"/>
              <w:left w:w="115" w:type="dxa"/>
              <w:bottom w:w="29" w:type="dxa"/>
              <w:right w:w="115" w:type="dxa"/>
            </w:tcMar>
            <w:vAlign w:val="center"/>
          </w:tcPr>
          <w:p w14:paraId="23DBAC7A"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31,525</w:t>
            </w:r>
          </w:p>
        </w:tc>
        <w:tc>
          <w:tcPr>
            <w:tcW w:w="763" w:type="dxa"/>
            <w:shd w:val="clear" w:color="000000" w:fill="C8E3F4"/>
            <w:noWrap/>
            <w:tcMar>
              <w:top w:w="29" w:type="dxa"/>
              <w:left w:w="115" w:type="dxa"/>
              <w:bottom w:w="29" w:type="dxa"/>
              <w:right w:w="115" w:type="dxa"/>
            </w:tcMar>
            <w:vAlign w:val="center"/>
          </w:tcPr>
          <w:p w14:paraId="3D748283" w14:textId="77777777" w:rsidR="004C7089" w:rsidRPr="006B0FAA" w:rsidRDefault="004C7089">
            <w:pPr>
              <w:keepNext/>
              <w:keepLines/>
              <w:spacing w:after="0" w:line="240" w:lineRule="auto"/>
              <w:jc w:val="center"/>
              <w:rPr>
                <w:rFonts w:asciiTheme="majorHAnsi" w:hAnsiTheme="majorHAnsi"/>
                <w:b/>
                <w:bCs/>
                <w:sz w:val="18"/>
                <w:szCs w:val="18"/>
              </w:rPr>
            </w:pPr>
            <w:r w:rsidRPr="006B0FAA">
              <w:rPr>
                <w:rFonts w:asciiTheme="majorHAnsi" w:hAnsiTheme="majorHAnsi"/>
                <w:b/>
                <w:bCs/>
                <w:sz w:val="18"/>
                <w:szCs w:val="18"/>
              </w:rPr>
              <w:t>31,770</w:t>
            </w:r>
          </w:p>
        </w:tc>
      </w:tr>
      <w:tr w:rsidR="004C7089" w:rsidRPr="004C7089" w14:paraId="1F8B295D" w14:textId="77777777" w:rsidTr="00805C72">
        <w:trPr>
          <w:trHeight w:val="540"/>
        </w:trPr>
        <w:tc>
          <w:tcPr>
            <w:tcW w:w="864" w:type="dxa"/>
            <w:vMerge/>
            <w:shd w:val="clear" w:color="auto" w:fill="CCEAF9" w:themeFill="accent1" w:themeFillTint="33"/>
            <w:noWrap/>
            <w:tcMar>
              <w:top w:w="29" w:type="dxa"/>
              <w:left w:w="115" w:type="dxa"/>
              <w:bottom w:w="29" w:type="dxa"/>
              <w:right w:w="115" w:type="dxa"/>
            </w:tcMar>
            <w:vAlign w:val="center"/>
            <w:hideMark/>
          </w:tcPr>
          <w:p w14:paraId="09415E6A" w14:textId="77777777" w:rsidR="004C7089" w:rsidRPr="004C7089" w:rsidRDefault="004C7089" w:rsidP="00BD06A9">
            <w:pPr>
              <w:keepNext/>
              <w:keepLines/>
              <w:spacing w:after="0" w:line="240" w:lineRule="auto"/>
              <w:rPr>
                <w:rFonts w:asciiTheme="majorHAnsi" w:eastAsia="Times New Roman" w:hAnsiTheme="majorHAnsi"/>
                <w:color w:val="000000"/>
                <w:sz w:val="18"/>
                <w:szCs w:val="18"/>
              </w:rPr>
            </w:pPr>
          </w:p>
        </w:tc>
        <w:tc>
          <w:tcPr>
            <w:tcW w:w="1872" w:type="dxa"/>
            <w:shd w:val="clear" w:color="auto" w:fill="9AD6F4" w:themeFill="accent1" w:themeFillTint="66"/>
            <w:tcMar>
              <w:top w:w="29" w:type="dxa"/>
              <w:left w:w="115" w:type="dxa"/>
              <w:bottom w:w="29" w:type="dxa"/>
              <w:right w:w="115" w:type="dxa"/>
            </w:tcMar>
            <w:vAlign w:val="center"/>
            <w:hideMark/>
          </w:tcPr>
          <w:p w14:paraId="2BCFBF95" w14:textId="77777777" w:rsidR="004C7089" w:rsidRPr="006B0FAA" w:rsidRDefault="004C7089" w:rsidP="00BD06A9">
            <w:pPr>
              <w:keepNext/>
              <w:keepLines/>
              <w:spacing w:after="0" w:line="240" w:lineRule="auto"/>
              <w:rPr>
                <w:rFonts w:asciiTheme="majorHAnsi" w:eastAsia="Times New Roman" w:hAnsiTheme="majorHAnsi"/>
                <w:b/>
                <w:bCs/>
                <w:sz w:val="18"/>
                <w:szCs w:val="18"/>
              </w:rPr>
            </w:pPr>
            <w:r w:rsidRPr="006B0FAA">
              <w:rPr>
                <w:rFonts w:asciiTheme="majorHAnsi" w:eastAsia="Times New Roman" w:hAnsiTheme="majorHAnsi"/>
                <w:b/>
                <w:bCs/>
                <w:sz w:val="18"/>
                <w:szCs w:val="18"/>
              </w:rPr>
              <w:t>Operable capacity margin</w:t>
            </w:r>
            <w:r w:rsidRPr="006B0FAA">
              <w:rPr>
                <w:rFonts w:asciiTheme="majorHAnsi" w:eastAsia="Times New Roman" w:hAnsiTheme="majorHAnsi"/>
                <w:b/>
                <w:bCs/>
                <w:sz w:val="18"/>
                <w:szCs w:val="18"/>
                <w:vertAlign w:val="superscript"/>
              </w:rPr>
              <w:t>(e)</w:t>
            </w:r>
            <w:r w:rsidRPr="006B0FAA">
              <w:rPr>
                <w:rFonts w:asciiTheme="majorHAnsi" w:eastAsia="Times New Roman" w:hAnsiTheme="majorHAnsi"/>
                <w:b/>
                <w:bCs/>
                <w:sz w:val="18"/>
                <w:szCs w:val="18"/>
              </w:rPr>
              <w:t>—</w:t>
            </w:r>
            <w:r w:rsidRPr="006B0FAA">
              <w:rPr>
                <w:rFonts w:asciiTheme="majorHAnsi" w:eastAsia="Times New Roman" w:hAnsiTheme="majorHAnsi"/>
                <w:b/>
                <w:bCs/>
                <w:sz w:val="18"/>
                <w:szCs w:val="18"/>
              </w:rPr>
              <w:br/>
              <w:t>90/10 forecast</w:t>
            </w:r>
          </w:p>
        </w:tc>
        <w:tc>
          <w:tcPr>
            <w:tcW w:w="763" w:type="dxa"/>
            <w:shd w:val="clear" w:color="auto" w:fill="9AD6F4" w:themeFill="accent1" w:themeFillTint="66"/>
            <w:noWrap/>
            <w:tcMar>
              <w:top w:w="29" w:type="dxa"/>
              <w:left w:w="115" w:type="dxa"/>
              <w:bottom w:w="29" w:type="dxa"/>
              <w:right w:w="115" w:type="dxa"/>
            </w:tcMar>
            <w:vAlign w:val="center"/>
            <w:hideMark/>
          </w:tcPr>
          <w:p w14:paraId="5BF57E02"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1,158</w:t>
            </w:r>
          </w:p>
        </w:tc>
        <w:tc>
          <w:tcPr>
            <w:tcW w:w="763" w:type="dxa"/>
            <w:shd w:val="clear" w:color="auto" w:fill="9AD6F4" w:themeFill="accent1" w:themeFillTint="66"/>
            <w:noWrap/>
            <w:tcMar>
              <w:top w:w="29" w:type="dxa"/>
              <w:left w:w="115" w:type="dxa"/>
              <w:bottom w:w="29" w:type="dxa"/>
              <w:right w:w="115" w:type="dxa"/>
            </w:tcMar>
            <w:vAlign w:val="center"/>
            <w:hideMark/>
          </w:tcPr>
          <w:p w14:paraId="73F00C7B"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1,304</w:t>
            </w:r>
          </w:p>
        </w:tc>
        <w:tc>
          <w:tcPr>
            <w:tcW w:w="763" w:type="dxa"/>
            <w:shd w:val="clear" w:color="auto" w:fill="9AD6F4" w:themeFill="accent1" w:themeFillTint="66"/>
            <w:noWrap/>
            <w:tcMar>
              <w:top w:w="29" w:type="dxa"/>
              <w:left w:w="115" w:type="dxa"/>
              <w:bottom w:w="29" w:type="dxa"/>
              <w:right w:w="115" w:type="dxa"/>
            </w:tcMar>
            <w:vAlign w:val="center"/>
            <w:hideMark/>
          </w:tcPr>
          <w:p w14:paraId="5B1BD141"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1,307</w:t>
            </w:r>
          </w:p>
        </w:tc>
        <w:tc>
          <w:tcPr>
            <w:tcW w:w="763" w:type="dxa"/>
            <w:shd w:val="clear" w:color="auto" w:fill="9AD6F4" w:themeFill="accent1" w:themeFillTint="66"/>
            <w:noWrap/>
            <w:tcMar>
              <w:top w:w="29" w:type="dxa"/>
              <w:left w:w="115" w:type="dxa"/>
              <w:bottom w:w="29" w:type="dxa"/>
              <w:right w:w="115" w:type="dxa"/>
            </w:tcMar>
            <w:vAlign w:val="center"/>
            <w:hideMark/>
          </w:tcPr>
          <w:p w14:paraId="55378D25"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b/>
                <w:bCs/>
                <w:sz w:val="18"/>
                <w:szCs w:val="18"/>
              </w:rPr>
              <w:t>N/A</w:t>
            </w:r>
          </w:p>
        </w:tc>
        <w:tc>
          <w:tcPr>
            <w:tcW w:w="763" w:type="dxa"/>
            <w:shd w:val="clear" w:color="auto" w:fill="9AD6F4" w:themeFill="accent1" w:themeFillTint="66"/>
            <w:noWrap/>
            <w:tcMar>
              <w:top w:w="29" w:type="dxa"/>
              <w:left w:w="115" w:type="dxa"/>
              <w:bottom w:w="29" w:type="dxa"/>
              <w:right w:w="115" w:type="dxa"/>
            </w:tcMar>
            <w:vAlign w:val="center"/>
          </w:tcPr>
          <w:p w14:paraId="4F2E98CF"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2,513</w:t>
            </w:r>
          </w:p>
        </w:tc>
        <w:tc>
          <w:tcPr>
            <w:tcW w:w="763" w:type="dxa"/>
            <w:shd w:val="clear" w:color="auto" w:fill="9AD6F4" w:themeFill="accent1" w:themeFillTint="66"/>
            <w:noWrap/>
            <w:tcMar>
              <w:top w:w="29" w:type="dxa"/>
              <w:left w:w="115" w:type="dxa"/>
              <w:bottom w:w="29" w:type="dxa"/>
              <w:right w:w="115" w:type="dxa"/>
            </w:tcMar>
            <w:vAlign w:val="center"/>
          </w:tcPr>
          <w:p w14:paraId="49A92B45"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2,510</w:t>
            </w:r>
          </w:p>
        </w:tc>
        <w:tc>
          <w:tcPr>
            <w:tcW w:w="763" w:type="dxa"/>
            <w:shd w:val="clear" w:color="auto" w:fill="9AD6F4" w:themeFill="accent1" w:themeFillTint="66"/>
            <w:noWrap/>
            <w:tcMar>
              <w:top w:w="29" w:type="dxa"/>
              <w:left w:w="115" w:type="dxa"/>
              <w:bottom w:w="29" w:type="dxa"/>
              <w:right w:w="115" w:type="dxa"/>
            </w:tcMar>
            <w:vAlign w:val="center"/>
          </w:tcPr>
          <w:p w14:paraId="79EDC962"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2,503</w:t>
            </w:r>
          </w:p>
        </w:tc>
        <w:tc>
          <w:tcPr>
            <w:tcW w:w="763" w:type="dxa"/>
            <w:shd w:val="clear" w:color="auto" w:fill="9AD6F4" w:themeFill="accent1" w:themeFillTint="66"/>
            <w:noWrap/>
            <w:tcMar>
              <w:top w:w="29" w:type="dxa"/>
              <w:left w:w="115" w:type="dxa"/>
              <w:bottom w:w="29" w:type="dxa"/>
              <w:right w:w="115" w:type="dxa"/>
            </w:tcMar>
            <w:vAlign w:val="center"/>
          </w:tcPr>
          <w:p w14:paraId="3253B435" w14:textId="77777777" w:rsidR="004C7089" w:rsidRPr="006B0FAA" w:rsidRDefault="004C7089" w:rsidP="00BD06A9">
            <w:pPr>
              <w:keepNext/>
              <w:keepLines/>
              <w:spacing w:after="0" w:line="240" w:lineRule="auto"/>
              <w:jc w:val="right"/>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2,493</w:t>
            </w:r>
          </w:p>
        </w:tc>
        <w:tc>
          <w:tcPr>
            <w:tcW w:w="763" w:type="dxa"/>
            <w:shd w:val="clear" w:color="auto" w:fill="9AD6F4" w:themeFill="accent1" w:themeFillTint="66"/>
            <w:noWrap/>
            <w:tcMar>
              <w:top w:w="29" w:type="dxa"/>
              <w:left w:w="115" w:type="dxa"/>
              <w:bottom w:w="29" w:type="dxa"/>
              <w:right w:w="115" w:type="dxa"/>
            </w:tcMar>
            <w:vAlign w:val="center"/>
          </w:tcPr>
          <w:p w14:paraId="5035159E" w14:textId="77777777" w:rsidR="004C7089" w:rsidRPr="006B0FAA" w:rsidRDefault="004C7089" w:rsidP="00BD06A9">
            <w:pPr>
              <w:keepNext/>
              <w:keepLines/>
              <w:spacing w:after="0" w:line="240" w:lineRule="auto"/>
              <w:jc w:val="center"/>
              <w:rPr>
                <w:rFonts w:asciiTheme="majorHAnsi" w:hAnsiTheme="majorHAnsi"/>
                <w:b/>
                <w:bCs/>
                <w:sz w:val="18"/>
                <w:szCs w:val="18"/>
              </w:rPr>
            </w:pPr>
            <w:r w:rsidRPr="006B0FAA">
              <w:rPr>
                <w:rFonts w:asciiTheme="majorHAnsi" w:hAnsiTheme="majorHAnsi"/>
                <w:sz w:val="18"/>
                <w:szCs w:val="18"/>
              </w:rPr>
              <w:t>−</w:t>
            </w:r>
            <w:r w:rsidRPr="006B0FAA">
              <w:rPr>
                <w:rFonts w:asciiTheme="majorHAnsi" w:hAnsiTheme="majorHAnsi"/>
                <w:b/>
                <w:bCs/>
                <w:sz w:val="18"/>
                <w:szCs w:val="18"/>
              </w:rPr>
              <w:t>2,483</w:t>
            </w:r>
          </w:p>
        </w:tc>
      </w:tr>
    </w:tbl>
    <w:p w14:paraId="38BE9BE5" w14:textId="77777777"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Pr="004C7089">
        <w:rPr>
          <w:rFonts w:asciiTheme="minorHAnsi" w:eastAsia="Times New Roman" w:hAnsiTheme="minorHAnsi"/>
          <w:sz w:val="16"/>
          <w:szCs w:val="16"/>
        </w:rPr>
        <w:tab/>
        <w:t xml:space="preserve">These values are </w:t>
      </w:r>
      <w:r w:rsidRPr="004C7089">
        <w:rPr>
          <w:rFonts w:asciiTheme="minorHAnsi" w:hAnsiTheme="minorHAnsi"/>
          <w:sz w:val="16"/>
          <w:szCs w:val="16"/>
        </w:rPr>
        <w:t xml:space="preserve">net of BTM PV, consistent with the other projections in this section. Because this table uses net ICR, the ISO does not subtract the EE forecast; EE is considered part of the resource mix meeting the ICR. </w:t>
      </w:r>
    </w:p>
    <w:p w14:paraId="036F6222" w14:textId="31AD5503" w:rsidR="004C7089" w:rsidRPr="004C7089" w:rsidRDefault="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10-minute operating reserve </w:t>
      </w:r>
      <w:r w:rsidRPr="004C7089">
        <w:rPr>
          <w:rFonts w:ascii="Calibri" w:eastAsia="Times New Roman" w:hAnsi="Calibri"/>
          <w:color w:val="1F497D"/>
          <w:sz w:val="16"/>
          <w:szCs w:val="16"/>
        </w:rPr>
        <w:t xml:space="preserve">to </w:t>
      </w:r>
      <w:r w:rsidRPr="004C7089">
        <w:rPr>
          <w:rFonts w:ascii="Calibri" w:eastAsia="Times New Roman" w:hAnsi="Calibri"/>
          <w:sz w:val="16"/>
          <w:szCs w:val="16"/>
        </w:rPr>
        <w:t>compensate for nonperformance of the reserve generators (as discuss</w:t>
      </w:r>
      <w:r w:rsidRPr="00AB0771">
        <w:rPr>
          <w:rFonts w:ascii="Calibri" w:eastAsia="Times New Roman" w:hAnsi="Calibri"/>
          <w:sz w:val="16"/>
          <w:szCs w:val="16"/>
        </w:rPr>
        <w:t xml:space="preserve">ed in </w:t>
      </w:r>
      <w:r w:rsidRPr="00805C72">
        <w:rPr>
          <w:rFonts w:ascii="Calibri" w:eastAsia="Times New Roman" w:hAnsi="Calibri"/>
          <w:sz w:val="16"/>
          <w:szCs w:val="16"/>
        </w:rPr>
        <w:t xml:space="preserve">Section </w:t>
      </w:r>
      <w:r w:rsidRPr="00805C72">
        <w:rPr>
          <w:rFonts w:asciiTheme="majorHAnsi" w:eastAsia="Times New Roman" w:hAnsiTheme="majorHAnsi"/>
          <w:sz w:val="16"/>
        </w:rPr>
        <w:fldChar w:fldCharType="begin"/>
      </w:r>
      <w:r w:rsidRPr="00805C72">
        <w:rPr>
          <w:rFonts w:asciiTheme="majorHAnsi" w:eastAsia="Times New Roman" w:hAnsiTheme="majorHAnsi"/>
          <w:sz w:val="16"/>
        </w:rPr>
        <w:instrText xml:space="preserve"> REF _Ref388642296 \r \h  \* MERGEFORMAT </w:instrText>
      </w:r>
      <w:r w:rsidRPr="00805C72">
        <w:rPr>
          <w:rFonts w:asciiTheme="majorHAnsi" w:eastAsia="Times New Roman" w:hAnsiTheme="majorHAnsi"/>
          <w:sz w:val="16"/>
        </w:rPr>
      </w:r>
      <w:r w:rsidRPr="00805C72">
        <w:rPr>
          <w:rFonts w:asciiTheme="majorHAnsi" w:eastAsia="Times New Roman" w:hAnsiTheme="majorHAnsi"/>
          <w:sz w:val="16"/>
        </w:rPr>
        <w:fldChar w:fldCharType="separate"/>
      </w:r>
      <w:r w:rsidR="005D0B73">
        <w:rPr>
          <w:rFonts w:asciiTheme="majorHAnsi" w:eastAsia="Times New Roman" w:hAnsiTheme="majorHAnsi"/>
          <w:sz w:val="16"/>
        </w:rPr>
        <w:t>4.4.1</w:t>
      </w:r>
      <w:r w:rsidRPr="00805C72">
        <w:rPr>
          <w:rFonts w:asciiTheme="majorHAnsi" w:eastAsia="Times New Roman" w:hAnsiTheme="majorHAnsi"/>
          <w:sz w:val="16"/>
        </w:rPr>
        <w:fldChar w:fldCharType="end"/>
      </w:r>
      <w:r w:rsidRPr="00CA3468">
        <w:rPr>
          <w:rFonts w:ascii="Calibri" w:eastAsia="Times New Roman" w:hAnsi="Calibri"/>
          <w:sz w:val="16"/>
          <w:szCs w:val="16"/>
        </w:rPr>
        <w:t>) e</w:t>
      </w:r>
      <w:r w:rsidRPr="004C7089">
        <w:rPr>
          <w:rFonts w:ascii="Calibri" w:eastAsia="Times New Roman" w:hAnsi="Calibri"/>
          <w:sz w:val="16"/>
          <w:szCs w:val="16"/>
        </w:rPr>
        <w:t>qual to 280 MW, and 30-minute reserves of 625 MW (one half of 1,250 MW).</w:t>
      </w:r>
    </w:p>
    <w:p w14:paraId="63145FD5" w14:textId="157E0E4E"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5D0B73" w:rsidRPr="005D0B73">
        <w:rPr>
          <w:rFonts w:ascii="Calibri" w:hAnsi="Calibri"/>
          <w:bCs/>
          <w:sz w:val="16"/>
          <w:szCs w:val="16"/>
        </w:rPr>
        <w:t>Table 4</w:t>
      </w:r>
      <w:r w:rsidR="005D0B73" w:rsidRPr="005D0B73">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14:paraId="1FAD5209" w14:textId="77777777" w:rsidR="004C7089" w:rsidRPr="004C7089" w:rsidRDefault="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(d)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14:paraId="5730ED13" w14:textId="77777777" w:rsidR="004C7089" w:rsidRPr="004C7089" w:rsidRDefault="004C7089" w:rsidP="00805C72">
      <w:pPr>
        <w:keepNext/>
        <w:keepLines/>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t>“Operable capacity margin” equals “total net capacity” minus “total requirement.”</w:t>
      </w:r>
    </w:p>
    <w:p w14:paraId="0B03C886" w14:textId="77777777" w:rsidR="004C7089" w:rsidRPr="004C7089" w:rsidRDefault="004C7089" w:rsidP="00BD06A9">
      <w:r w:rsidRPr="004C7089">
        <w:rPr>
          <w:bCs/>
          <w:szCs w:val="18"/>
        </w:rPr>
        <w:t>Table 4</w:t>
      </w:r>
      <w:r w:rsidRPr="004C7089">
        <w:rPr>
          <w:bCs/>
          <w:szCs w:val="18"/>
        </w:rPr>
        <w:noBreakHyphen/>
        <w:t xml:space="preserve">6 also </w:t>
      </w:r>
      <w:r w:rsidRPr="004C7089">
        <w:t xml:space="preserve">shows that if the projected 90/10 peak loads occurred, New England could experience a large negative operable-capacity margin ranging from approximately −1,150 MW to −1,300 MW before summer 2023 and approximately −2,500 MW for summer 2024 through 2028. Thus, throughout the </w:t>
      </w:r>
      <w:r w:rsidRPr="004C7089">
        <w:lastRenderedPageBreak/>
        <w:t>study period, New England would rely on additional imports or load and capacity relief from OP 4 actions to meet the 90/10 peak demand.</w:t>
      </w:r>
    </w:p>
    <w:p w14:paraId="2B306F42" w14:textId="77777777" w:rsidR="004C7089" w:rsidRPr="004C7089" w:rsidRDefault="004C7089" w:rsidP="00367A18">
      <w:pPr>
        <w:pStyle w:val="Heading3"/>
      </w:pPr>
      <w:bookmarkStart w:id="463" w:name="_Ref11823595"/>
      <w:bookmarkStart w:id="464" w:name="_Toc12795172"/>
      <w:r w:rsidRPr="004C7089">
        <w:t>Winter Operable Capacity</w:t>
      </w:r>
      <w:bookmarkEnd w:id="463"/>
      <w:bookmarkEnd w:id="464"/>
    </w:p>
    <w:p w14:paraId="7C2901C0" w14:textId="030781DC" w:rsidR="004C7089" w:rsidRPr="004C7089" w:rsidRDefault="004C7089">
      <w:r w:rsidRPr="004C7089">
        <w:rPr>
          <w:highlight w:val="green"/>
        </w:rPr>
        <w:fldChar w:fldCharType="begin"/>
      </w:r>
      <w:r w:rsidRPr="004C7089">
        <w:rPr>
          <w:highlight w:val="green"/>
        </w:rPr>
        <w:instrText xml:space="preserve"> REF _Ref8750825 \h  \* MERGEFORMAT </w:instrText>
      </w:r>
      <w:r w:rsidRPr="004C7089">
        <w:rPr>
          <w:highlight w:val="green"/>
        </w:rPr>
      </w:r>
      <w:r w:rsidRPr="004C7089">
        <w:rPr>
          <w:highlight w:val="green"/>
        </w:rPr>
        <w:fldChar w:fldCharType="separate"/>
      </w:r>
      <w:r w:rsidR="005D0B73" w:rsidRPr="005D0B73">
        <w:t xml:space="preserve">Table </w:t>
      </w:r>
      <w:r w:rsidR="005D0B73" w:rsidRPr="005D0B73">
        <w:rPr>
          <w:noProof/>
        </w:rPr>
        <w:t>4</w:t>
      </w:r>
      <w:r w:rsidR="005D0B73" w:rsidRPr="005D0B73">
        <w:rPr>
          <w:noProof/>
        </w:rPr>
        <w:noBreakHyphen/>
        <w:t>7</w:t>
      </w:r>
      <w:r w:rsidRPr="004C7089">
        <w:rPr>
          <w:highlight w:val="green"/>
        </w:rPr>
        <w:fldChar w:fldCharType="end"/>
      </w:r>
      <w:r w:rsidRPr="004C7089">
        <w:t xml:space="preserve"> shows the results of the operable-capacity analysis during the winter covering the 2020/2021 through 2028/2029 study period. The results show that if the loads associated with the 50/50 forecast occurred, New England could expect a negative operable-capacity margin ranging from approximately −160 MW to −275 MW before 2023/2024. This negative margin </w:t>
      </w:r>
      <w:r w:rsidR="0082639A">
        <w:t xml:space="preserve">becomes </w:t>
      </w:r>
      <w:r w:rsidR="00AF2D85">
        <w:t>−</w:t>
      </w:r>
      <w:r w:rsidRPr="004C7089">
        <w:t>1,</w:t>
      </w:r>
      <w:r w:rsidR="00AF2D85" w:rsidRPr="004C7089">
        <w:t>300</w:t>
      </w:r>
      <w:r w:rsidR="00AF2D85">
        <w:t> </w:t>
      </w:r>
      <w:r w:rsidRPr="004C7089">
        <w:t xml:space="preserve">MW by the winter of 2024/2025 </w:t>
      </w:r>
      <w:r w:rsidR="0082639A">
        <w:t xml:space="preserve">and </w:t>
      </w:r>
      <w:r w:rsidRPr="004C7089">
        <w:t xml:space="preserve">approximately </w:t>
      </w:r>
      <w:r w:rsidR="00AF2D85">
        <w:t>−</w:t>
      </w:r>
      <w:r w:rsidRPr="004C7089">
        <w:t xml:space="preserve">900 MW by the end of the study period. </w:t>
      </w:r>
      <w:r w:rsidR="00AF2D85" w:rsidRPr="00AF2D85">
        <w:t>Under the 90/10 peak load, the negative operable</w:t>
      </w:r>
      <w:r w:rsidR="00AF2D85">
        <w:t>-</w:t>
      </w:r>
      <w:r w:rsidR="00AF2D85" w:rsidRPr="00AF2D85">
        <w:t>capacity margin ranges from approximat</w:t>
      </w:r>
      <w:r w:rsidR="00AF2D85" w:rsidRPr="00C71F4F">
        <w:t>ely</w:t>
      </w:r>
      <w:r w:rsidR="0082639A" w:rsidRPr="00C71F4F">
        <w:t xml:space="preserve"> </w:t>
      </w:r>
      <w:r w:rsidR="00AF2D85" w:rsidRPr="00C71F4F">
        <w:t xml:space="preserve">−1,370 MW to </w:t>
      </w:r>
      <w:r w:rsidR="00140C10" w:rsidRPr="00C71F4F">
        <w:t>−</w:t>
      </w:r>
      <w:r w:rsidR="00AF2D85" w:rsidRPr="00C71F4F">
        <w:t xml:space="preserve">1,440 MW </w:t>
      </w:r>
      <w:r w:rsidR="00140C10" w:rsidRPr="00C71F4F">
        <w:t xml:space="preserve">for </w:t>
      </w:r>
      <w:r w:rsidR="00C71F4F" w:rsidRPr="00C71F4F">
        <w:t>the</w:t>
      </w:r>
      <w:r w:rsidR="00C71F4F">
        <w:t xml:space="preserve"> </w:t>
      </w:r>
      <w:r w:rsidR="00140C10" w:rsidRPr="00C71F4F">
        <w:t>CCPs in wh</w:t>
      </w:r>
      <w:r w:rsidR="00140C10" w:rsidRPr="00805C72">
        <w:t>ich the FCA has occurred</w:t>
      </w:r>
      <w:r w:rsidR="00AF2D85" w:rsidRPr="00C71F4F">
        <w:t xml:space="preserve">, and it </w:t>
      </w:r>
      <w:r w:rsidR="0082639A" w:rsidRPr="00C71F4F">
        <w:t xml:space="preserve">becomes </w:t>
      </w:r>
      <w:r w:rsidR="00AF2D85" w:rsidRPr="00C71F4F">
        <w:t xml:space="preserve">approximately </w:t>
      </w:r>
      <w:r w:rsidR="0082639A" w:rsidRPr="00C71F4F">
        <w:t>−</w:t>
      </w:r>
      <w:r w:rsidR="00AF2D85" w:rsidRPr="00C71F4F">
        <w:t>2</w:t>
      </w:r>
      <w:r w:rsidR="00AF2D85" w:rsidRPr="00AF2D85">
        <w:t>,525 MW by 2024</w:t>
      </w:r>
      <w:r w:rsidR="00AF2D85">
        <w:t>/</w:t>
      </w:r>
      <w:r w:rsidR="00AF2D85" w:rsidRPr="00AF2D85">
        <w:t xml:space="preserve">2025 before </w:t>
      </w:r>
      <w:r w:rsidR="0082639A">
        <w:t xml:space="preserve">reaching </w:t>
      </w:r>
      <w:r w:rsidR="00AF2D85" w:rsidRPr="00AF2D85">
        <w:t>the −2,170 level</w:t>
      </w:r>
      <w:r w:rsidR="0082639A">
        <w:t xml:space="preserve"> in 2028</w:t>
      </w:r>
      <w:r w:rsidR="00AF2D85" w:rsidRPr="00AF2D85">
        <w:t xml:space="preserve">. The </w:t>
      </w:r>
      <w:r w:rsidR="0082639A">
        <w:t xml:space="preserve">change in </w:t>
      </w:r>
      <w:r w:rsidR="000762C3">
        <w:t>t</w:t>
      </w:r>
      <w:r w:rsidR="0082639A">
        <w:t>he operable-</w:t>
      </w:r>
      <w:r w:rsidR="00AF2D85" w:rsidRPr="00AF2D85">
        <w:t xml:space="preserve">capacity margin </w:t>
      </w:r>
      <w:r w:rsidR="000762C3">
        <w:t xml:space="preserve">beyond 2024/2025 </w:t>
      </w:r>
      <w:r w:rsidR="00AF2D85" w:rsidRPr="00AF2D85">
        <w:t>result</w:t>
      </w:r>
      <w:r w:rsidR="000762C3">
        <w:t>s from the</w:t>
      </w:r>
      <w:r w:rsidR="00AF2D85" w:rsidRPr="00AF2D85">
        <w:t xml:space="preserve"> assum</w:t>
      </w:r>
      <w:r w:rsidR="000762C3">
        <w:t xml:space="preserve">ption </w:t>
      </w:r>
      <w:r w:rsidR="00AF2D85" w:rsidRPr="00AF2D85">
        <w:t xml:space="preserve">that </w:t>
      </w:r>
      <w:r w:rsidR="00BD7154">
        <w:t xml:space="preserve">future </w:t>
      </w:r>
      <w:r w:rsidR="00AF2D85" w:rsidRPr="00AF2D85">
        <w:t xml:space="preserve">capacity additions </w:t>
      </w:r>
      <w:r w:rsidR="00BD7154">
        <w:t>consist of</w:t>
      </w:r>
      <w:r w:rsidR="00AF2D85" w:rsidRPr="00AF2D85">
        <w:t xml:space="preserve"> generating resources </w:t>
      </w:r>
      <w:r w:rsidR="00BD7154">
        <w:t>without</w:t>
      </w:r>
      <w:r w:rsidR="00AF2D85" w:rsidRPr="00AF2D85">
        <w:t xml:space="preserve"> fuel constraints</w:t>
      </w:r>
      <w:r w:rsidR="006B0FAA">
        <w:t xml:space="preserve"> </w:t>
      </w:r>
      <w:r w:rsidR="000762C3">
        <w:t>and the extent of unavailable capacity stays constant over the study period</w:t>
      </w:r>
      <w:r w:rsidR="00AF2D85" w:rsidRPr="00AF2D85">
        <w:t>.</w:t>
      </w:r>
    </w:p>
    <w:p w14:paraId="4C352D97" w14:textId="28F9E855" w:rsidR="004C7089" w:rsidRPr="004C7089" w:rsidRDefault="004C7089" w:rsidP="00304A24">
      <w:pPr>
        <w:keepNext/>
        <w:keepLines/>
        <w:spacing w:after="120" w:line="240" w:lineRule="auto"/>
        <w:jc w:val="center"/>
        <w:rPr>
          <w:rFonts w:ascii="Calibri" w:hAnsi="Calibri"/>
          <w:b/>
          <w:szCs w:val="18"/>
        </w:rPr>
      </w:pPr>
      <w:bookmarkStart w:id="465" w:name="_Ref8750825"/>
      <w:bookmarkStart w:id="466" w:name="_Toc12795338"/>
      <w:r w:rsidRPr="004C7089">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bookmarkEnd w:id="465"/>
      <w:r w:rsidRPr="004C7089">
        <w:rPr>
          <w:rFonts w:ascii="Calibri" w:hAnsi="Calibri"/>
          <w:b/>
          <w:szCs w:val="18"/>
        </w:rPr>
        <w:br/>
        <w:t>Projected New England Operable Capacity Analysis for Winter, 2020</w:t>
      </w:r>
      <w:r w:rsidR="006B0FAA">
        <w:rPr>
          <w:rFonts w:ascii="Calibri" w:hAnsi="Calibri"/>
          <w:b/>
          <w:szCs w:val="18"/>
        </w:rPr>
        <w:t>/</w:t>
      </w:r>
      <w:r w:rsidRPr="004C7089">
        <w:rPr>
          <w:rFonts w:ascii="Calibri" w:hAnsi="Calibri"/>
          <w:b/>
          <w:szCs w:val="18"/>
        </w:rPr>
        <w:t xml:space="preserve">2021 </w:t>
      </w:r>
      <w:r w:rsidRPr="004C7089">
        <w:rPr>
          <w:rFonts w:ascii="Calibri" w:hAnsi="Calibri" w:cs="Arial"/>
          <w:b/>
          <w:szCs w:val="18"/>
        </w:rPr>
        <w:t xml:space="preserve">to </w:t>
      </w:r>
      <w:r w:rsidRPr="004C7089">
        <w:rPr>
          <w:rFonts w:ascii="Calibri" w:hAnsi="Calibri"/>
          <w:b/>
          <w:szCs w:val="18"/>
        </w:rPr>
        <w:t>2028</w:t>
      </w:r>
      <w:r w:rsidR="006B0FAA">
        <w:rPr>
          <w:rFonts w:ascii="Calibri" w:hAnsi="Calibri"/>
          <w:b/>
          <w:szCs w:val="18"/>
        </w:rPr>
        <w:t>/</w:t>
      </w:r>
      <w:r w:rsidRPr="004C7089">
        <w:rPr>
          <w:rFonts w:ascii="Calibri" w:hAnsi="Calibri"/>
          <w:b/>
          <w:szCs w:val="18"/>
        </w:rPr>
        <w:t>2029</w:t>
      </w:r>
      <w:r w:rsidRPr="004C7089">
        <w:rPr>
          <w:rFonts w:ascii="Calibri" w:hAnsi="Calibri"/>
          <w:b/>
          <w:szCs w:val="18"/>
        </w:rPr>
        <w:br/>
        <w:t>Assuming 50/50 and 90/10 Loads (MW)</w:t>
      </w:r>
      <w:bookmarkEnd w:id="466"/>
    </w:p>
    <w:tbl>
      <w:tblPr>
        <w:tblW w:w="9603" w:type="dxa"/>
        <w:tblInd w:w="-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64"/>
        <w:gridCol w:w="1872"/>
        <w:gridCol w:w="763"/>
        <w:gridCol w:w="763"/>
        <w:gridCol w:w="763"/>
        <w:gridCol w:w="763"/>
        <w:gridCol w:w="763"/>
        <w:gridCol w:w="763"/>
        <w:gridCol w:w="763"/>
        <w:gridCol w:w="763"/>
        <w:gridCol w:w="763"/>
      </w:tblGrid>
      <w:tr w:rsidR="004C7089" w:rsidRPr="004C7089" w14:paraId="55A000F4" w14:textId="77777777" w:rsidTr="008E59B2">
        <w:trPr>
          <w:trHeight w:val="465"/>
        </w:trPr>
        <w:tc>
          <w:tcPr>
            <w:tcW w:w="2736" w:type="dxa"/>
            <w:gridSpan w:val="2"/>
            <w:shd w:val="clear" w:color="auto" w:fill="1795D2" w:themeFill="accent1"/>
            <w:noWrap/>
            <w:vAlign w:val="center"/>
            <w:hideMark/>
          </w:tcPr>
          <w:p w14:paraId="2F22EA06"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Capacity Situation (Winter MW)</w:t>
            </w:r>
          </w:p>
        </w:tc>
        <w:tc>
          <w:tcPr>
            <w:tcW w:w="763" w:type="dxa"/>
            <w:shd w:val="clear" w:color="auto" w:fill="1795D2" w:themeFill="accent1"/>
            <w:noWrap/>
            <w:vAlign w:val="center"/>
            <w:hideMark/>
          </w:tcPr>
          <w:p w14:paraId="6978BECB"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2020/</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2021</w:t>
            </w:r>
          </w:p>
        </w:tc>
        <w:tc>
          <w:tcPr>
            <w:tcW w:w="763" w:type="dxa"/>
            <w:shd w:val="clear" w:color="auto" w:fill="1795D2" w:themeFill="accent1"/>
            <w:noWrap/>
            <w:vAlign w:val="center"/>
            <w:hideMark/>
          </w:tcPr>
          <w:p w14:paraId="583C710C"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2021/</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2022</w:t>
            </w:r>
          </w:p>
        </w:tc>
        <w:tc>
          <w:tcPr>
            <w:tcW w:w="763" w:type="dxa"/>
            <w:shd w:val="clear" w:color="auto" w:fill="1795D2" w:themeFill="accent1"/>
            <w:noWrap/>
            <w:vAlign w:val="center"/>
            <w:hideMark/>
          </w:tcPr>
          <w:p w14:paraId="21C9CA81"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2023</w:t>
            </w:r>
          </w:p>
        </w:tc>
        <w:tc>
          <w:tcPr>
            <w:tcW w:w="763" w:type="dxa"/>
            <w:shd w:val="clear" w:color="auto" w:fill="1795D2" w:themeFill="accent1"/>
            <w:noWrap/>
            <w:vAlign w:val="center"/>
            <w:hideMark/>
          </w:tcPr>
          <w:p w14:paraId="556A74FA"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2023/</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2024</w:t>
            </w:r>
          </w:p>
        </w:tc>
        <w:tc>
          <w:tcPr>
            <w:tcW w:w="763" w:type="dxa"/>
            <w:shd w:val="clear" w:color="auto" w:fill="1795D2" w:themeFill="accent1"/>
            <w:noWrap/>
            <w:vAlign w:val="center"/>
            <w:hideMark/>
          </w:tcPr>
          <w:p w14:paraId="70168AE9"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2024/</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2025</w:t>
            </w:r>
          </w:p>
        </w:tc>
        <w:tc>
          <w:tcPr>
            <w:tcW w:w="763" w:type="dxa"/>
            <w:shd w:val="clear" w:color="auto" w:fill="1795D2" w:themeFill="accent1"/>
            <w:noWrap/>
            <w:vAlign w:val="center"/>
            <w:hideMark/>
          </w:tcPr>
          <w:p w14:paraId="2BDC02A8"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2025/</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2026</w:t>
            </w:r>
          </w:p>
        </w:tc>
        <w:tc>
          <w:tcPr>
            <w:tcW w:w="763" w:type="dxa"/>
            <w:shd w:val="clear" w:color="auto" w:fill="1795D2" w:themeFill="accent1"/>
            <w:noWrap/>
            <w:vAlign w:val="center"/>
            <w:hideMark/>
          </w:tcPr>
          <w:p w14:paraId="325EC42B"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2026/</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2027</w:t>
            </w:r>
          </w:p>
        </w:tc>
        <w:tc>
          <w:tcPr>
            <w:tcW w:w="763" w:type="dxa"/>
            <w:shd w:val="clear" w:color="auto" w:fill="1795D2" w:themeFill="accent1"/>
            <w:noWrap/>
            <w:vAlign w:val="center"/>
            <w:hideMark/>
          </w:tcPr>
          <w:p w14:paraId="789876FD"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2027/2</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028</w:t>
            </w:r>
          </w:p>
        </w:tc>
        <w:tc>
          <w:tcPr>
            <w:tcW w:w="763" w:type="dxa"/>
            <w:shd w:val="clear" w:color="auto" w:fill="1795D2" w:themeFill="accent1"/>
            <w:noWrap/>
            <w:vAlign w:val="center"/>
            <w:hideMark/>
          </w:tcPr>
          <w:p w14:paraId="0C19D228" w14:textId="77777777" w:rsidR="004C7089" w:rsidRPr="004C7089" w:rsidRDefault="004C7089" w:rsidP="008E59B2">
            <w:pPr>
              <w:keepNext/>
              <w:keepLines/>
              <w:spacing w:before="20" w:after="20" w:line="240" w:lineRule="auto"/>
              <w:jc w:val="center"/>
              <w:rPr>
                <w:rFonts w:asciiTheme="majorHAnsi" w:eastAsia="Times New Roman" w:hAnsiTheme="majorHAnsi"/>
                <w:b/>
                <w:bCs/>
                <w:color w:val="FFFFFF"/>
                <w:sz w:val="18"/>
                <w:szCs w:val="18"/>
              </w:rPr>
            </w:pPr>
            <w:r w:rsidRPr="004C7089">
              <w:rPr>
                <w:rFonts w:asciiTheme="majorHAnsi" w:eastAsia="Times New Roman" w:hAnsiTheme="majorHAnsi"/>
                <w:b/>
                <w:bCs/>
                <w:color w:val="FFFFFF"/>
                <w:sz w:val="18"/>
                <w:szCs w:val="18"/>
              </w:rPr>
              <w:t>2028/</w:t>
            </w:r>
            <w:r w:rsidR="008E59B2">
              <w:rPr>
                <w:rFonts w:asciiTheme="majorHAnsi" w:eastAsia="Times New Roman" w:hAnsiTheme="majorHAnsi"/>
                <w:b/>
                <w:bCs/>
                <w:color w:val="FFFFFF"/>
                <w:sz w:val="18"/>
                <w:szCs w:val="18"/>
              </w:rPr>
              <w:br/>
            </w:r>
            <w:r w:rsidRPr="004C7089">
              <w:rPr>
                <w:rFonts w:asciiTheme="majorHAnsi" w:eastAsia="Times New Roman" w:hAnsiTheme="majorHAnsi"/>
                <w:b/>
                <w:bCs/>
                <w:color w:val="FFFFFF"/>
                <w:sz w:val="18"/>
                <w:szCs w:val="18"/>
              </w:rPr>
              <w:t>2029</w:t>
            </w:r>
          </w:p>
        </w:tc>
      </w:tr>
      <w:tr w:rsidR="004C7089" w:rsidRPr="004C7089" w14:paraId="0BF68D45" w14:textId="77777777" w:rsidTr="008E59B2">
        <w:trPr>
          <w:trHeight w:val="300"/>
        </w:trPr>
        <w:tc>
          <w:tcPr>
            <w:tcW w:w="864" w:type="dxa"/>
            <w:vMerge w:val="restart"/>
            <w:shd w:val="clear" w:color="auto" w:fill="auto"/>
            <w:noWrap/>
            <w:vAlign w:val="center"/>
            <w:hideMark/>
          </w:tcPr>
          <w:p w14:paraId="765161DC" w14:textId="77777777"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50/50 forecast</w:t>
            </w:r>
          </w:p>
        </w:tc>
        <w:tc>
          <w:tcPr>
            <w:tcW w:w="1872" w:type="dxa"/>
            <w:shd w:val="clear" w:color="auto" w:fill="auto"/>
            <w:vAlign w:val="center"/>
            <w:hideMark/>
          </w:tcPr>
          <w:p w14:paraId="2B24313B"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r w:rsidRPr="004C7089">
              <w:rPr>
                <w:rFonts w:asciiTheme="majorHAnsi" w:eastAsia="Times New Roman" w:hAnsiTheme="majorHAnsi"/>
                <w:sz w:val="18"/>
                <w:szCs w:val="18"/>
                <w:vertAlign w:val="superscript"/>
              </w:rPr>
              <w:t>(a)</w:t>
            </w:r>
          </w:p>
        </w:tc>
        <w:tc>
          <w:tcPr>
            <w:tcW w:w="763" w:type="dxa"/>
            <w:shd w:val="clear" w:color="auto" w:fill="auto"/>
            <w:noWrap/>
            <w:vAlign w:val="center"/>
            <w:hideMark/>
          </w:tcPr>
          <w:p w14:paraId="26816519"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23,278</w:t>
            </w:r>
          </w:p>
        </w:tc>
        <w:tc>
          <w:tcPr>
            <w:tcW w:w="763" w:type="dxa"/>
            <w:shd w:val="clear" w:color="auto" w:fill="auto"/>
            <w:noWrap/>
            <w:vAlign w:val="center"/>
            <w:hideMark/>
          </w:tcPr>
          <w:p w14:paraId="4D10408E"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23,420</w:t>
            </w:r>
          </w:p>
        </w:tc>
        <w:tc>
          <w:tcPr>
            <w:tcW w:w="763" w:type="dxa"/>
            <w:shd w:val="clear" w:color="auto" w:fill="auto"/>
            <w:noWrap/>
            <w:vAlign w:val="center"/>
            <w:hideMark/>
          </w:tcPr>
          <w:p w14:paraId="03896493"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23,558</w:t>
            </w:r>
          </w:p>
        </w:tc>
        <w:tc>
          <w:tcPr>
            <w:tcW w:w="763" w:type="dxa"/>
            <w:shd w:val="clear" w:color="auto" w:fill="auto"/>
            <w:noWrap/>
            <w:vAlign w:val="center"/>
            <w:hideMark/>
          </w:tcPr>
          <w:p w14:paraId="48E41ED6"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23698</w:t>
            </w:r>
          </w:p>
        </w:tc>
        <w:tc>
          <w:tcPr>
            <w:tcW w:w="763" w:type="dxa"/>
            <w:shd w:val="clear" w:color="auto" w:fill="auto"/>
            <w:noWrap/>
            <w:vAlign w:val="center"/>
            <w:hideMark/>
          </w:tcPr>
          <w:p w14:paraId="727FE3DC"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23,831</w:t>
            </w:r>
          </w:p>
        </w:tc>
        <w:tc>
          <w:tcPr>
            <w:tcW w:w="763" w:type="dxa"/>
            <w:shd w:val="clear" w:color="auto" w:fill="auto"/>
            <w:noWrap/>
            <w:vAlign w:val="center"/>
            <w:hideMark/>
          </w:tcPr>
          <w:p w14:paraId="2F55733F"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23,964</w:t>
            </w:r>
          </w:p>
        </w:tc>
        <w:tc>
          <w:tcPr>
            <w:tcW w:w="763" w:type="dxa"/>
            <w:shd w:val="clear" w:color="auto" w:fill="auto"/>
            <w:noWrap/>
            <w:vAlign w:val="center"/>
            <w:hideMark/>
          </w:tcPr>
          <w:p w14:paraId="7C330955"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24,098</w:t>
            </w:r>
          </w:p>
        </w:tc>
        <w:tc>
          <w:tcPr>
            <w:tcW w:w="763" w:type="dxa"/>
            <w:shd w:val="clear" w:color="auto" w:fill="auto"/>
            <w:noWrap/>
            <w:vAlign w:val="center"/>
            <w:hideMark/>
          </w:tcPr>
          <w:p w14:paraId="4CF9ECBA"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24,237</w:t>
            </w:r>
          </w:p>
        </w:tc>
        <w:tc>
          <w:tcPr>
            <w:tcW w:w="763" w:type="dxa"/>
            <w:shd w:val="clear" w:color="auto" w:fill="auto"/>
            <w:noWrap/>
            <w:vAlign w:val="center"/>
            <w:hideMark/>
          </w:tcPr>
          <w:p w14:paraId="2AFB764F" w14:textId="77777777" w:rsidR="004C7089" w:rsidRPr="004C7089" w:rsidRDefault="004C7089" w:rsidP="008E59B2">
            <w:pPr>
              <w:keepNext/>
              <w:keepLines/>
              <w:spacing w:before="20" w:after="20" w:line="240" w:lineRule="auto"/>
              <w:jc w:val="right"/>
              <w:rPr>
                <w:rFonts w:asciiTheme="majorHAnsi" w:eastAsia="Times New Roman" w:hAnsiTheme="majorHAnsi" w:cs="Arial"/>
                <w:sz w:val="18"/>
                <w:szCs w:val="18"/>
              </w:rPr>
            </w:pPr>
            <w:r w:rsidRPr="004C7089">
              <w:rPr>
                <w:rFonts w:ascii="Calibri" w:hAnsi="Calibri" w:cs="Calibri"/>
                <w:sz w:val="18"/>
                <w:szCs w:val="18"/>
              </w:rPr>
              <w:t>24,376</w:t>
            </w:r>
          </w:p>
        </w:tc>
      </w:tr>
      <w:tr w:rsidR="004C7089" w:rsidRPr="004C7089" w14:paraId="796736AB" w14:textId="77777777" w:rsidTr="008E59B2">
        <w:trPr>
          <w:trHeight w:val="300"/>
        </w:trPr>
        <w:tc>
          <w:tcPr>
            <w:tcW w:w="864" w:type="dxa"/>
            <w:vMerge/>
            <w:shd w:val="clear" w:color="auto" w:fill="auto"/>
            <w:noWrap/>
            <w:vAlign w:val="center"/>
            <w:hideMark/>
          </w:tcPr>
          <w:p w14:paraId="0C963802"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14:paraId="79EF5115"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14:paraId="6D0680D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2D89E62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1E4FB14D"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72519ADB"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3FAEB32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2C1ABE4C"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19034420"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2D59434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5477222F"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14:paraId="187EFB55" w14:textId="77777777" w:rsidTr="008E59B2">
        <w:trPr>
          <w:trHeight w:val="300"/>
        </w:trPr>
        <w:tc>
          <w:tcPr>
            <w:tcW w:w="864" w:type="dxa"/>
            <w:vMerge/>
            <w:shd w:val="clear" w:color="auto" w:fill="auto"/>
            <w:noWrap/>
            <w:vAlign w:val="center"/>
            <w:hideMark/>
          </w:tcPr>
          <w:p w14:paraId="07A936E9"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14:paraId="01AC34A2"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auto" w:fill="auto"/>
            <w:noWrap/>
            <w:vAlign w:val="center"/>
            <w:hideMark/>
          </w:tcPr>
          <w:p w14:paraId="466BCFDE"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25,583</w:t>
            </w:r>
          </w:p>
        </w:tc>
        <w:tc>
          <w:tcPr>
            <w:tcW w:w="763" w:type="dxa"/>
            <w:shd w:val="clear" w:color="auto" w:fill="auto"/>
            <w:noWrap/>
            <w:vAlign w:val="center"/>
            <w:hideMark/>
          </w:tcPr>
          <w:p w14:paraId="31124727"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25,725</w:t>
            </w:r>
          </w:p>
        </w:tc>
        <w:tc>
          <w:tcPr>
            <w:tcW w:w="763" w:type="dxa"/>
            <w:shd w:val="clear" w:color="auto" w:fill="auto"/>
            <w:noWrap/>
            <w:vAlign w:val="center"/>
            <w:hideMark/>
          </w:tcPr>
          <w:p w14:paraId="254062EF"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25,863</w:t>
            </w:r>
          </w:p>
        </w:tc>
        <w:tc>
          <w:tcPr>
            <w:tcW w:w="763" w:type="dxa"/>
            <w:shd w:val="clear" w:color="auto" w:fill="auto"/>
            <w:noWrap/>
            <w:vAlign w:val="center"/>
            <w:hideMark/>
          </w:tcPr>
          <w:p w14:paraId="32203468"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26,003</w:t>
            </w:r>
          </w:p>
        </w:tc>
        <w:tc>
          <w:tcPr>
            <w:tcW w:w="763" w:type="dxa"/>
            <w:shd w:val="clear" w:color="auto" w:fill="auto"/>
            <w:noWrap/>
            <w:vAlign w:val="center"/>
            <w:hideMark/>
          </w:tcPr>
          <w:p w14:paraId="18873B7F"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26,136</w:t>
            </w:r>
          </w:p>
        </w:tc>
        <w:tc>
          <w:tcPr>
            <w:tcW w:w="763" w:type="dxa"/>
            <w:shd w:val="clear" w:color="auto" w:fill="auto"/>
            <w:noWrap/>
            <w:vAlign w:val="center"/>
            <w:hideMark/>
          </w:tcPr>
          <w:p w14:paraId="17023614"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26,269</w:t>
            </w:r>
          </w:p>
        </w:tc>
        <w:tc>
          <w:tcPr>
            <w:tcW w:w="763" w:type="dxa"/>
            <w:shd w:val="clear" w:color="auto" w:fill="auto"/>
            <w:noWrap/>
            <w:vAlign w:val="center"/>
            <w:hideMark/>
          </w:tcPr>
          <w:p w14:paraId="4AE166EB"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26,403</w:t>
            </w:r>
          </w:p>
        </w:tc>
        <w:tc>
          <w:tcPr>
            <w:tcW w:w="763" w:type="dxa"/>
            <w:shd w:val="clear" w:color="auto" w:fill="auto"/>
            <w:noWrap/>
            <w:vAlign w:val="center"/>
            <w:hideMark/>
          </w:tcPr>
          <w:p w14:paraId="4436346A"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26,542</w:t>
            </w:r>
          </w:p>
        </w:tc>
        <w:tc>
          <w:tcPr>
            <w:tcW w:w="763" w:type="dxa"/>
            <w:shd w:val="clear" w:color="auto" w:fill="auto"/>
            <w:noWrap/>
            <w:vAlign w:val="center"/>
            <w:hideMark/>
          </w:tcPr>
          <w:p w14:paraId="6E85A7B0"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Calibri" w:hAnsi="Calibri" w:cs="Calibri"/>
                <w:b/>
                <w:sz w:val="18"/>
                <w:szCs w:val="18"/>
              </w:rPr>
              <w:t>26,681</w:t>
            </w:r>
          </w:p>
        </w:tc>
      </w:tr>
      <w:tr w:rsidR="004C7089" w:rsidRPr="004C7089" w14:paraId="4D40C92D" w14:textId="77777777" w:rsidTr="008E59B2">
        <w:trPr>
          <w:trHeight w:val="525"/>
        </w:trPr>
        <w:tc>
          <w:tcPr>
            <w:tcW w:w="864" w:type="dxa"/>
            <w:vMerge/>
            <w:shd w:val="clear" w:color="auto" w:fill="auto"/>
            <w:noWrap/>
            <w:vAlign w:val="center"/>
            <w:hideMark/>
          </w:tcPr>
          <w:p w14:paraId="5A7CB109"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7CA09935"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14:paraId="38227885"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14:paraId="1D76604F" w14:textId="77777777" w:rsidR="004C7089" w:rsidRPr="004C7089" w:rsidRDefault="004C7089" w:rsidP="008E59B2">
            <w:pPr>
              <w:keepNext/>
              <w:keepLines/>
              <w:spacing w:before="20" w:after="20" w:line="240" w:lineRule="auto"/>
              <w:jc w:val="center"/>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14:paraId="61596FF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14:paraId="3F286810"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hideMark/>
          </w:tcPr>
          <w:p w14:paraId="0C2CFCC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hideMark/>
          </w:tcPr>
          <w:p w14:paraId="34EA9618"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hideMark/>
          </w:tcPr>
          <w:p w14:paraId="268CDFD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hideMark/>
          </w:tcPr>
          <w:p w14:paraId="05746C77"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hideMark/>
          </w:tcPr>
          <w:p w14:paraId="5E71C288"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33,870</w:t>
            </w:r>
          </w:p>
        </w:tc>
      </w:tr>
      <w:tr w:rsidR="004C7089" w:rsidRPr="004C7089" w14:paraId="1A22311B" w14:textId="77777777" w:rsidTr="008E59B2">
        <w:trPr>
          <w:trHeight w:val="480"/>
        </w:trPr>
        <w:tc>
          <w:tcPr>
            <w:tcW w:w="864" w:type="dxa"/>
            <w:vMerge/>
            <w:shd w:val="clear" w:color="auto" w:fill="auto"/>
            <w:noWrap/>
            <w:vAlign w:val="center"/>
            <w:hideMark/>
          </w:tcPr>
          <w:p w14:paraId="4972A128"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4D9D6541"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r w:rsidRPr="004C7089">
              <w:rPr>
                <w:rFonts w:asciiTheme="majorHAnsi" w:eastAsia="Times New Roman" w:hAnsiTheme="majorHAnsi"/>
                <w:b/>
                <w:bCs/>
                <w:sz w:val="18"/>
                <w:szCs w:val="18"/>
                <w:vertAlign w:val="superscript"/>
              </w:rPr>
              <w:t>(d)</w:t>
            </w:r>
          </w:p>
        </w:tc>
        <w:tc>
          <w:tcPr>
            <w:tcW w:w="763" w:type="dxa"/>
            <w:shd w:val="clear" w:color="auto" w:fill="CCEAF9" w:themeFill="accent1" w:themeFillTint="33"/>
            <w:noWrap/>
            <w:vAlign w:val="center"/>
          </w:tcPr>
          <w:p w14:paraId="2A4253C5"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4D94684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5171897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0BB2947D"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5CF72A1E"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1117AF45"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54ABB2E5"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59FAEA4F"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c>
          <w:tcPr>
            <w:tcW w:w="763" w:type="dxa"/>
            <w:shd w:val="clear" w:color="auto" w:fill="CCEAF9" w:themeFill="accent1" w:themeFillTint="33"/>
            <w:noWrap/>
            <w:vAlign w:val="center"/>
          </w:tcPr>
          <w:p w14:paraId="09FBC0D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−8,100</w:t>
            </w:r>
          </w:p>
        </w:tc>
      </w:tr>
      <w:tr w:rsidR="004C7089" w:rsidRPr="004C7089" w14:paraId="4C95C25D" w14:textId="77777777" w:rsidTr="008E59B2">
        <w:trPr>
          <w:trHeight w:val="300"/>
        </w:trPr>
        <w:tc>
          <w:tcPr>
            <w:tcW w:w="864" w:type="dxa"/>
            <w:vMerge/>
            <w:shd w:val="clear" w:color="auto" w:fill="auto"/>
            <w:noWrap/>
            <w:vAlign w:val="center"/>
            <w:hideMark/>
          </w:tcPr>
          <w:p w14:paraId="2CC29E58"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41415F06"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14:paraId="03E746D8"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25,420</w:t>
            </w:r>
          </w:p>
        </w:tc>
        <w:tc>
          <w:tcPr>
            <w:tcW w:w="763" w:type="dxa"/>
            <w:shd w:val="clear" w:color="auto" w:fill="CCEAF9" w:themeFill="accent1" w:themeFillTint="33"/>
            <w:noWrap/>
            <w:vAlign w:val="center"/>
          </w:tcPr>
          <w:p w14:paraId="5A9581E4"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25,450</w:t>
            </w:r>
          </w:p>
        </w:tc>
        <w:tc>
          <w:tcPr>
            <w:tcW w:w="763" w:type="dxa"/>
            <w:shd w:val="clear" w:color="auto" w:fill="CCEAF9" w:themeFill="accent1" w:themeFillTint="33"/>
            <w:noWrap/>
            <w:vAlign w:val="center"/>
          </w:tcPr>
          <w:p w14:paraId="34A4F539"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25,650</w:t>
            </w:r>
          </w:p>
        </w:tc>
        <w:tc>
          <w:tcPr>
            <w:tcW w:w="763" w:type="dxa"/>
            <w:shd w:val="clear" w:color="auto" w:fill="CCEAF9" w:themeFill="accent1" w:themeFillTint="33"/>
            <w:noWrap/>
            <w:vAlign w:val="center"/>
          </w:tcPr>
          <w:p w14:paraId="37606D0A"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14:paraId="0943F09A"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24,840</w:t>
            </w:r>
          </w:p>
        </w:tc>
        <w:tc>
          <w:tcPr>
            <w:tcW w:w="763" w:type="dxa"/>
            <w:shd w:val="clear" w:color="auto" w:fill="CCEAF9" w:themeFill="accent1" w:themeFillTint="33"/>
            <w:noWrap/>
            <w:vAlign w:val="center"/>
          </w:tcPr>
          <w:p w14:paraId="0E7200DE"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25,065</w:t>
            </w:r>
          </w:p>
        </w:tc>
        <w:tc>
          <w:tcPr>
            <w:tcW w:w="763" w:type="dxa"/>
            <w:shd w:val="clear" w:color="auto" w:fill="CCEAF9" w:themeFill="accent1" w:themeFillTint="33"/>
            <w:noWrap/>
            <w:vAlign w:val="center"/>
          </w:tcPr>
          <w:p w14:paraId="4697EB9C"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25,290</w:t>
            </w:r>
          </w:p>
        </w:tc>
        <w:tc>
          <w:tcPr>
            <w:tcW w:w="763" w:type="dxa"/>
            <w:shd w:val="clear" w:color="auto" w:fill="CCEAF9" w:themeFill="accent1" w:themeFillTint="33"/>
            <w:noWrap/>
            <w:vAlign w:val="center"/>
          </w:tcPr>
          <w:p w14:paraId="4D36AAE5"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25,525</w:t>
            </w:r>
          </w:p>
        </w:tc>
        <w:tc>
          <w:tcPr>
            <w:tcW w:w="763" w:type="dxa"/>
            <w:shd w:val="clear" w:color="auto" w:fill="CCEAF9" w:themeFill="accent1" w:themeFillTint="33"/>
            <w:noWrap/>
            <w:vAlign w:val="center"/>
          </w:tcPr>
          <w:p w14:paraId="4546EA42"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25,770</w:t>
            </w:r>
          </w:p>
        </w:tc>
      </w:tr>
      <w:tr w:rsidR="004C7089" w:rsidRPr="004C7089" w14:paraId="1E63B09A" w14:textId="77777777" w:rsidTr="008E59B2">
        <w:trPr>
          <w:trHeight w:val="540"/>
        </w:trPr>
        <w:tc>
          <w:tcPr>
            <w:tcW w:w="864" w:type="dxa"/>
            <w:vMerge/>
            <w:shd w:val="clear" w:color="auto" w:fill="auto"/>
            <w:noWrap/>
            <w:vAlign w:val="center"/>
            <w:hideMark/>
          </w:tcPr>
          <w:p w14:paraId="284E4234"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14:paraId="5D4E8541"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50/50 forecast</w:t>
            </w:r>
          </w:p>
        </w:tc>
        <w:tc>
          <w:tcPr>
            <w:tcW w:w="763" w:type="dxa"/>
            <w:shd w:val="clear" w:color="auto" w:fill="9AD6F4" w:themeFill="accent1" w:themeFillTint="66"/>
            <w:noWrap/>
            <w:vAlign w:val="center"/>
          </w:tcPr>
          <w:p w14:paraId="285AE994"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−163</w:t>
            </w:r>
          </w:p>
        </w:tc>
        <w:tc>
          <w:tcPr>
            <w:tcW w:w="763" w:type="dxa"/>
            <w:shd w:val="clear" w:color="auto" w:fill="9AD6F4" w:themeFill="accent1" w:themeFillTint="66"/>
            <w:noWrap/>
            <w:vAlign w:val="center"/>
          </w:tcPr>
          <w:p w14:paraId="42BF99DF"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−275</w:t>
            </w:r>
          </w:p>
        </w:tc>
        <w:tc>
          <w:tcPr>
            <w:tcW w:w="763" w:type="dxa"/>
            <w:shd w:val="clear" w:color="auto" w:fill="9AD6F4" w:themeFill="accent1" w:themeFillTint="66"/>
            <w:noWrap/>
            <w:vAlign w:val="center"/>
          </w:tcPr>
          <w:p w14:paraId="4B7EE850"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−213</w:t>
            </w:r>
          </w:p>
        </w:tc>
        <w:tc>
          <w:tcPr>
            <w:tcW w:w="763" w:type="dxa"/>
            <w:shd w:val="clear" w:color="auto" w:fill="9AD6F4" w:themeFill="accent1" w:themeFillTint="66"/>
            <w:noWrap/>
            <w:vAlign w:val="center"/>
          </w:tcPr>
          <w:p w14:paraId="5EA318E8"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N/A</w:t>
            </w:r>
          </w:p>
        </w:tc>
        <w:tc>
          <w:tcPr>
            <w:tcW w:w="763" w:type="dxa"/>
            <w:shd w:val="clear" w:color="auto" w:fill="9AD6F4" w:themeFill="accent1" w:themeFillTint="66"/>
            <w:noWrap/>
            <w:vAlign w:val="center"/>
          </w:tcPr>
          <w:p w14:paraId="31FF5FF0"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−1,286</w:t>
            </w:r>
          </w:p>
        </w:tc>
        <w:tc>
          <w:tcPr>
            <w:tcW w:w="763" w:type="dxa"/>
            <w:shd w:val="clear" w:color="auto" w:fill="9AD6F4" w:themeFill="accent1" w:themeFillTint="66"/>
            <w:noWrap/>
            <w:vAlign w:val="center"/>
          </w:tcPr>
          <w:p w14:paraId="2D1043FE"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−1,204</w:t>
            </w:r>
          </w:p>
        </w:tc>
        <w:tc>
          <w:tcPr>
            <w:tcW w:w="763" w:type="dxa"/>
            <w:shd w:val="clear" w:color="auto" w:fill="9AD6F4" w:themeFill="accent1" w:themeFillTint="66"/>
            <w:noWrap/>
            <w:vAlign w:val="center"/>
          </w:tcPr>
          <w:p w14:paraId="640D3DE3"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−1,113</w:t>
            </w:r>
          </w:p>
        </w:tc>
        <w:tc>
          <w:tcPr>
            <w:tcW w:w="763" w:type="dxa"/>
            <w:shd w:val="clear" w:color="auto" w:fill="9AD6F4" w:themeFill="accent1" w:themeFillTint="66"/>
            <w:noWrap/>
            <w:vAlign w:val="center"/>
          </w:tcPr>
          <w:p w14:paraId="6B0C2CC4"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−1,017</w:t>
            </w:r>
          </w:p>
        </w:tc>
        <w:tc>
          <w:tcPr>
            <w:tcW w:w="763" w:type="dxa"/>
            <w:shd w:val="clear" w:color="auto" w:fill="9AD6F4" w:themeFill="accent1" w:themeFillTint="66"/>
            <w:noWrap/>
            <w:vAlign w:val="center"/>
          </w:tcPr>
          <w:p w14:paraId="4D1E4C58" w14:textId="77777777" w:rsidR="004C7089" w:rsidRPr="004C7089" w:rsidRDefault="004C7089" w:rsidP="008E59B2">
            <w:pPr>
              <w:keepNext/>
              <w:keepLines/>
              <w:spacing w:before="20" w:after="20" w:line="240" w:lineRule="auto"/>
              <w:jc w:val="right"/>
              <w:rPr>
                <w:rFonts w:asciiTheme="majorHAnsi" w:hAnsiTheme="majorHAnsi"/>
                <w:b/>
                <w:sz w:val="18"/>
                <w:szCs w:val="18"/>
              </w:rPr>
            </w:pPr>
            <w:r w:rsidRPr="004C7089">
              <w:rPr>
                <w:rFonts w:asciiTheme="majorHAnsi" w:hAnsiTheme="majorHAnsi"/>
                <w:b/>
                <w:sz w:val="18"/>
                <w:szCs w:val="18"/>
              </w:rPr>
              <w:t>-911</w:t>
            </w:r>
          </w:p>
        </w:tc>
      </w:tr>
      <w:tr w:rsidR="004C7089" w:rsidRPr="004C7089" w14:paraId="5C68E542" w14:textId="77777777" w:rsidTr="008E59B2">
        <w:trPr>
          <w:trHeight w:val="300"/>
        </w:trPr>
        <w:tc>
          <w:tcPr>
            <w:tcW w:w="864" w:type="dxa"/>
            <w:vMerge w:val="restart"/>
            <w:shd w:val="clear" w:color="auto" w:fill="CCEAF9" w:themeFill="accent1" w:themeFillTint="33"/>
            <w:noWrap/>
            <w:vAlign w:val="center"/>
            <w:hideMark/>
          </w:tcPr>
          <w:p w14:paraId="717AB53F" w14:textId="77777777" w:rsidR="004C7089" w:rsidRPr="004C7089" w:rsidRDefault="004C7089" w:rsidP="008E59B2">
            <w:pPr>
              <w:keepNext/>
              <w:keepLines/>
              <w:spacing w:before="20" w:after="20" w:line="240" w:lineRule="auto"/>
              <w:rPr>
                <w:rFonts w:asciiTheme="majorHAnsi" w:eastAsia="Times New Roman" w:hAnsiTheme="majorHAnsi"/>
                <w:b/>
                <w:bCs/>
                <w:color w:val="000000"/>
                <w:sz w:val="18"/>
                <w:szCs w:val="18"/>
              </w:rPr>
            </w:pPr>
            <w:r w:rsidRPr="004C7089">
              <w:rPr>
                <w:rFonts w:asciiTheme="majorHAnsi" w:eastAsia="Times New Roman" w:hAnsiTheme="majorHAnsi"/>
                <w:b/>
                <w:bCs/>
                <w:color w:val="000000"/>
                <w:sz w:val="18"/>
                <w:szCs w:val="18"/>
              </w:rPr>
              <w:t>90/10 forecast</w:t>
            </w:r>
          </w:p>
        </w:tc>
        <w:tc>
          <w:tcPr>
            <w:tcW w:w="1872" w:type="dxa"/>
            <w:shd w:val="clear" w:color="auto" w:fill="auto"/>
            <w:vAlign w:val="center"/>
            <w:hideMark/>
          </w:tcPr>
          <w:p w14:paraId="0B881FA9"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Load net of BTM PV</w:t>
            </w:r>
          </w:p>
        </w:tc>
        <w:tc>
          <w:tcPr>
            <w:tcW w:w="763" w:type="dxa"/>
            <w:shd w:val="clear" w:color="auto" w:fill="auto"/>
            <w:noWrap/>
            <w:vAlign w:val="center"/>
            <w:hideMark/>
          </w:tcPr>
          <w:p w14:paraId="00334DEC"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23,983</w:t>
            </w:r>
          </w:p>
        </w:tc>
        <w:tc>
          <w:tcPr>
            <w:tcW w:w="763" w:type="dxa"/>
            <w:shd w:val="clear" w:color="auto" w:fill="auto"/>
            <w:noWrap/>
            <w:vAlign w:val="center"/>
            <w:hideMark/>
          </w:tcPr>
          <w:p w14:paraId="4B40FAB3"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24,138</w:t>
            </w:r>
          </w:p>
        </w:tc>
        <w:tc>
          <w:tcPr>
            <w:tcW w:w="763" w:type="dxa"/>
            <w:shd w:val="clear" w:color="auto" w:fill="auto"/>
            <w:noWrap/>
            <w:vAlign w:val="center"/>
            <w:hideMark/>
          </w:tcPr>
          <w:p w14:paraId="16DE8610"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24,283</w:t>
            </w:r>
          </w:p>
        </w:tc>
        <w:tc>
          <w:tcPr>
            <w:tcW w:w="763" w:type="dxa"/>
            <w:shd w:val="clear" w:color="auto" w:fill="auto"/>
            <w:noWrap/>
            <w:vAlign w:val="center"/>
            <w:hideMark/>
          </w:tcPr>
          <w:p w14:paraId="71C9DE4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24428</w:t>
            </w:r>
          </w:p>
        </w:tc>
        <w:tc>
          <w:tcPr>
            <w:tcW w:w="763" w:type="dxa"/>
            <w:shd w:val="clear" w:color="auto" w:fill="auto"/>
            <w:noWrap/>
            <w:vAlign w:val="center"/>
            <w:hideMark/>
          </w:tcPr>
          <w:p w14:paraId="6861ABD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24,568</w:t>
            </w:r>
          </w:p>
        </w:tc>
        <w:tc>
          <w:tcPr>
            <w:tcW w:w="763" w:type="dxa"/>
            <w:shd w:val="clear" w:color="auto" w:fill="auto"/>
            <w:noWrap/>
            <w:vAlign w:val="center"/>
            <w:hideMark/>
          </w:tcPr>
          <w:p w14:paraId="060AA47D"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24,707</w:t>
            </w:r>
          </w:p>
        </w:tc>
        <w:tc>
          <w:tcPr>
            <w:tcW w:w="763" w:type="dxa"/>
            <w:shd w:val="clear" w:color="auto" w:fill="auto"/>
            <w:noWrap/>
            <w:vAlign w:val="center"/>
            <w:hideMark/>
          </w:tcPr>
          <w:p w14:paraId="6154FE2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24,847</w:t>
            </w:r>
          </w:p>
        </w:tc>
        <w:tc>
          <w:tcPr>
            <w:tcW w:w="763" w:type="dxa"/>
            <w:shd w:val="clear" w:color="auto" w:fill="auto"/>
            <w:noWrap/>
            <w:vAlign w:val="center"/>
            <w:hideMark/>
          </w:tcPr>
          <w:p w14:paraId="14A7784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24,993</w:t>
            </w:r>
          </w:p>
        </w:tc>
        <w:tc>
          <w:tcPr>
            <w:tcW w:w="763" w:type="dxa"/>
            <w:shd w:val="clear" w:color="auto" w:fill="auto"/>
            <w:noWrap/>
            <w:vAlign w:val="center"/>
            <w:hideMark/>
          </w:tcPr>
          <w:p w14:paraId="77BE58FD"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Calibri" w:hAnsi="Calibri" w:cs="Calibri"/>
                <w:sz w:val="18"/>
                <w:szCs w:val="18"/>
              </w:rPr>
              <w:t>25,138</w:t>
            </w:r>
          </w:p>
        </w:tc>
      </w:tr>
      <w:tr w:rsidR="004C7089" w:rsidRPr="004C7089" w14:paraId="08EBEF9B" w14:textId="77777777" w:rsidTr="008E59B2">
        <w:trPr>
          <w:trHeight w:val="300"/>
        </w:trPr>
        <w:tc>
          <w:tcPr>
            <w:tcW w:w="864" w:type="dxa"/>
            <w:vMerge/>
            <w:shd w:val="clear" w:color="auto" w:fill="CCEAF9" w:themeFill="accent1" w:themeFillTint="33"/>
            <w:noWrap/>
            <w:vAlign w:val="center"/>
            <w:hideMark/>
          </w:tcPr>
          <w:p w14:paraId="3F2FFEDA"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14:paraId="2F50BDEC"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Operating reserves</w:t>
            </w:r>
            <w:r w:rsidRPr="004C7089">
              <w:rPr>
                <w:rFonts w:asciiTheme="majorHAnsi" w:eastAsia="Times New Roman" w:hAnsiTheme="majorHAnsi"/>
                <w:sz w:val="18"/>
                <w:szCs w:val="18"/>
                <w:vertAlign w:val="superscript"/>
              </w:rPr>
              <w:t>(b)</w:t>
            </w:r>
          </w:p>
        </w:tc>
        <w:tc>
          <w:tcPr>
            <w:tcW w:w="763" w:type="dxa"/>
            <w:shd w:val="clear" w:color="auto" w:fill="auto"/>
            <w:noWrap/>
            <w:vAlign w:val="center"/>
            <w:hideMark/>
          </w:tcPr>
          <w:p w14:paraId="4792E093"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68BE3912"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64A0674A"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78A77678"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4B78CBB6"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742BD12B"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5004467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4F10608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c>
          <w:tcPr>
            <w:tcW w:w="763" w:type="dxa"/>
            <w:shd w:val="clear" w:color="auto" w:fill="auto"/>
            <w:noWrap/>
            <w:vAlign w:val="center"/>
            <w:hideMark/>
          </w:tcPr>
          <w:p w14:paraId="425318D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2,305</w:t>
            </w:r>
          </w:p>
        </w:tc>
      </w:tr>
      <w:tr w:rsidR="004C7089" w:rsidRPr="004C7089" w14:paraId="1568B3AF" w14:textId="77777777" w:rsidTr="008E59B2">
        <w:trPr>
          <w:trHeight w:val="300"/>
        </w:trPr>
        <w:tc>
          <w:tcPr>
            <w:tcW w:w="864" w:type="dxa"/>
            <w:vMerge/>
            <w:shd w:val="clear" w:color="auto" w:fill="CCEAF9" w:themeFill="accent1" w:themeFillTint="33"/>
            <w:noWrap/>
            <w:vAlign w:val="center"/>
            <w:hideMark/>
          </w:tcPr>
          <w:p w14:paraId="5E53D371"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auto"/>
            <w:vAlign w:val="center"/>
            <w:hideMark/>
          </w:tcPr>
          <w:p w14:paraId="50E3707D"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requirement</w:t>
            </w:r>
          </w:p>
        </w:tc>
        <w:tc>
          <w:tcPr>
            <w:tcW w:w="763" w:type="dxa"/>
            <w:shd w:val="clear" w:color="000000" w:fill="CCEAF9"/>
            <w:noWrap/>
            <w:vAlign w:val="center"/>
            <w:hideMark/>
          </w:tcPr>
          <w:p w14:paraId="405F4E77"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26,288</w:t>
            </w:r>
          </w:p>
        </w:tc>
        <w:tc>
          <w:tcPr>
            <w:tcW w:w="763" w:type="dxa"/>
            <w:shd w:val="clear" w:color="000000" w:fill="CCEAF9"/>
            <w:noWrap/>
            <w:vAlign w:val="center"/>
            <w:hideMark/>
          </w:tcPr>
          <w:p w14:paraId="23520A04"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26,443</w:t>
            </w:r>
          </w:p>
        </w:tc>
        <w:tc>
          <w:tcPr>
            <w:tcW w:w="763" w:type="dxa"/>
            <w:shd w:val="clear" w:color="000000" w:fill="CCEAF9"/>
            <w:noWrap/>
            <w:vAlign w:val="center"/>
            <w:hideMark/>
          </w:tcPr>
          <w:p w14:paraId="1D570CAE"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26,588</w:t>
            </w:r>
          </w:p>
        </w:tc>
        <w:tc>
          <w:tcPr>
            <w:tcW w:w="763" w:type="dxa"/>
            <w:shd w:val="clear" w:color="000000" w:fill="CCEAF9"/>
            <w:noWrap/>
            <w:vAlign w:val="center"/>
            <w:hideMark/>
          </w:tcPr>
          <w:p w14:paraId="2F8E1ECB"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26733</w:t>
            </w:r>
          </w:p>
        </w:tc>
        <w:tc>
          <w:tcPr>
            <w:tcW w:w="763" w:type="dxa"/>
            <w:shd w:val="clear" w:color="000000" w:fill="CCEAF9"/>
            <w:noWrap/>
            <w:vAlign w:val="center"/>
            <w:hideMark/>
          </w:tcPr>
          <w:p w14:paraId="7A401255"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26,873</w:t>
            </w:r>
          </w:p>
        </w:tc>
        <w:tc>
          <w:tcPr>
            <w:tcW w:w="763" w:type="dxa"/>
            <w:shd w:val="clear" w:color="000000" w:fill="CCEAF9"/>
            <w:noWrap/>
            <w:vAlign w:val="center"/>
            <w:hideMark/>
          </w:tcPr>
          <w:p w14:paraId="070C36C0"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27,012</w:t>
            </w:r>
          </w:p>
        </w:tc>
        <w:tc>
          <w:tcPr>
            <w:tcW w:w="763" w:type="dxa"/>
            <w:shd w:val="clear" w:color="000000" w:fill="CCEAF9"/>
            <w:noWrap/>
            <w:vAlign w:val="center"/>
            <w:hideMark/>
          </w:tcPr>
          <w:p w14:paraId="7A9D1E91"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27,152</w:t>
            </w:r>
          </w:p>
        </w:tc>
        <w:tc>
          <w:tcPr>
            <w:tcW w:w="763" w:type="dxa"/>
            <w:shd w:val="clear" w:color="000000" w:fill="CCEAF9"/>
            <w:noWrap/>
            <w:vAlign w:val="center"/>
            <w:hideMark/>
          </w:tcPr>
          <w:p w14:paraId="78AA9111"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27,298</w:t>
            </w:r>
          </w:p>
        </w:tc>
        <w:tc>
          <w:tcPr>
            <w:tcW w:w="763" w:type="dxa"/>
            <w:shd w:val="clear" w:color="000000" w:fill="CCEAF9"/>
            <w:noWrap/>
            <w:vAlign w:val="center"/>
            <w:hideMark/>
          </w:tcPr>
          <w:p w14:paraId="428C24B3" w14:textId="77777777" w:rsidR="004C7089" w:rsidRPr="004C7089" w:rsidRDefault="004C7089" w:rsidP="008E59B2">
            <w:pPr>
              <w:keepNext/>
              <w:keepLines/>
              <w:spacing w:before="20" w:after="20" w:line="240" w:lineRule="auto"/>
              <w:jc w:val="right"/>
              <w:rPr>
                <w:rFonts w:ascii="Calibri" w:hAnsi="Calibri" w:cs="Calibri"/>
                <w:b/>
                <w:sz w:val="18"/>
                <w:szCs w:val="18"/>
              </w:rPr>
            </w:pPr>
            <w:r w:rsidRPr="004C7089">
              <w:rPr>
                <w:rFonts w:ascii="Calibri" w:hAnsi="Calibri" w:cs="Calibri"/>
                <w:b/>
                <w:bCs/>
                <w:sz w:val="18"/>
                <w:szCs w:val="18"/>
              </w:rPr>
              <w:t>27,443</w:t>
            </w:r>
          </w:p>
        </w:tc>
      </w:tr>
      <w:tr w:rsidR="004C7089" w:rsidRPr="004C7089" w14:paraId="43C74233" w14:textId="77777777" w:rsidTr="008E59B2">
        <w:trPr>
          <w:trHeight w:val="525"/>
        </w:trPr>
        <w:tc>
          <w:tcPr>
            <w:tcW w:w="864" w:type="dxa"/>
            <w:vMerge/>
            <w:shd w:val="clear" w:color="auto" w:fill="CCEAF9" w:themeFill="accent1" w:themeFillTint="33"/>
            <w:noWrap/>
            <w:vAlign w:val="center"/>
            <w:hideMark/>
          </w:tcPr>
          <w:p w14:paraId="6CC1ED14"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66B1146B"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Installed capacity</w:t>
            </w:r>
            <w:r w:rsidRPr="004C7089">
              <w:rPr>
                <w:rFonts w:asciiTheme="majorHAnsi" w:eastAsia="Times New Roman" w:hAnsiTheme="majorHAnsi"/>
                <w:sz w:val="18"/>
                <w:szCs w:val="18"/>
              </w:rPr>
              <w:br/>
              <w:t>(net ICR)</w:t>
            </w:r>
            <w:r w:rsidRPr="004C7089">
              <w:rPr>
                <w:rFonts w:asciiTheme="majorHAnsi" w:eastAsia="Times New Roman" w:hAnsiTheme="majorHAnsi"/>
                <w:sz w:val="18"/>
                <w:szCs w:val="18"/>
                <w:vertAlign w:val="superscript"/>
              </w:rPr>
              <w:t>(c)</w:t>
            </w:r>
          </w:p>
        </w:tc>
        <w:tc>
          <w:tcPr>
            <w:tcW w:w="763" w:type="dxa"/>
            <w:shd w:val="clear" w:color="auto" w:fill="CCEAF9" w:themeFill="accent1" w:themeFillTint="33"/>
            <w:noWrap/>
            <w:vAlign w:val="center"/>
            <w:hideMark/>
          </w:tcPr>
          <w:p w14:paraId="32694C53"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33,520</w:t>
            </w:r>
          </w:p>
        </w:tc>
        <w:tc>
          <w:tcPr>
            <w:tcW w:w="763" w:type="dxa"/>
            <w:shd w:val="clear" w:color="auto" w:fill="CCEAF9" w:themeFill="accent1" w:themeFillTint="33"/>
            <w:noWrap/>
            <w:vAlign w:val="center"/>
            <w:hideMark/>
          </w:tcPr>
          <w:p w14:paraId="0CA1E4DF"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33,550</w:t>
            </w:r>
          </w:p>
        </w:tc>
        <w:tc>
          <w:tcPr>
            <w:tcW w:w="763" w:type="dxa"/>
            <w:shd w:val="clear" w:color="auto" w:fill="CCEAF9" w:themeFill="accent1" w:themeFillTint="33"/>
            <w:noWrap/>
            <w:vAlign w:val="center"/>
            <w:hideMark/>
          </w:tcPr>
          <w:p w14:paraId="39D5F4E3"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33,750</w:t>
            </w:r>
          </w:p>
        </w:tc>
        <w:tc>
          <w:tcPr>
            <w:tcW w:w="763" w:type="dxa"/>
            <w:shd w:val="clear" w:color="auto" w:fill="CCEAF9" w:themeFill="accent1" w:themeFillTint="33"/>
            <w:noWrap/>
            <w:vAlign w:val="center"/>
            <w:hideMark/>
          </w:tcPr>
          <w:p w14:paraId="602072F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hAnsiTheme="majorHAnsi"/>
                <w:sz w:val="18"/>
                <w:szCs w:val="18"/>
              </w:rPr>
              <w:t>N/A</w:t>
            </w:r>
          </w:p>
        </w:tc>
        <w:tc>
          <w:tcPr>
            <w:tcW w:w="763" w:type="dxa"/>
            <w:shd w:val="clear" w:color="auto" w:fill="CCEAF9" w:themeFill="accent1" w:themeFillTint="33"/>
            <w:noWrap/>
            <w:vAlign w:val="center"/>
          </w:tcPr>
          <w:p w14:paraId="57E67685" w14:textId="77777777"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32,950</w:t>
            </w:r>
          </w:p>
        </w:tc>
        <w:tc>
          <w:tcPr>
            <w:tcW w:w="763" w:type="dxa"/>
            <w:shd w:val="clear" w:color="auto" w:fill="CCEAF9" w:themeFill="accent1" w:themeFillTint="33"/>
            <w:noWrap/>
            <w:vAlign w:val="center"/>
          </w:tcPr>
          <w:p w14:paraId="3F5DA688" w14:textId="77777777"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33,165</w:t>
            </w:r>
          </w:p>
        </w:tc>
        <w:tc>
          <w:tcPr>
            <w:tcW w:w="763" w:type="dxa"/>
            <w:shd w:val="clear" w:color="auto" w:fill="CCEAF9" w:themeFill="accent1" w:themeFillTint="33"/>
            <w:noWrap/>
            <w:vAlign w:val="center"/>
          </w:tcPr>
          <w:p w14:paraId="06CA7D8F" w14:textId="77777777"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33,390</w:t>
            </w:r>
          </w:p>
        </w:tc>
        <w:tc>
          <w:tcPr>
            <w:tcW w:w="763" w:type="dxa"/>
            <w:shd w:val="clear" w:color="auto" w:fill="CCEAF9" w:themeFill="accent1" w:themeFillTint="33"/>
            <w:noWrap/>
            <w:vAlign w:val="center"/>
          </w:tcPr>
          <w:p w14:paraId="213F9BBC" w14:textId="77777777"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33,625</w:t>
            </w:r>
          </w:p>
        </w:tc>
        <w:tc>
          <w:tcPr>
            <w:tcW w:w="763" w:type="dxa"/>
            <w:shd w:val="clear" w:color="auto" w:fill="CCEAF9" w:themeFill="accent1" w:themeFillTint="33"/>
            <w:noWrap/>
            <w:vAlign w:val="center"/>
          </w:tcPr>
          <w:p w14:paraId="20464B66" w14:textId="77777777" w:rsidR="004C7089" w:rsidRPr="004C7089" w:rsidRDefault="004C7089" w:rsidP="008E59B2">
            <w:pPr>
              <w:keepNext/>
              <w:keepLines/>
              <w:spacing w:before="20" w:after="20" w:line="240" w:lineRule="auto"/>
              <w:jc w:val="right"/>
              <w:rPr>
                <w:rFonts w:asciiTheme="majorHAnsi" w:hAnsiTheme="majorHAnsi"/>
                <w:sz w:val="18"/>
                <w:szCs w:val="18"/>
              </w:rPr>
            </w:pPr>
            <w:r w:rsidRPr="004C7089">
              <w:rPr>
                <w:rFonts w:asciiTheme="majorHAnsi" w:hAnsiTheme="majorHAnsi"/>
                <w:sz w:val="18"/>
                <w:szCs w:val="18"/>
              </w:rPr>
              <w:t>33,870</w:t>
            </w:r>
          </w:p>
        </w:tc>
      </w:tr>
      <w:tr w:rsidR="004C7089" w:rsidRPr="004C7089" w14:paraId="0A3AB367" w14:textId="77777777" w:rsidTr="008E59B2">
        <w:trPr>
          <w:trHeight w:val="480"/>
        </w:trPr>
        <w:tc>
          <w:tcPr>
            <w:tcW w:w="864" w:type="dxa"/>
            <w:vMerge/>
            <w:shd w:val="clear" w:color="auto" w:fill="CCEAF9" w:themeFill="accent1" w:themeFillTint="33"/>
            <w:noWrap/>
            <w:vAlign w:val="center"/>
            <w:hideMark/>
          </w:tcPr>
          <w:p w14:paraId="4E437691"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0D2882ED" w14:textId="77777777" w:rsidR="004C7089" w:rsidRPr="004C7089" w:rsidRDefault="004C7089" w:rsidP="008E59B2">
            <w:pPr>
              <w:keepNext/>
              <w:keepLines/>
              <w:spacing w:before="20" w:after="20" w:line="240" w:lineRule="auto"/>
              <w:rPr>
                <w:rFonts w:asciiTheme="majorHAnsi" w:eastAsia="Times New Roman" w:hAnsiTheme="majorHAnsi"/>
                <w:sz w:val="18"/>
                <w:szCs w:val="18"/>
              </w:rPr>
            </w:pPr>
            <w:r w:rsidRPr="004C7089">
              <w:rPr>
                <w:rFonts w:asciiTheme="majorHAnsi" w:eastAsia="Times New Roman" w:hAnsiTheme="majorHAnsi"/>
                <w:sz w:val="18"/>
                <w:szCs w:val="18"/>
              </w:rPr>
              <w:t>Assumed unavailable capacity</w:t>
            </w:r>
          </w:p>
        </w:tc>
        <w:tc>
          <w:tcPr>
            <w:tcW w:w="763" w:type="dxa"/>
            <w:shd w:val="clear" w:color="auto" w:fill="CCEAF9" w:themeFill="accent1" w:themeFillTint="33"/>
            <w:noWrap/>
            <w:vAlign w:val="center"/>
          </w:tcPr>
          <w:p w14:paraId="6633874D"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61DA8091"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16833496"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42852646"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091A25B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4B25D8F6"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06013C66"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7876BF29"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c>
          <w:tcPr>
            <w:tcW w:w="763" w:type="dxa"/>
            <w:shd w:val="clear" w:color="auto" w:fill="CCEAF9" w:themeFill="accent1" w:themeFillTint="33"/>
            <w:noWrap/>
            <w:vAlign w:val="center"/>
          </w:tcPr>
          <w:p w14:paraId="7E908B3E" w14:textId="77777777" w:rsidR="004C7089" w:rsidRPr="004C7089" w:rsidRDefault="004C7089" w:rsidP="008E59B2">
            <w:pPr>
              <w:keepNext/>
              <w:keepLines/>
              <w:spacing w:before="20" w:after="20" w:line="240" w:lineRule="auto"/>
              <w:jc w:val="right"/>
              <w:rPr>
                <w:rFonts w:asciiTheme="majorHAnsi" w:eastAsia="Times New Roman" w:hAnsiTheme="majorHAnsi"/>
                <w:sz w:val="18"/>
                <w:szCs w:val="18"/>
              </w:rPr>
            </w:pPr>
            <w:r w:rsidRPr="004C7089">
              <w:rPr>
                <w:rFonts w:asciiTheme="majorHAnsi" w:eastAsia="Times New Roman" w:hAnsiTheme="majorHAnsi"/>
                <w:sz w:val="18"/>
                <w:szCs w:val="18"/>
              </w:rPr>
              <w:t>−8,600</w:t>
            </w:r>
          </w:p>
        </w:tc>
      </w:tr>
      <w:tr w:rsidR="004C7089" w:rsidRPr="004C7089" w14:paraId="68665F2D" w14:textId="77777777" w:rsidTr="008E59B2">
        <w:trPr>
          <w:trHeight w:val="300"/>
        </w:trPr>
        <w:tc>
          <w:tcPr>
            <w:tcW w:w="864" w:type="dxa"/>
            <w:vMerge/>
            <w:shd w:val="clear" w:color="auto" w:fill="CCEAF9" w:themeFill="accent1" w:themeFillTint="33"/>
            <w:noWrap/>
            <w:vAlign w:val="center"/>
            <w:hideMark/>
          </w:tcPr>
          <w:p w14:paraId="09011CDC"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CCEAF9" w:themeFill="accent1" w:themeFillTint="33"/>
            <w:vAlign w:val="center"/>
            <w:hideMark/>
          </w:tcPr>
          <w:p w14:paraId="0ABCDE5F"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Total net capacity</w:t>
            </w:r>
            <w:r w:rsidRPr="004C7089">
              <w:rPr>
                <w:rFonts w:asciiTheme="majorHAnsi" w:eastAsia="Times New Roman" w:hAnsiTheme="majorHAnsi"/>
                <w:b/>
                <w:bCs/>
                <w:sz w:val="18"/>
                <w:szCs w:val="18"/>
                <w:vertAlign w:val="superscript"/>
              </w:rPr>
              <w:t>(e)</w:t>
            </w:r>
          </w:p>
        </w:tc>
        <w:tc>
          <w:tcPr>
            <w:tcW w:w="763" w:type="dxa"/>
            <w:shd w:val="clear" w:color="auto" w:fill="CCEAF9" w:themeFill="accent1" w:themeFillTint="33"/>
            <w:noWrap/>
            <w:vAlign w:val="center"/>
          </w:tcPr>
          <w:p w14:paraId="0AAB89B4"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24,920</w:t>
            </w:r>
          </w:p>
        </w:tc>
        <w:tc>
          <w:tcPr>
            <w:tcW w:w="763" w:type="dxa"/>
            <w:shd w:val="clear" w:color="auto" w:fill="CCEAF9" w:themeFill="accent1" w:themeFillTint="33"/>
            <w:noWrap/>
            <w:vAlign w:val="center"/>
          </w:tcPr>
          <w:p w14:paraId="71CE71CA"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24,950</w:t>
            </w:r>
          </w:p>
        </w:tc>
        <w:tc>
          <w:tcPr>
            <w:tcW w:w="763" w:type="dxa"/>
            <w:shd w:val="clear" w:color="auto" w:fill="CCEAF9" w:themeFill="accent1" w:themeFillTint="33"/>
            <w:noWrap/>
            <w:vAlign w:val="center"/>
          </w:tcPr>
          <w:p w14:paraId="17F04374"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25,150</w:t>
            </w:r>
          </w:p>
        </w:tc>
        <w:tc>
          <w:tcPr>
            <w:tcW w:w="763" w:type="dxa"/>
            <w:shd w:val="clear" w:color="auto" w:fill="CCEAF9" w:themeFill="accent1" w:themeFillTint="33"/>
            <w:noWrap/>
            <w:vAlign w:val="center"/>
          </w:tcPr>
          <w:p w14:paraId="7758705C" w14:textId="77777777" w:rsidR="004C7089" w:rsidRPr="004C7089" w:rsidRDefault="004C7089" w:rsidP="008E59B2">
            <w:pPr>
              <w:keepNext/>
              <w:keepLines/>
              <w:spacing w:before="20" w:after="20" w:line="240" w:lineRule="auto"/>
              <w:jc w:val="right"/>
              <w:rPr>
                <w:rFonts w:asciiTheme="majorHAnsi" w:eastAsia="Times New Roman" w:hAnsiTheme="majorHAnsi"/>
                <w:b/>
                <w:bCs/>
                <w:sz w:val="18"/>
                <w:szCs w:val="18"/>
              </w:rPr>
            </w:pPr>
            <w:r w:rsidRPr="004C7089">
              <w:rPr>
                <w:rFonts w:asciiTheme="majorHAnsi" w:eastAsia="Times New Roman" w:hAnsiTheme="majorHAnsi"/>
                <w:b/>
                <w:bCs/>
                <w:sz w:val="18"/>
                <w:szCs w:val="18"/>
              </w:rPr>
              <w:t>N/A</w:t>
            </w:r>
          </w:p>
        </w:tc>
        <w:tc>
          <w:tcPr>
            <w:tcW w:w="763" w:type="dxa"/>
            <w:shd w:val="clear" w:color="auto" w:fill="CCEAF9" w:themeFill="accent1" w:themeFillTint="33"/>
            <w:noWrap/>
            <w:vAlign w:val="center"/>
          </w:tcPr>
          <w:p w14:paraId="16DB749B"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24,350</w:t>
            </w:r>
          </w:p>
        </w:tc>
        <w:tc>
          <w:tcPr>
            <w:tcW w:w="763" w:type="dxa"/>
            <w:shd w:val="clear" w:color="auto" w:fill="CCEAF9" w:themeFill="accent1" w:themeFillTint="33"/>
            <w:noWrap/>
            <w:vAlign w:val="center"/>
          </w:tcPr>
          <w:p w14:paraId="7C152975"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24,565</w:t>
            </w:r>
          </w:p>
        </w:tc>
        <w:tc>
          <w:tcPr>
            <w:tcW w:w="763" w:type="dxa"/>
            <w:shd w:val="clear" w:color="auto" w:fill="CCEAF9" w:themeFill="accent1" w:themeFillTint="33"/>
            <w:noWrap/>
            <w:vAlign w:val="center"/>
          </w:tcPr>
          <w:p w14:paraId="52E474D3"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24,790</w:t>
            </w:r>
          </w:p>
        </w:tc>
        <w:tc>
          <w:tcPr>
            <w:tcW w:w="763" w:type="dxa"/>
            <w:shd w:val="clear" w:color="auto" w:fill="CCEAF9" w:themeFill="accent1" w:themeFillTint="33"/>
            <w:noWrap/>
            <w:vAlign w:val="center"/>
          </w:tcPr>
          <w:p w14:paraId="21629E4B"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25,025</w:t>
            </w:r>
          </w:p>
        </w:tc>
        <w:tc>
          <w:tcPr>
            <w:tcW w:w="763" w:type="dxa"/>
            <w:shd w:val="clear" w:color="auto" w:fill="CCEAF9" w:themeFill="accent1" w:themeFillTint="33"/>
            <w:noWrap/>
            <w:vAlign w:val="center"/>
          </w:tcPr>
          <w:p w14:paraId="5F5F5C57" w14:textId="77777777" w:rsidR="004C7089" w:rsidRPr="004C7089" w:rsidRDefault="004C7089" w:rsidP="008E59B2">
            <w:pPr>
              <w:keepNext/>
              <w:keepLines/>
              <w:spacing w:before="20" w:after="20" w:line="240" w:lineRule="auto"/>
              <w:jc w:val="center"/>
              <w:rPr>
                <w:rFonts w:asciiTheme="majorHAnsi" w:hAnsiTheme="majorHAnsi"/>
                <w:b/>
                <w:bCs/>
                <w:sz w:val="18"/>
                <w:szCs w:val="18"/>
              </w:rPr>
            </w:pPr>
            <w:r w:rsidRPr="004C7089">
              <w:rPr>
                <w:rFonts w:asciiTheme="majorHAnsi" w:hAnsiTheme="majorHAnsi"/>
                <w:b/>
                <w:bCs/>
                <w:sz w:val="18"/>
                <w:szCs w:val="18"/>
              </w:rPr>
              <w:t>25,270</w:t>
            </w:r>
          </w:p>
        </w:tc>
      </w:tr>
      <w:tr w:rsidR="004C7089" w:rsidRPr="004C7089" w14:paraId="62045888" w14:textId="77777777" w:rsidTr="00805C72">
        <w:trPr>
          <w:trHeight w:val="540"/>
        </w:trPr>
        <w:tc>
          <w:tcPr>
            <w:tcW w:w="864" w:type="dxa"/>
            <w:vMerge/>
            <w:shd w:val="clear" w:color="auto" w:fill="CCEAF9" w:themeFill="accent1" w:themeFillTint="33"/>
            <w:noWrap/>
            <w:vAlign w:val="center"/>
            <w:hideMark/>
          </w:tcPr>
          <w:p w14:paraId="3A5E3EEE" w14:textId="77777777" w:rsidR="004C7089" w:rsidRPr="004C7089" w:rsidRDefault="004C7089" w:rsidP="008E59B2">
            <w:pPr>
              <w:keepNext/>
              <w:keepLines/>
              <w:spacing w:before="20" w:after="20" w:line="240" w:lineRule="auto"/>
              <w:rPr>
                <w:rFonts w:asciiTheme="majorHAnsi" w:eastAsia="Times New Roman" w:hAnsiTheme="majorHAnsi"/>
                <w:color w:val="000000"/>
                <w:sz w:val="18"/>
                <w:szCs w:val="18"/>
              </w:rPr>
            </w:pPr>
          </w:p>
        </w:tc>
        <w:tc>
          <w:tcPr>
            <w:tcW w:w="1872" w:type="dxa"/>
            <w:shd w:val="clear" w:color="auto" w:fill="9AD6F4" w:themeFill="accent1" w:themeFillTint="66"/>
            <w:vAlign w:val="center"/>
            <w:hideMark/>
          </w:tcPr>
          <w:p w14:paraId="4CA0F46C" w14:textId="77777777" w:rsidR="004C7089" w:rsidRPr="004C7089" w:rsidRDefault="004C7089" w:rsidP="008E59B2">
            <w:pPr>
              <w:keepNext/>
              <w:keepLines/>
              <w:spacing w:before="20" w:after="20" w:line="240" w:lineRule="auto"/>
              <w:rPr>
                <w:rFonts w:asciiTheme="majorHAnsi" w:eastAsia="Times New Roman" w:hAnsiTheme="majorHAnsi"/>
                <w:b/>
                <w:bCs/>
                <w:sz w:val="18"/>
                <w:szCs w:val="18"/>
              </w:rPr>
            </w:pPr>
            <w:r w:rsidRPr="004C7089">
              <w:rPr>
                <w:rFonts w:asciiTheme="majorHAnsi" w:eastAsia="Times New Roman" w:hAnsiTheme="majorHAnsi"/>
                <w:b/>
                <w:bCs/>
                <w:sz w:val="18"/>
                <w:szCs w:val="18"/>
              </w:rPr>
              <w:t>Operable capacity margin</w:t>
            </w:r>
            <w:r w:rsidRPr="004C7089">
              <w:rPr>
                <w:rFonts w:asciiTheme="majorHAnsi" w:eastAsia="Times New Roman" w:hAnsiTheme="majorHAnsi"/>
                <w:b/>
                <w:bCs/>
                <w:sz w:val="18"/>
                <w:szCs w:val="18"/>
                <w:vertAlign w:val="superscript"/>
              </w:rPr>
              <w:t>(f)</w:t>
            </w:r>
            <w:r w:rsidRPr="004C7089">
              <w:rPr>
                <w:rFonts w:asciiTheme="majorHAnsi" w:eastAsia="Times New Roman" w:hAnsiTheme="majorHAnsi"/>
                <w:b/>
                <w:bCs/>
                <w:sz w:val="18"/>
                <w:szCs w:val="18"/>
              </w:rPr>
              <w:t>—</w:t>
            </w:r>
            <w:r w:rsidRPr="004C7089">
              <w:rPr>
                <w:rFonts w:asciiTheme="majorHAnsi" w:eastAsia="Times New Roman" w:hAnsiTheme="majorHAnsi"/>
                <w:b/>
                <w:bCs/>
                <w:sz w:val="18"/>
                <w:szCs w:val="18"/>
              </w:rPr>
              <w:br/>
              <w:t>90/10 forecast</w:t>
            </w:r>
          </w:p>
        </w:tc>
        <w:tc>
          <w:tcPr>
            <w:tcW w:w="763" w:type="dxa"/>
            <w:shd w:val="clear" w:color="auto" w:fill="9AD6F4" w:themeFill="accent1" w:themeFillTint="66"/>
            <w:noWrap/>
            <w:vAlign w:val="center"/>
          </w:tcPr>
          <w:p w14:paraId="55CDA368" w14:textId="77777777"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−1,368</w:t>
            </w:r>
          </w:p>
        </w:tc>
        <w:tc>
          <w:tcPr>
            <w:tcW w:w="763" w:type="dxa"/>
            <w:shd w:val="clear" w:color="auto" w:fill="9AD6F4" w:themeFill="accent1" w:themeFillTint="66"/>
            <w:noWrap/>
            <w:vAlign w:val="center"/>
          </w:tcPr>
          <w:p w14:paraId="4D02B442" w14:textId="77777777"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−1,493</w:t>
            </w:r>
          </w:p>
        </w:tc>
        <w:tc>
          <w:tcPr>
            <w:tcW w:w="763" w:type="dxa"/>
            <w:shd w:val="clear" w:color="auto" w:fill="9AD6F4" w:themeFill="accent1" w:themeFillTint="66"/>
            <w:noWrap/>
            <w:vAlign w:val="center"/>
          </w:tcPr>
          <w:p w14:paraId="7BCA1BE5" w14:textId="77777777"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−1,438</w:t>
            </w:r>
          </w:p>
        </w:tc>
        <w:tc>
          <w:tcPr>
            <w:tcW w:w="763" w:type="dxa"/>
            <w:shd w:val="clear" w:color="auto" w:fill="9AD6F4" w:themeFill="accent1" w:themeFillTint="66"/>
            <w:noWrap/>
            <w:vAlign w:val="center"/>
          </w:tcPr>
          <w:p w14:paraId="139D0AD1" w14:textId="77777777" w:rsidR="004C7089" w:rsidRPr="00805C72" w:rsidRDefault="004C7089" w:rsidP="008E59B2">
            <w:pPr>
              <w:keepNext/>
              <w:keepLines/>
              <w:spacing w:before="20" w:after="20" w:line="240" w:lineRule="auto"/>
              <w:jc w:val="right"/>
              <w:rPr>
                <w:rFonts w:asciiTheme="majorHAnsi" w:hAnsiTheme="majorHAnsi"/>
                <w:b/>
                <w:sz w:val="18"/>
                <w:szCs w:val="18"/>
              </w:rPr>
            </w:pPr>
            <w:r w:rsidRPr="00805C72">
              <w:rPr>
                <w:rFonts w:asciiTheme="majorHAnsi" w:hAnsiTheme="majorHAnsi"/>
                <w:b/>
                <w:sz w:val="18"/>
                <w:szCs w:val="18"/>
              </w:rPr>
              <w:t>N/A</w:t>
            </w:r>
          </w:p>
        </w:tc>
        <w:tc>
          <w:tcPr>
            <w:tcW w:w="763" w:type="dxa"/>
            <w:shd w:val="clear" w:color="auto" w:fill="9AD6F4" w:themeFill="accent1" w:themeFillTint="66"/>
            <w:noWrap/>
            <w:vAlign w:val="center"/>
          </w:tcPr>
          <w:p w14:paraId="0AB4B9B0" w14:textId="77777777"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−2,523</w:t>
            </w:r>
          </w:p>
        </w:tc>
        <w:tc>
          <w:tcPr>
            <w:tcW w:w="763" w:type="dxa"/>
            <w:shd w:val="clear" w:color="auto" w:fill="9AD6F4" w:themeFill="accent1" w:themeFillTint="66"/>
            <w:noWrap/>
            <w:vAlign w:val="center"/>
          </w:tcPr>
          <w:p w14:paraId="52444C89" w14:textId="77777777"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−2,447</w:t>
            </w:r>
          </w:p>
        </w:tc>
        <w:tc>
          <w:tcPr>
            <w:tcW w:w="763" w:type="dxa"/>
            <w:shd w:val="clear" w:color="auto" w:fill="9AD6F4" w:themeFill="accent1" w:themeFillTint="66"/>
            <w:noWrap/>
            <w:vAlign w:val="center"/>
          </w:tcPr>
          <w:p w14:paraId="2138F512" w14:textId="77777777"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−2,362</w:t>
            </w:r>
          </w:p>
        </w:tc>
        <w:tc>
          <w:tcPr>
            <w:tcW w:w="763" w:type="dxa"/>
            <w:shd w:val="clear" w:color="auto" w:fill="9AD6F4" w:themeFill="accent1" w:themeFillTint="66"/>
            <w:noWrap/>
            <w:vAlign w:val="center"/>
          </w:tcPr>
          <w:p w14:paraId="211E6A17" w14:textId="77777777" w:rsidR="004C7089" w:rsidRPr="00BD72E6" w:rsidRDefault="004C7089" w:rsidP="008E59B2">
            <w:pPr>
              <w:keepNext/>
              <w:keepLines/>
              <w:spacing w:before="20" w:after="20" w:line="240" w:lineRule="auto"/>
              <w:jc w:val="right"/>
              <w:rPr>
                <w:rFonts w:asciiTheme="majorHAnsi" w:hAnsiTheme="majorHAnsi"/>
                <w:b/>
                <w:sz w:val="18"/>
                <w:szCs w:val="18"/>
              </w:rPr>
            </w:pPr>
            <w:r w:rsidRPr="00BD72E6">
              <w:rPr>
                <w:rFonts w:asciiTheme="majorHAnsi" w:hAnsiTheme="majorHAnsi"/>
                <w:b/>
                <w:sz w:val="18"/>
                <w:szCs w:val="18"/>
              </w:rPr>
              <w:t>−2,273</w:t>
            </w:r>
          </w:p>
        </w:tc>
        <w:tc>
          <w:tcPr>
            <w:tcW w:w="763" w:type="dxa"/>
            <w:shd w:val="clear" w:color="auto" w:fill="9AD6F4" w:themeFill="accent1" w:themeFillTint="66"/>
            <w:noWrap/>
            <w:vAlign w:val="center"/>
          </w:tcPr>
          <w:p w14:paraId="26D8B0D3" w14:textId="77777777" w:rsidR="004C7089" w:rsidRPr="00BD72E6" w:rsidRDefault="004C7089" w:rsidP="008E59B2">
            <w:pPr>
              <w:keepNext/>
              <w:keepLines/>
              <w:spacing w:before="20" w:after="20" w:line="240" w:lineRule="auto"/>
              <w:jc w:val="center"/>
              <w:rPr>
                <w:rFonts w:asciiTheme="majorHAnsi" w:hAnsiTheme="majorHAnsi"/>
                <w:b/>
                <w:sz w:val="18"/>
                <w:szCs w:val="18"/>
              </w:rPr>
            </w:pPr>
            <w:r w:rsidRPr="00BD72E6">
              <w:rPr>
                <w:rFonts w:asciiTheme="majorHAnsi" w:hAnsiTheme="majorHAnsi"/>
                <w:b/>
                <w:sz w:val="18"/>
                <w:szCs w:val="18"/>
              </w:rPr>
              <w:t>−2,173</w:t>
            </w:r>
          </w:p>
        </w:tc>
      </w:tr>
    </w:tbl>
    <w:p w14:paraId="5BC536FE" w14:textId="77777777" w:rsidR="004C7089" w:rsidRPr="004C7089" w:rsidRDefault="004C7089">
      <w:pPr>
        <w:keepNext/>
        <w:keepLines/>
        <w:tabs>
          <w:tab w:val="left" w:pos="0"/>
          <w:tab w:val="left" w:pos="9450"/>
        </w:tabs>
        <w:spacing w:before="120"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(a</w:t>
      </w:r>
      <w:r w:rsidR="00B707AC">
        <w:rPr>
          <w:rFonts w:asciiTheme="minorHAnsi" w:eastAsia="Times New Roman" w:hAnsiTheme="minorHAnsi"/>
          <w:sz w:val="16"/>
          <w:szCs w:val="16"/>
        </w:rPr>
        <w:t xml:space="preserve">)  </w:t>
      </w:r>
      <w:r w:rsidRPr="004C7089">
        <w:rPr>
          <w:rFonts w:asciiTheme="minorHAnsi" w:eastAsia="Times New Roman" w:hAnsiTheme="minorHAnsi"/>
          <w:sz w:val="16"/>
          <w:szCs w:val="16"/>
        </w:rPr>
        <w:t xml:space="preserve">These values are </w:t>
      </w:r>
      <w:r w:rsidRPr="004C7089">
        <w:rPr>
          <w:rFonts w:asciiTheme="minorHAnsi" w:hAnsiTheme="minorHAnsi"/>
          <w:sz w:val="16"/>
          <w:szCs w:val="16"/>
        </w:rPr>
        <w:t xml:space="preserve">net of BTM PV, which are zeros during the winter. Because this table uses net ICR, the ISO does not subtract the EE forecast; EE is considered part of the resource mix meeting the ICR. </w:t>
      </w:r>
    </w:p>
    <w:p w14:paraId="37DB8318" w14:textId="6E500A8B" w:rsidR="004C7089" w:rsidRPr="004C7089" w:rsidRDefault="004C7089" w:rsidP="004C7089">
      <w:pPr>
        <w:keepNext/>
        <w:keepLines/>
        <w:tabs>
          <w:tab w:val="left" w:pos="0"/>
        </w:tabs>
        <w:spacing w:after="80" w:line="240" w:lineRule="auto"/>
        <w:ind w:right="-274" w:hanging="274"/>
        <w:rPr>
          <w:rFonts w:ascii="Calibri" w:eastAsia="Times New Roman" w:hAnsi="Calibri"/>
          <w:sz w:val="16"/>
          <w:szCs w:val="16"/>
        </w:rPr>
      </w:pPr>
      <w:r w:rsidRPr="004C7089">
        <w:rPr>
          <w:rFonts w:asciiTheme="minorHAnsi" w:eastAsia="Times New Roman" w:hAnsiTheme="minorHAnsi"/>
          <w:sz w:val="16"/>
          <w:szCs w:val="16"/>
        </w:rPr>
        <w:t xml:space="preserve">(b) </w:t>
      </w:r>
      <w:r w:rsidRPr="004C7089">
        <w:rPr>
          <w:rFonts w:asciiTheme="minorHAnsi" w:eastAsia="Times New Roman" w:hAnsiTheme="minorHAnsi"/>
          <w:sz w:val="16"/>
          <w:szCs w:val="16"/>
        </w:rPr>
        <w:tab/>
        <w:t xml:space="preserve">The 2,305 MW value of operating reserves is based on the following assumptions: a first contingency of 1,400 MW plus a 20% increase in the </w:t>
      </w:r>
      <w:r w:rsidRPr="00B96EB1">
        <w:rPr>
          <w:rFonts w:asciiTheme="minorHAnsi" w:eastAsia="Times New Roman" w:hAnsiTheme="minorHAnsi"/>
          <w:sz w:val="16"/>
          <w:szCs w:val="16"/>
        </w:rPr>
        <w:t xml:space="preserve">10-minute operating reserve </w:t>
      </w:r>
      <w:r w:rsidRPr="00B96EB1">
        <w:rPr>
          <w:rFonts w:ascii="Calibri" w:eastAsia="Times New Roman" w:hAnsi="Calibri"/>
          <w:color w:val="1F497D"/>
          <w:sz w:val="16"/>
          <w:szCs w:val="16"/>
        </w:rPr>
        <w:t xml:space="preserve">to </w:t>
      </w:r>
      <w:r w:rsidRPr="00B96EB1">
        <w:rPr>
          <w:rFonts w:ascii="Calibri" w:eastAsia="Times New Roman" w:hAnsi="Calibri"/>
          <w:sz w:val="16"/>
          <w:szCs w:val="16"/>
        </w:rPr>
        <w:t xml:space="preserve">compensate for nonperformance of the reserve </w:t>
      </w:r>
      <w:r w:rsidRPr="00304A24">
        <w:rPr>
          <w:rFonts w:ascii="Calibri" w:eastAsia="Times New Roman" w:hAnsi="Calibri"/>
          <w:sz w:val="16"/>
          <w:szCs w:val="16"/>
        </w:rPr>
        <w:t>generators</w:t>
      </w:r>
      <w:r w:rsidRPr="00B96EB1">
        <w:rPr>
          <w:rFonts w:ascii="Calibri" w:eastAsia="Times New Roman" w:hAnsi="Calibri"/>
          <w:sz w:val="16"/>
          <w:szCs w:val="16"/>
        </w:rPr>
        <w:t xml:space="preserve"> (as discussed in Section </w:t>
      </w:r>
      <w:r w:rsidRPr="00304A24">
        <w:rPr>
          <w:rFonts w:asciiTheme="majorHAnsi" w:eastAsia="Times New Roman" w:hAnsiTheme="majorHAnsi"/>
          <w:sz w:val="16"/>
        </w:rPr>
        <w:fldChar w:fldCharType="begin"/>
      </w:r>
      <w:r w:rsidRPr="00304A24">
        <w:rPr>
          <w:rFonts w:asciiTheme="majorHAnsi" w:eastAsia="Times New Roman" w:hAnsiTheme="majorHAnsi"/>
          <w:sz w:val="16"/>
        </w:rPr>
        <w:instrText xml:space="preserve"> REF _Ref388642296 \r \h  \* MERGEFORMAT </w:instrText>
      </w:r>
      <w:r w:rsidRPr="00304A24">
        <w:rPr>
          <w:rFonts w:asciiTheme="majorHAnsi" w:eastAsia="Times New Roman" w:hAnsiTheme="majorHAnsi"/>
          <w:sz w:val="16"/>
        </w:rPr>
      </w:r>
      <w:r w:rsidRPr="00304A24">
        <w:rPr>
          <w:rFonts w:asciiTheme="majorHAnsi" w:eastAsia="Times New Roman" w:hAnsiTheme="majorHAnsi"/>
          <w:sz w:val="16"/>
        </w:rPr>
        <w:fldChar w:fldCharType="separate"/>
      </w:r>
      <w:r w:rsidR="005D0B73">
        <w:rPr>
          <w:rFonts w:asciiTheme="majorHAnsi" w:eastAsia="Times New Roman" w:hAnsiTheme="majorHAnsi"/>
          <w:sz w:val="16"/>
        </w:rPr>
        <w:t>4.4.1</w:t>
      </w:r>
      <w:r w:rsidRPr="00304A24">
        <w:rPr>
          <w:rFonts w:asciiTheme="majorHAnsi" w:eastAsia="Times New Roman" w:hAnsiTheme="majorHAnsi"/>
          <w:sz w:val="16"/>
        </w:rPr>
        <w:fldChar w:fldCharType="end"/>
      </w:r>
      <w:r w:rsidRPr="00B96EB1">
        <w:rPr>
          <w:rFonts w:ascii="Calibri" w:eastAsia="Times New Roman" w:hAnsi="Calibri"/>
          <w:sz w:val="16"/>
          <w:szCs w:val="16"/>
        </w:rPr>
        <w:t>) equal to</w:t>
      </w:r>
      <w:r w:rsidRPr="004C7089">
        <w:rPr>
          <w:rFonts w:ascii="Calibri" w:eastAsia="Times New Roman" w:hAnsi="Calibri"/>
          <w:sz w:val="16"/>
          <w:szCs w:val="16"/>
        </w:rPr>
        <w:t xml:space="preserve"> 280 MW, and 30-minute reserves of 625 MW (one half of 1,250 MW).</w:t>
      </w:r>
    </w:p>
    <w:p w14:paraId="7B40FADE" w14:textId="5A544B35" w:rsidR="004C7089" w:rsidRPr="004C7089" w:rsidRDefault="004C7089" w:rsidP="004C7089">
      <w:pPr>
        <w:keepNext/>
        <w:keepLines/>
        <w:tabs>
          <w:tab w:val="left" w:pos="0"/>
        </w:tabs>
        <w:spacing w:after="80" w:line="240" w:lineRule="auto"/>
        <w:ind w:right="-274" w:hanging="274"/>
        <w:rPr>
          <w:rFonts w:asciiTheme="minorHAnsi" w:eastAsia="Times New Roman" w:hAnsiTheme="minorHAnsi" w:cs="Arial"/>
          <w:sz w:val="16"/>
          <w:szCs w:val="16"/>
        </w:rPr>
      </w:pPr>
      <w:r w:rsidRPr="004C7089">
        <w:rPr>
          <w:rFonts w:asciiTheme="minorHAnsi" w:eastAsia="Times New Roman" w:hAnsiTheme="minorHAnsi"/>
          <w:sz w:val="16"/>
          <w:szCs w:val="16"/>
        </w:rPr>
        <w:t>(c)</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 xml:space="preserve">Net ICR values for 2020/2021 to 2022/2023 are the latest values approved by FERC. These net ICR values were developed using 2018 CELT Report loads. The net ICR values for other years are consistent with the representative future net ICR values in </w:t>
      </w:r>
      <w:r w:rsidRPr="004C7089">
        <w:rPr>
          <w:rFonts w:asciiTheme="minorHAnsi" w:eastAsia="Times New Roman" w:hAnsiTheme="minorHAnsi" w:cs="Arial"/>
          <w:sz w:val="16"/>
          <w:szCs w:val="16"/>
        </w:rPr>
        <w:fldChar w:fldCharType="begin"/>
      </w:r>
      <w:r w:rsidRPr="004C7089">
        <w:rPr>
          <w:rFonts w:asciiTheme="minorHAnsi" w:eastAsia="Times New Roman" w:hAnsiTheme="minorHAnsi" w:cs="Arial"/>
          <w:sz w:val="16"/>
          <w:szCs w:val="16"/>
        </w:rPr>
        <w:instrText xml:space="preserve"> REF _Ref325445701 \h  \* MERGEFORMAT </w:instrText>
      </w:r>
      <w:r w:rsidRPr="004C7089">
        <w:rPr>
          <w:rFonts w:ascii="Calibri" w:hAnsi="Calibri"/>
          <w:b/>
          <w:bCs/>
          <w:szCs w:val="18"/>
        </w:rPr>
        <w:instrText>Table 4</w:instrText>
      </w:r>
      <w:r w:rsidRPr="004C7089">
        <w:rPr>
          <w:rFonts w:ascii="Calibri" w:hAnsi="Calibri"/>
          <w:b/>
          <w:bCs/>
          <w:szCs w:val="18"/>
        </w:rPr>
        <w:noBreakHyphen/>
        <w:instrText>5</w:instrText>
      </w:r>
      <w:r w:rsidRPr="004C7089">
        <w:rPr>
          <w:rFonts w:asciiTheme="minorHAnsi" w:eastAsia="Times New Roman" w:hAnsiTheme="minorHAnsi" w:cs="Arial"/>
          <w:sz w:val="16"/>
          <w:szCs w:val="16"/>
        </w:rPr>
      </w:r>
      <w:r w:rsidRPr="004C7089">
        <w:rPr>
          <w:rFonts w:asciiTheme="minorHAnsi" w:eastAsia="Times New Roman" w:hAnsiTheme="minorHAnsi" w:cs="Arial"/>
          <w:sz w:val="16"/>
          <w:szCs w:val="16"/>
        </w:rPr>
        <w:fldChar w:fldCharType="separate"/>
      </w:r>
      <w:r w:rsidR="005D0B73" w:rsidRPr="005D0B73">
        <w:rPr>
          <w:rFonts w:ascii="Calibri" w:hAnsi="Calibri"/>
          <w:bCs/>
          <w:sz w:val="16"/>
          <w:szCs w:val="16"/>
        </w:rPr>
        <w:t>Table 4</w:t>
      </w:r>
      <w:r w:rsidR="005D0B73" w:rsidRPr="005D0B73">
        <w:rPr>
          <w:rFonts w:ascii="Calibri" w:hAnsi="Calibri"/>
          <w:bCs/>
          <w:sz w:val="16"/>
          <w:szCs w:val="16"/>
        </w:rPr>
        <w:noBreakHyphen/>
        <w:t>5</w:t>
      </w:r>
      <w:r w:rsidRPr="004C7089">
        <w:rPr>
          <w:rFonts w:asciiTheme="minorHAnsi" w:eastAsia="Times New Roman" w:hAnsiTheme="minorHAnsi" w:cs="Arial"/>
          <w:sz w:val="16"/>
          <w:szCs w:val="16"/>
        </w:rPr>
        <w:fldChar w:fldCharType="end"/>
      </w:r>
      <w:r w:rsidRPr="004C7089">
        <w:rPr>
          <w:rFonts w:asciiTheme="minorHAnsi" w:eastAsia="Times New Roman" w:hAnsiTheme="minorHAnsi" w:cs="Arial"/>
          <w:sz w:val="16"/>
          <w:szCs w:val="16"/>
        </w:rPr>
        <w:t>.</w:t>
      </w:r>
    </w:p>
    <w:p w14:paraId="06E51DF9" w14:textId="77777777"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cs="Arial"/>
          <w:sz w:val="16"/>
          <w:szCs w:val="16"/>
        </w:rPr>
        <w:t xml:space="preserve">(d)  Assumed unavailable capacity during the winter peak is based on the highest historical planned and unplanned outages during the past </w:t>
      </w:r>
      <w:r w:rsidR="00837650" w:rsidRPr="004C7089">
        <w:rPr>
          <w:rFonts w:asciiTheme="minorHAnsi" w:eastAsia="Times New Roman" w:hAnsiTheme="minorHAnsi" w:cs="Arial"/>
          <w:sz w:val="16"/>
          <w:szCs w:val="16"/>
        </w:rPr>
        <w:t>5</w:t>
      </w:r>
      <w:r w:rsidR="00837650">
        <w:rPr>
          <w:rFonts w:asciiTheme="minorHAnsi" w:eastAsia="Times New Roman" w:hAnsiTheme="minorHAnsi" w:cs="Arial"/>
          <w:sz w:val="16"/>
          <w:szCs w:val="16"/>
        </w:rPr>
        <w:t> </w:t>
      </w:r>
      <w:r w:rsidRPr="004C7089">
        <w:rPr>
          <w:rFonts w:asciiTheme="minorHAnsi" w:eastAsia="Times New Roman" w:hAnsiTheme="minorHAnsi" w:cs="Arial"/>
          <w:sz w:val="16"/>
          <w:szCs w:val="16"/>
        </w:rPr>
        <w:t>years plus the highest amount of historical assumed gas-fired generation at risk rounded to the nearest 100 MW</w:t>
      </w:r>
      <w:r w:rsidR="00D50B14">
        <w:rPr>
          <w:rFonts w:asciiTheme="minorHAnsi" w:eastAsia="Times New Roman" w:hAnsiTheme="minorHAnsi" w:cs="Arial"/>
          <w:sz w:val="16"/>
          <w:szCs w:val="16"/>
        </w:rPr>
        <w:t>.</w:t>
      </w:r>
    </w:p>
    <w:p w14:paraId="1EBB8EBC" w14:textId="77777777" w:rsidR="004C7089" w:rsidRPr="004C7089" w:rsidRDefault="004C7089" w:rsidP="004C7089">
      <w:pPr>
        <w:keepNext/>
        <w:keepLines/>
        <w:tabs>
          <w:tab w:val="left" w:pos="0"/>
        </w:tabs>
        <w:spacing w:after="80"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(e) </w:t>
      </w:r>
      <w:r w:rsidRPr="004C7089">
        <w:rPr>
          <w:rFonts w:asciiTheme="minorHAnsi" w:eastAsia="Times New Roman" w:hAnsiTheme="minorHAnsi"/>
          <w:sz w:val="16"/>
          <w:szCs w:val="16"/>
        </w:rPr>
        <w:tab/>
      </w:r>
      <w:r w:rsidRPr="004C7089">
        <w:rPr>
          <w:rFonts w:asciiTheme="minorHAnsi" w:eastAsia="Times New Roman" w:hAnsiTheme="minorHAnsi" w:cs="Arial"/>
          <w:sz w:val="16"/>
          <w:szCs w:val="16"/>
        </w:rPr>
        <w:t>The net capacity values are equal to the net ICR minus the assumed unavailable capacity.</w:t>
      </w:r>
    </w:p>
    <w:p w14:paraId="1C5F7B65" w14:textId="77777777" w:rsidR="004C7089" w:rsidRPr="004C7089" w:rsidRDefault="004C7089" w:rsidP="004C7089">
      <w:pPr>
        <w:tabs>
          <w:tab w:val="left" w:pos="0"/>
          <w:tab w:val="left" w:pos="9450"/>
        </w:tabs>
        <w:spacing w:line="240" w:lineRule="auto"/>
        <w:ind w:right="-274" w:hanging="274"/>
        <w:rPr>
          <w:rFonts w:asciiTheme="minorHAnsi" w:eastAsia="Times New Roman" w:hAnsiTheme="minorHAnsi"/>
          <w:sz w:val="16"/>
          <w:szCs w:val="16"/>
        </w:rPr>
      </w:pPr>
      <w:r w:rsidRPr="004C7089">
        <w:rPr>
          <w:rFonts w:asciiTheme="minorHAnsi" w:eastAsia="Times New Roman" w:hAnsiTheme="minorHAnsi"/>
          <w:sz w:val="16"/>
          <w:szCs w:val="16"/>
        </w:rPr>
        <w:t xml:space="preserve">(f) </w:t>
      </w:r>
      <w:r w:rsidRPr="004C7089">
        <w:rPr>
          <w:rFonts w:asciiTheme="minorHAnsi" w:eastAsia="Times New Roman" w:hAnsiTheme="minorHAnsi"/>
          <w:sz w:val="16"/>
          <w:szCs w:val="16"/>
        </w:rPr>
        <w:tab/>
        <w:t>“Operable capacity margin” equals “total net capacity” minus “total requirement.”</w:t>
      </w:r>
    </w:p>
    <w:p w14:paraId="160D94E8" w14:textId="3CEE1D66" w:rsidR="004C7089" w:rsidRPr="004C7089" w:rsidRDefault="004C7089" w:rsidP="004C7089">
      <w:r w:rsidRPr="00805C72">
        <w:t>New England could</w:t>
      </w:r>
      <w:r w:rsidRPr="00D83AFD">
        <w:t xml:space="preserve"> </w:t>
      </w:r>
      <w:r w:rsidR="00837650">
        <w:t xml:space="preserve">expect to </w:t>
      </w:r>
      <w:r w:rsidRPr="00D83AFD">
        <w:t>rely on load and capacity relief from OP 4 during peak</w:t>
      </w:r>
      <w:r w:rsidR="000635AF">
        <w:t xml:space="preserve"> loads</w:t>
      </w:r>
      <w:r w:rsidRPr="00D83AFD">
        <w:t>.</w:t>
      </w:r>
      <w:r w:rsidRPr="004C7089">
        <w:t xml:space="preserve"> </w:t>
      </w:r>
      <w:r w:rsidRPr="00C86BE4">
        <w:t xml:space="preserve">The possibility that New England could experience negative operable-capacity margins during the winter peaks, when these peaks are approximately 6,000 MW to 7,000 lower than their corresponding summer peaks, is attributable to the </w:t>
      </w:r>
      <w:r w:rsidR="00140C10">
        <w:t>possibility</w:t>
      </w:r>
      <w:r w:rsidRPr="00C86BE4">
        <w:t xml:space="preserve"> of New England’s fossil fuel generators (e.g., natural gas) not having adequate fuel</w:t>
      </w:r>
      <w:r w:rsidR="00C86BE4" w:rsidRPr="00FF5F0E">
        <w:t xml:space="preserve">, as discussed in </w:t>
      </w:r>
      <w:r w:rsidR="000635AF">
        <w:fldChar w:fldCharType="begin"/>
      </w:r>
      <w:r w:rsidR="000635AF">
        <w:instrText xml:space="preserve"> REF _Ref11055619 \r \h </w:instrText>
      </w:r>
      <w:r w:rsidR="000635AF">
        <w:fldChar w:fldCharType="separate"/>
      </w:r>
      <w:r w:rsidR="005D0B73">
        <w:t>Section 7</w:t>
      </w:r>
      <w:r w:rsidR="000635AF">
        <w:fldChar w:fldCharType="end"/>
      </w:r>
      <w:r w:rsidRPr="00C86BE4">
        <w:t xml:space="preserve">. The amount of the ICR should be more than adequate to meet the winter peaks if all the capacity resources had adequate fuel. However, New England gas-fired generators rely on surplus natural gas pipeline capability to fuel their generation, but historically, surplus capacity has not been available to power all the generators in the region during the coldest days of winter. The past five years of historical records indicate that generator outages during 50/50 peak weather conditions have been in the </w:t>
      </w:r>
      <w:r w:rsidR="00B96EB1" w:rsidRPr="00C86BE4">
        <w:t>8,100</w:t>
      </w:r>
      <w:r w:rsidRPr="00C86BE4">
        <w:t xml:space="preserve"> MW range, and during 90/10 peak weather conditions, </w:t>
      </w:r>
      <w:r w:rsidRPr="00C86BE4">
        <w:lastRenderedPageBreak/>
        <w:t xml:space="preserve">outages have been in the </w:t>
      </w:r>
      <w:r w:rsidR="00B96EB1" w:rsidRPr="00C86BE4">
        <w:t>8,600</w:t>
      </w:r>
      <w:r w:rsidRPr="00C86BE4">
        <w:t xml:space="preserve"> MW range. </w:t>
      </w:r>
      <w:r w:rsidR="00B96EB1" w:rsidRPr="00C86BE4">
        <w:t xml:space="preserve">Of this amount, due to a lack of natural gas, generator outages during 50/50 peak weather conditions have been in the 4,000 MW range, and during 90/10 peak weather conditions, outages have been in the 4,700 MW range. </w:t>
      </w:r>
      <w:r w:rsidRPr="00C86BE4">
        <w:t xml:space="preserve">The ISO is working with stakeholders to develop market-based </w:t>
      </w:r>
      <w:r w:rsidR="00837650">
        <w:t xml:space="preserve">and other </w:t>
      </w:r>
      <w:r w:rsidRPr="00C86BE4">
        <w:t xml:space="preserve">solutions to address </w:t>
      </w:r>
      <w:r w:rsidR="00B96EB1" w:rsidRPr="00C86BE4">
        <w:t>energy</w:t>
      </w:r>
      <w:r w:rsidRPr="00C86BE4">
        <w:t xml:space="preserve"> security (see Section</w:t>
      </w:r>
      <w:r w:rsidR="00837650">
        <w:t>s</w:t>
      </w:r>
      <w:r w:rsidRPr="00C86BE4">
        <w:t xml:space="preserve"> </w:t>
      </w:r>
      <w:r w:rsidR="00AB0771" w:rsidRPr="009D7C03">
        <w:fldChar w:fldCharType="begin"/>
      </w:r>
      <w:r w:rsidR="00AB0771" w:rsidRPr="00C86BE4">
        <w:instrText xml:space="preserve"> REF _Ref11054268 \r \h  \* MERGEFORMAT </w:instrText>
      </w:r>
      <w:r w:rsidR="00AB0771" w:rsidRPr="009D7C03">
        <w:fldChar w:fldCharType="separate"/>
      </w:r>
      <w:r w:rsidR="005D0B73">
        <w:t>7.5.1</w:t>
      </w:r>
      <w:r w:rsidR="00AB0771" w:rsidRPr="009D7C03">
        <w:fldChar w:fldCharType="end"/>
      </w:r>
      <w:r w:rsidR="00837650">
        <w:t xml:space="preserve"> and </w:t>
      </w:r>
      <w:r w:rsidR="00837650">
        <w:fldChar w:fldCharType="begin"/>
      </w:r>
      <w:r w:rsidR="00837650">
        <w:instrText xml:space="preserve"> REF _Ref13324478 \n \h </w:instrText>
      </w:r>
      <w:r w:rsidR="00837650">
        <w:fldChar w:fldCharType="separate"/>
      </w:r>
      <w:r w:rsidR="005D0B73">
        <w:t>7.7</w:t>
      </w:r>
      <w:r w:rsidR="00837650">
        <w:fldChar w:fldCharType="end"/>
      </w:r>
      <w:r w:rsidRPr="00C86BE4">
        <w:t>)</w:t>
      </w:r>
      <w:r w:rsidR="002B396B" w:rsidRPr="00C86BE4">
        <w:t>.</w:t>
      </w:r>
    </w:p>
    <w:p w14:paraId="22163923" w14:textId="77777777" w:rsidR="004C7089" w:rsidRPr="00D50B14" w:rsidRDefault="004C7089" w:rsidP="00367A18">
      <w:pPr>
        <w:pStyle w:val="Heading2"/>
      </w:pPr>
      <w:bookmarkStart w:id="467" w:name="_Ref327436621"/>
      <w:bookmarkStart w:id="468" w:name="_Ref327457751"/>
      <w:bookmarkStart w:id="469" w:name="_Toc334601033"/>
      <w:bookmarkStart w:id="470" w:name="_Toc365440996"/>
      <w:bookmarkStart w:id="471" w:name="_Toc396807626"/>
      <w:bookmarkStart w:id="472" w:name="_Ref388092299"/>
      <w:bookmarkStart w:id="473" w:name="_Ref388102898"/>
      <w:bookmarkStart w:id="474" w:name="_Ref418883599"/>
      <w:bookmarkStart w:id="475" w:name="_Toc481053264"/>
      <w:bookmarkStart w:id="476" w:name="_Toc490323030"/>
      <w:bookmarkStart w:id="477" w:name="_Toc12795173"/>
      <w:bookmarkStart w:id="478" w:name="_Toc291755113"/>
      <w:bookmarkStart w:id="479" w:name="_Toc201669939"/>
      <w:bookmarkStart w:id="480" w:name="_Ref202110477"/>
      <w:bookmarkStart w:id="481" w:name="_Ref202176759"/>
      <w:bookmarkStart w:id="482" w:name="_Ref202252734"/>
      <w:bookmarkStart w:id="483" w:name="_Ref202367538"/>
      <w:bookmarkStart w:id="484" w:name="_Toc207531838"/>
      <w:bookmarkStart w:id="485" w:name="_Ref231186439"/>
      <w:bookmarkStart w:id="486" w:name="_Ref231194402"/>
      <w:bookmarkStart w:id="487" w:name="_Toc239157074"/>
      <w:bookmarkStart w:id="488" w:name="_Ref262118248"/>
      <w:bookmarkStart w:id="489" w:name="_Ref262118276"/>
      <w:bookmarkStart w:id="490" w:name="_Ref230950481"/>
      <w:bookmarkStart w:id="491" w:name="_Ref266557523"/>
      <w:bookmarkStart w:id="492" w:name="_Ref267384581"/>
      <w:bookmarkStart w:id="493" w:name="_Ref296434832"/>
      <w:bookmarkStart w:id="494" w:name="_Ref301345694"/>
      <w:bookmarkStart w:id="495" w:name="_Ref301345706"/>
      <w:bookmarkStart w:id="496" w:name="_Toc303086387"/>
      <w:bookmarkEnd w:id="423"/>
      <w:bookmarkEnd w:id="424"/>
      <w:bookmarkEnd w:id="425"/>
      <w:bookmarkEnd w:id="426"/>
      <w:r w:rsidRPr="004C7089">
        <w:t>Determining Operating Reserves</w:t>
      </w:r>
      <w:bookmarkEnd w:id="467"/>
      <w:r w:rsidRPr="004C7089">
        <w:t xml:space="preserve"> and Regulation</w:t>
      </w:r>
      <w:bookmarkEnd w:id="468"/>
      <w:bookmarkEnd w:id="469"/>
      <w:bookmarkEnd w:id="470"/>
      <w:bookmarkEnd w:id="471"/>
      <w:bookmarkEnd w:id="472"/>
      <w:bookmarkEnd w:id="473"/>
      <w:bookmarkEnd w:id="474"/>
      <w:bookmarkEnd w:id="475"/>
      <w:bookmarkEnd w:id="476"/>
      <w:bookmarkEnd w:id="477"/>
      <w:r w:rsidRPr="004C7089">
        <w:t xml:space="preserve"> </w:t>
      </w:r>
    </w:p>
    <w:p w14:paraId="499AB7AD" w14:textId="64AF25E6" w:rsidR="004C7089" w:rsidRPr="004C7089" w:rsidRDefault="004C7089" w:rsidP="004C7089">
      <w:pPr>
        <w:keepNext/>
      </w:pPr>
      <w:r w:rsidRPr="004C7089">
        <w:t xml:space="preserve">In addition to capacity resources being available to meet the region’s actual demand for electricity, as discussed </w:t>
      </w:r>
      <w:r w:rsidRPr="00AB0771">
        <w:t xml:space="preserve">in Section </w:t>
      </w:r>
      <w:r w:rsidR="00AB0771" w:rsidRPr="00AB0771">
        <w:fldChar w:fldCharType="begin"/>
      </w:r>
      <w:r w:rsidR="00AB0771" w:rsidRPr="00AB0771">
        <w:instrText xml:space="preserve"> REF _Ref327866184 \r \h </w:instrText>
      </w:r>
      <w:r w:rsidR="00AB0771">
        <w:instrText xml:space="preserve"> \* MERGEFORMAT </w:instrText>
      </w:r>
      <w:r w:rsidR="00AB0771" w:rsidRPr="00AB0771">
        <w:fldChar w:fldCharType="separate"/>
      </w:r>
      <w:r w:rsidR="005D0B73">
        <w:t>4.1</w:t>
      </w:r>
      <w:r w:rsidR="00AB0771" w:rsidRPr="00AB0771">
        <w:fldChar w:fldCharType="end"/>
      </w:r>
      <w:r w:rsidRPr="00AB0771">
        <w:t>, the system needs a certain amount of resources that can provide operating reserves and system regulation. The</w:t>
      </w:r>
      <w:r w:rsidRPr="004C7089">
        <w:t xml:space="preserv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higher energy cost resources to provide these services. In the worst case, reliability would be degraded. </w:t>
      </w:r>
    </w:p>
    <w:p w14:paraId="4F853805" w14:textId="77777777" w:rsidR="004C7089" w:rsidRPr="004C7089" w:rsidRDefault="004C7089" w:rsidP="004C7089">
      <w:r w:rsidRPr="004C7089">
        <w:t xml:space="preserve">Several types of resources in New England have the operating characteristics to respond to </w:t>
      </w:r>
      <w:r w:rsidRPr="00B96EB1">
        <w:t xml:space="preserve">contingencies, provide regulation service, and serve peak demand. The </w:t>
      </w:r>
      <w:r w:rsidRPr="00304A24">
        <w:t>generators that provide operating reserves</w:t>
      </w:r>
      <w:r w:rsidRPr="00B96EB1">
        <w:t xml:space="preserve"> can respond to contingencies within 10 or 30 minutes and can either be synchronized or not synchronized to the power system. Synchronized (i.e., </w:t>
      </w:r>
      <w:r w:rsidRPr="00B96EB1">
        <w:rPr>
          <w:i/>
        </w:rPr>
        <w:t>spinning</w:t>
      </w:r>
      <w:r w:rsidRPr="00B96EB1">
        <w:t>) operating reserves</w:t>
      </w:r>
      <w:r w:rsidRPr="004C7089">
        <w:t xml:space="preserve"> are on-line resources that can increase output. Nonsynchronized (i.e., </w:t>
      </w:r>
      <w:r w:rsidRPr="004C7089">
        <w:rPr>
          <w:i/>
        </w:rPr>
        <w:t>nonspinning</w:t>
      </w:r>
      <w:r w:rsidRPr="004C7089">
        <w:t>) operating reserves are off-line, fast-start resources that can be electrically synchronized to the system quickly, reaching maximum output within 10 minutes or within 30 minutes. During real-time daily operations, the ISO determines operating-reserve requirements for the system as a whole and for major import-constrained areas.</w:t>
      </w:r>
    </w:p>
    <w:p w14:paraId="44C2FF4B" w14:textId="793E41D1" w:rsidR="004C7089" w:rsidRPr="004C7089" w:rsidRDefault="004C7089" w:rsidP="004C7089">
      <w:pPr>
        <w:rPr>
          <w:rFonts w:asciiTheme="majorHAnsi" w:hAnsiTheme="majorHAnsi"/>
        </w:rPr>
      </w:pPr>
      <w:r w:rsidRPr="004C7089">
        <w:t>This section discusses the need for operating reserves, both systemwide and in major import areas, and the use of specific types of fast-start resources to fill these needs. An overview of the Forward Reserve Market and a forecast of representative future operating-reserve requirements for Greater Southwest Connecticut, Greater Connecticut, and BOSTON are provided. This section also discusses the likely need for additional flexible resources identified by the s</w:t>
      </w:r>
      <w:r w:rsidRPr="004C7089">
        <w:rPr>
          <w:rFonts w:eastAsia="Calibri" w:cs="Arial"/>
          <w:noProof/>
        </w:rPr>
        <w:t xml:space="preserve">tudies and other actions supporting the </w:t>
      </w:r>
      <w:r w:rsidR="00780F89">
        <w:rPr>
          <w:rFonts w:eastAsia="Calibri" w:cs="Arial"/>
          <w:noProof/>
        </w:rPr>
        <w:t>region’s changing power grid</w:t>
      </w:r>
      <w:r w:rsidRPr="004C7089">
        <w:rPr>
          <w:rFonts w:eastAsia="Calibri" w:cs="Arial"/>
          <w:noProof/>
        </w:rPr>
        <w:t xml:space="preserve">, as discussed in </w:t>
      </w:r>
      <w:r w:rsidR="00140C10">
        <w:rPr>
          <w:rFonts w:eastAsia="Calibri" w:cs="Arial"/>
          <w:noProof/>
        </w:rPr>
        <w:fldChar w:fldCharType="begin"/>
      </w:r>
      <w:r w:rsidR="00140C10">
        <w:rPr>
          <w:rFonts w:eastAsia="Calibri" w:cs="Arial"/>
          <w:noProof/>
        </w:rPr>
        <w:instrText xml:space="preserve"> REF _Ref418883814 \r \h </w:instrText>
      </w:r>
      <w:r w:rsidR="00140C10">
        <w:rPr>
          <w:rFonts w:eastAsia="Calibri" w:cs="Arial"/>
          <w:noProof/>
        </w:rPr>
      </w:r>
      <w:r w:rsidR="00140C10">
        <w:rPr>
          <w:rFonts w:eastAsia="Calibri" w:cs="Arial"/>
          <w:noProof/>
        </w:rPr>
        <w:fldChar w:fldCharType="separate"/>
      </w:r>
      <w:r w:rsidR="005D0B73">
        <w:rPr>
          <w:rFonts w:eastAsia="Calibri" w:cs="Arial"/>
          <w:noProof/>
        </w:rPr>
        <w:t>Section 9</w:t>
      </w:r>
      <w:r w:rsidR="00140C10">
        <w:rPr>
          <w:rFonts w:eastAsia="Calibri" w:cs="Arial"/>
          <w:noProof/>
        </w:rPr>
        <w:fldChar w:fldCharType="end"/>
      </w:r>
      <w:r w:rsidRPr="004C7089">
        <w:t>.</w:t>
      </w:r>
    </w:p>
    <w:p w14:paraId="07C8B42B" w14:textId="77777777" w:rsidR="004C7089" w:rsidRPr="004C7089" w:rsidRDefault="004C7089" w:rsidP="004C7089">
      <w:pPr>
        <w:pStyle w:val="Heading3"/>
      </w:pPr>
      <w:bookmarkStart w:id="497" w:name="_Toc334601034"/>
      <w:bookmarkStart w:id="498" w:name="_Toc365440997"/>
      <w:bookmarkStart w:id="499" w:name="_Ref388642296"/>
      <w:bookmarkStart w:id="500" w:name="_Toc396807627"/>
      <w:bookmarkStart w:id="501" w:name="_Toc481053265"/>
      <w:bookmarkStart w:id="502" w:name="_Toc490323031"/>
      <w:bookmarkStart w:id="503" w:name="_Ref11054187"/>
      <w:bookmarkStart w:id="504" w:name="_Toc12795174"/>
      <w:r w:rsidRPr="004C7089">
        <w:t>Systemwide Operating-Reserve Requirements</w:t>
      </w:r>
      <w:bookmarkEnd w:id="497"/>
      <w:bookmarkEnd w:id="498"/>
      <w:bookmarkEnd w:id="499"/>
      <w:bookmarkEnd w:id="500"/>
      <w:bookmarkEnd w:id="501"/>
      <w:bookmarkEnd w:id="502"/>
      <w:bookmarkEnd w:id="503"/>
      <w:bookmarkEnd w:id="504"/>
      <w:r w:rsidRPr="004C7089">
        <w:t xml:space="preserve"> </w:t>
      </w:r>
    </w:p>
    <w:p w14:paraId="39B499E2" w14:textId="77777777" w:rsidR="004C7089" w:rsidRPr="004C7089" w:rsidRDefault="004C7089" w:rsidP="004C7089">
      <w:r w:rsidRPr="004C7089">
        <w:t xml:space="preserve">The ISO’s operating-reserve requirements, as established in Operating Procedure No. 8, </w:t>
      </w:r>
      <w:r w:rsidRPr="004C7089">
        <w:rPr>
          <w:i/>
          <w:iCs/>
        </w:rPr>
        <w:t>Operating Reserve and Regulation</w:t>
      </w:r>
      <w:r w:rsidRPr="004C7089">
        <w:t xml:space="preserve"> (OP 8), are used to protect the system from the impacts associated with a loss of generating or transmission equipment within New England.</w:t>
      </w:r>
      <w:r w:rsidRPr="004C7089">
        <w:rPr>
          <w:vertAlign w:val="superscript"/>
        </w:rPr>
        <w:footnoteReference w:id="117"/>
      </w:r>
      <w:r w:rsidRPr="004C7089">
        <w:t xml:space="preserve"> A certain amount of the power system’s resources must be available to provide operating reserves to assist in addressing systemwide contingencies. </w:t>
      </w:r>
    </w:p>
    <w:p w14:paraId="608038C9" w14:textId="77777777" w:rsidR="004C7089" w:rsidRPr="004C7089" w:rsidRDefault="004C7089" w:rsidP="004C7089">
      <w:r w:rsidRPr="00330F0D">
        <w:t xml:space="preserve">To comply with OP 8, </w:t>
      </w:r>
      <w:r w:rsidR="00797220" w:rsidRPr="00330F0D">
        <w:rPr>
          <w:i/>
        </w:rPr>
        <w:t xml:space="preserve">Operating Reserve and Regulation, </w:t>
      </w:r>
      <w:r w:rsidRPr="00330F0D">
        <w:t>the ISO must maintain sufficient reserves in its</w:t>
      </w:r>
      <w:r w:rsidRPr="004C7089">
        <w:t xml:space="preserve"> balancing authority area during normal conditions to be able to replace within 10 minutes the first-contingency loss (N–1) </w:t>
      </w:r>
      <w:r w:rsidRPr="00FF5F0E">
        <w:t>in the New England Reliability Balancing Authority Area mult</w:t>
      </w:r>
      <w:r w:rsidRPr="004C7089">
        <w:t xml:space="preserve">iplied by the contingency-reserve adjustment (CRA) factor for the most recent completed quarter. The current total 10-minute operating-reserve requirement reflecting the CRA factor is 1.2 </w:t>
      </w:r>
      <w:r w:rsidR="00007582">
        <w:t xml:space="preserve">multiplied by </w:t>
      </w:r>
      <w:r w:rsidRPr="004C7089">
        <w:t xml:space="preserve">100% of the first-contingency loss. In addition, OP 8 requires the ISO to maintain sufficient reserves to address the </w:t>
      </w:r>
      <w:r w:rsidRPr="004C7089">
        <w:lastRenderedPageBreak/>
        <w:t>uncertainties associated with resource nonperformance, as well as load-forecast error. To meet this need, the ISO must be able to replace at least 50% of the next-largest contingency loss (N–1–1) within 30 minutes plus an additional quantity of replacement reserve for the purposes of meeting NERC requirements to restore 10-minute reserve.</w:t>
      </w:r>
      <w:r w:rsidRPr="004C7089">
        <w:rPr>
          <w:i/>
          <w:iCs/>
          <w:color w:val="FF0000"/>
          <w:sz w:val="24"/>
          <w:szCs w:val="24"/>
        </w:rPr>
        <w:t xml:space="preserve"> </w:t>
      </w:r>
    </w:p>
    <w:p w14:paraId="320F4E03" w14:textId="77777777" w:rsidR="004C7089" w:rsidRPr="004C7089" w:rsidRDefault="004C7089" w:rsidP="004C7089">
      <w:r w:rsidRPr="004C7089">
        <w:t xml:space="preserve">Typically, the largest first-contingency loss is between 1,300 and 1,900 MW, and 50% of the next-largest contingency loss is between 600 and 850 MW. Currently, the expected first-largest contingency is the loss of Phase II interconnection with </w:t>
      </w:r>
      <w:r w:rsidR="00780F89">
        <w:t>Hydro-</w:t>
      </w:r>
      <w:r w:rsidRPr="004C7089">
        <w:t>Québec</w:t>
      </w:r>
      <w:r w:rsidR="00780F89">
        <w:t xml:space="preserve"> (HQ)</w:t>
      </w:r>
      <w:r w:rsidRPr="004C7089">
        <w:t>, while the expected next-largest contingency is the loss of the Mystic 8 and 9 generators.</w:t>
      </w:r>
      <w:r w:rsidR="001446CF">
        <w:rPr>
          <w:rStyle w:val="FootnoteReference"/>
        </w:rPr>
        <w:footnoteReference w:id="118"/>
      </w:r>
    </w:p>
    <w:p w14:paraId="10309E83" w14:textId="77777777" w:rsidR="004C7089" w:rsidRPr="004C7089" w:rsidRDefault="004C7089" w:rsidP="004C7089">
      <w:r w:rsidRPr="004C7089">
        <w:t xml:space="preserve">In accordance with NERC and NPCC criteria for power system operation, ISO Operating Procedure No. 19 (OP 19), </w:t>
      </w:r>
      <w:r w:rsidRPr="004C7089">
        <w:rPr>
          <w:i/>
        </w:rPr>
        <w:t>Transmission Operations</w:t>
      </w:r>
      <w:r w:rsidRPr="004C7089">
        <w:t>, requires system power flows to stay within applicable emergency limits of the power system elements that remain after the loss of any other power system element (N−1).</w:t>
      </w:r>
      <w:r w:rsidRPr="004C7089">
        <w:rPr>
          <w:vertAlign w:val="superscript"/>
        </w:rPr>
        <w:footnoteReference w:id="119"/>
      </w:r>
      <w:r w:rsidRPr="004C7089">
        <w:t xml:space="preserve"> This N−1 limit may be a thermal, voltage, or stability limit of the transmission system. OP 19 further stipulates that within 30 minutes of the loss of the first-contingency element, the system must be able to return to a normal state that can withstand a second contingency. To implement these OP 19 requirements, and as set forth in OP 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14:paraId="343DBDC4" w14:textId="77777777" w:rsidR="004C7089" w:rsidRPr="004C7089" w:rsidRDefault="004C7089" w:rsidP="004C7089">
      <w:pPr>
        <w:pStyle w:val="Heading3"/>
      </w:pPr>
      <w:bookmarkStart w:id="505" w:name="_Toc365440998"/>
      <w:bookmarkStart w:id="506" w:name="_Ref388870530"/>
      <w:bookmarkStart w:id="507" w:name="_Toc396807628"/>
      <w:bookmarkStart w:id="508" w:name="_Toc481053266"/>
      <w:bookmarkStart w:id="509" w:name="_Toc490323032"/>
      <w:bookmarkStart w:id="510" w:name="_Toc12795175"/>
      <w:r w:rsidRPr="004C7089">
        <w:t>Locational Reserve Needs for Major Import Areas</w:t>
      </w:r>
      <w:bookmarkEnd w:id="505"/>
      <w:bookmarkEnd w:id="506"/>
      <w:bookmarkEnd w:id="507"/>
      <w:bookmarkEnd w:id="508"/>
      <w:bookmarkEnd w:id="509"/>
      <w:bookmarkEnd w:id="510"/>
    </w:p>
    <w:p w14:paraId="3FA5C831" w14:textId="77777777" w:rsidR="004C7089" w:rsidRPr="004C7089" w:rsidRDefault="004C7089" w:rsidP="004C7089">
      <w:r w:rsidRPr="004C7089">
        <w:t xml:space="preserve">To maintain system reliability further, the ISO maintains certain reserve levels within major importing subareas of the system. The amount and type of operating reserves needed within these subareas depend on many factors, including load levels, the projected peak load of the subarea, and the economic and physical operating characteristics of the generators within the subarea. The systemwide commitment and economic dispatch of generation, system topology, system reliability constraints, special operational considerations, possible resource outages, and other system conditions are additional factors that can affect the required levels of reserve within subareas. </w:t>
      </w:r>
    </w:p>
    <w:p w14:paraId="55FDDE49" w14:textId="77777777" w:rsidR="004C7089" w:rsidRPr="004C7089" w:rsidRDefault="004C7089" w:rsidP="004C7089">
      <w:r w:rsidRPr="004C7089">
        <w:t xml:space="preserve">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14:paraId="0745723C" w14:textId="1DF9906B" w:rsidR="004C7089" w:rsidRPr="004C7089" w:rsidRDefault="004C7089" w:rsidP="004C7089">
      <w:r w:rsidRPr="004C7089">
        <w:rPr>
          <w:highlight w:val="green"/>
        </w:rPr>
        <w:fldChar w:fldCharType="begin"/>
      </w:r>
      <w:r w:rsidRPr="004C7089">
        <w:rPr>
          <w:highlight w:val="green"/>
        </w:rPr>
        <w:instrText xml:space="preserve"> REF _Ref323310818 \h  \* MERGEFORMAT </w:instrText>
      </w:r>
      <w:r w:rsidRPr="004C7089">
        <w:rPr>
          <w:highlight w:val="green"/>
        </w:rPr>
      </w:r>
      <w:r w:rsidRPr="004C7089">
        <w:rPr>
          <w:highlight w:val="green"/>
        </w:rPr>
        <w:fldChar w:fldCharType="separate"/>
      </w:r>
      <w:r w:rsidR="005D0B73" w:rsidRPr="005D0B73">
        <w:t xml:space="preserve">Table </w:t>
      </w:r>
      <w:r w:rsidR="005D0B73" w:rsidRPr="005D0B73">
        <w:rPr>
          <w:noProof/>
        </w:rPr>
        <w:t>4</w:t>
      </w:r>
      <w:r w:rsidR="005D0B73" w:rsidRPr="005D0B73">
        <w:rPr>
          <w:noProof/>
        </w:rPr>
        <w:noBreakHyphen/>
        <w:t>8</w:t>
      </w:r>
      <w:r w:rsidRPr="004C7089">
        <w:rPr>
          <w:highlight w:val="green"/>
        </w:rPr>
        <w:fldChar w:fldCharType="end"/>
      </w:r>
      <w:r w:rsidRPr="004C7089">
        <w:t xml:space="preserve"> shows representative future operating-reserve requirements for Greater Southwest Connecticut, Greater Connecticut, and NEMA/Boston areas. These estimated requirements are based on </w:t>
      </w:r>
      <w:r w:rsidRPr="004C7089">
        <w:lastRenderedPageBreak/>
        <w:t>the same methodology used to calculate the requirements for the locational FRM.</w:t>
      </w:r>
      <w:r w:rsidRPr="004C7089">
        <w:rPr>
          <w:vertAlign w:val="superscript"/>
        </w:rPr>
        <w:footnoteReference w:id="120"/>
      </w:r>
      <w:r w:rsidRPr="004C7089">
        <w:t xml:space="preserve"> The estimates account for representative future system conditions for load, economic generation, generation availabil</w:t>
      </w:r>
      <w:r w:rsidRPr="001037EE">
        <w:t xml:space="preserve">ity, </w:t>
      </w:r>
      <w:r w:rsidRPr="00805C72">
        <w:t>N−1 and N−1−1</w:t>
      </w:r>
      <w:r w:rsidRPr="001037EE">
        <w:t xml:space="preserve"> transfe</w:t>
      </w:r>
      <w:r w:rsidRPr="004C7089">
        <w:t>r limits, and expected contingencies for generation and transmission in each subarea. The analysis accounts for transmission upgrades consistent with the transmission-transfer capabilities presented to the PAC.</w:t>
      </w:r>
      <w:r w:rsidRPr="004C7089">
        <w:rPr>
          <w:vertAlign w:val="superscript"/>
        </w:rPr>
        <w:footnoteReference w:id="121"/>
      </w:r>
      <w:r w:rsidRPr="004C7089">
        <w:t xml:space="preserve"> </w:t>
      </w:r>
    </w:p>
    <w:p w14:paraId="0E3C27DD" w14:textId="03007EF9" w:rsidR="004C7089" w:rsidRPr="004C7089" w:rsidRDefault="004C7089" w:rsidP="005658C2">
      <w:pPr>
        <w:keepNext/>
        <w:keepLines/>
        <w:spacing w:after="80" w:line="240" w:lineRule="auto"/>
        <w:jc w:val="center"/>
        <w:rPr>
          <w:rFonts w:ascii="Calibri" w:hAnsi="Calibri"/>
          <w:b/>
          <w:szCs w:val="18"/>
        </w:rPr>
      </w:pPr>
      <w:bookmarkStart w:id="511" w:name="_Ref323310818"/>
      <w:bookmarkStart w:id="512" w:name="_Toc330401262"/>
      <w:bookmarkStart w:id="513" w:name="_Toc334541935"/>
      <w:bookmarkStart w:id="514" w:name="_Toc334541972"/>
      <w:bookmarkStart w:id="515" w:name="_Toc365440709"/>
      <w:bookmarkStart w:id="516" w:name="_Toc391985610"/>
      <w:bookmarkStart w:id="517" w:name="_Toc481053566"/>
      <w:bookmarkStart w:id="518" w:name="_Toc491244011"/>
      <w:bookmarkStart w:id="519" w:name="_Toc12795339"/>
      <w:r w:rsidRPr="004C7089">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bookmarkEnd w:id="511"/>
      <w:r w:rsidRPr="004C7089">
        <w:rPr>
          <w:rFonts w:ascii="Calibri" w:hAnsi="Calibri"/>
          <w:b/>
          <w:szCs w:val="18"/>
        </w:rPr>
        <w:br/>
        <w:t>Representative Future Operating-Reserve Needs in Major New England Import Areas (MW)</w:t>
      </w:r>
      <w:bookmarkEnd w:id="512"/>
      <w:bookmarkEnd w:id="513"/>
      <w:bookmarkEnd w:id="514"/>
      <w:bookmarkEnd w:id="515"/>
      <w:bookmarkEnd w:id="516"/>
      <w:bookmarkEnd w:id="517"/>
      <w:bookmarkEnd w:id="518"/>
      <w:bookmarkEnd w:id="519"/>
    </w:p>
    <w:tbl>
      <w:tblPr>
        <w:tblStyle w:val="TableGrid22"/>
        <w:tblW w:w="93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17"/>
        <w:gridCol w:w="990"/>
        <w:gridCol w:w="1530"/>
        <w:gridCol w:w="1980"/>
        <w:gridCol w:w="1428"/>
      </w:tblGrid>
      <w:tr w:rsidR="004C7089" w:rsidRPr="004C7089" w14:paraId="01B8852C" w14:textId="77777777" w:rsidTr="004C7089">
        <w:trPr>
          <w:trHeight w:val="668"/>
          <w:jc w:val="center"/>
        </w:trPr>
        <w:tc>
          <w:tcPr>
            <w:tcW w:w="3417" w:type="dxa"/>
            <w:vMerge w:val="restart"/>
            <w:shd w:val="clear" w:color="auto" w:fill="1795D2" w:themeFill="accent1"/>
            <w:tcMar>
              <w:left w:w="58" w:type="dxa"/>
              <w:right w:w="58" w:type="dxa"/>
            </w:tcMar>
            <w:vAlign w:val="center"/>
          </w:tcPr>
          <w:p w14:paraId="34D20860"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Area/Improvement</w:t>
            </w:r>
          </w:p>
        </w:tc>
        <w:tc>
          <w:tcPr>
            <w:tcW w:w="990" w:type="dxa"/>
            <w:vMerge w:val="restart"/>
            <w:shd w:val="clear" w:color="auto" w:fill="1795D2" w:themeFill="accent1"/>
            <w:tcMar>
              <w:left w:w="58" w:type="dxa"/>
              <w:right w:w="58" w:type="dxa"/>
            </w:tcMar>
            <w:vAlign w:val="center"/>
          </w:tcPr>
          <w:p w14:paraId="78982277"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Market Period</w:t>
            </w:r>
            <w:r w:rsidRPr="004C7089">
              <w:rPr>
                <w:rFonts w:asciiTheme="majorHAnsi" w:hAnsiTheme="majorHAnsi" w:cs="Arial"/>
                <w:b/>
                <w:color w:val="FFFFFF" w:themeColor="background1"/>
                <w:sz w:val="18"/>
                <w:szCs w:val="18"/>
                <w:vertAlign w:val="superscript"/>
              </w:rPr>
              <w:t>(a)</w:t>
            </w:r>
          </w:p>
        </w:tc>
        <w:tc>
          <w:tcPr>
            <w:tcW w:w="1530" w:type="dxa"/>
            <w:vMerge w:val="restart"/>
            <w:shd w:val="clear" w:color="auto" w:fill="1795D2" w:themeFill="accent1"/>
            <w:tcMar>
              <w:left w:w="58" w:type="dxa"/>
              <w:right w:w="58" w:type="dxa"/>
            </w:tcMar>
            <w:vAlign w:val="center"/>
          </w:tcPr>
          <w:p w14:paraId="7F6F1607"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Range of Fast-Start Resources Offered into the Past Five Forward-Reserve Auctions (MW)</w:t>
            </w:r>
            <w:r w:rsidRPr="004C7089">
              <w:rPr>
                <w:rFonts w:asciiTheme="majorHAnsi" w:hAnsiTheme="majorHAnsi" w:cs="Arial"/>
                <w:b/>
                <w:color w:val="FFFFFF" w:themeColor="background1"/>
                <w:sz w:val="18"/>
                <w:szCs w:val="18"/>
                <w:vertAlign w:val="superscript"/>
              </w:rPr>
              <w:t>(b)</w:t>
            </w:r>
          </w:p>
        </w:tc>
        <w:tc>
          <w:tcPr>
            <w:tcW w:w="3408" w:type="dxa"/>
            <w:gridSpan w:val="2"/>
            <w:shd w:val="clear" w:color="auto" w:fill="1795D2" w:themeFill="accent1"/>
            <w:tcMar>
              <w:left w:w="58" w:type="dxa"/>
              <w:right w:w="58" w:type="dxa"/>
            </w:tcMar>
            <w:vAlign w:val="center"/>
          </w:tcPr>
          <w:p w14:paraId="63AD12D6"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Representative Future Locational Forward Reserve Market Requirements (MW)</w:t>
            </w:r>
          </w:p>
        </w:tc>
      </w:tr>
      <w:tr w:rsidR="004C7089" w:rsidRPr="004C7089" w14:paraId="302C616F" w14:textId="77777777" w:rsidTr="00805C72">
        <w:trPr>
          <w:trHeight w:val="902"/>
          <w:jc w:val="center"/>
        </w:trPr>
        <w:tc>
          <w:tcPr>
            <w:tcW w:w="3417" w:type="dxa"/>
            <w:vMerge/>
            <w:shd w:val="clear" w:color="auto" w:fill="1795D2" w:themeFill="accent1"/>
            <w:tcMar>
              <w:left w:w="58" w:type="dxa"/>
              <w:right w:w="58" w:type="dxa"/>
            </w:tcMar>
            <w:vAlign w:val="center"/>
          </w:tcPr>
          <w:p w14:paraId="1ED98BE7"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p>
        </w:tc>
        <w:tc>
          <w:tcPr>
            <w:tcW w:w="990" w:type="dxa"/>
            <w:vMerge/>
            <w:shd w:val="clear" w:color="auto" w:fill="1795D2" w:themeFill="accent1"/>
            <w:tcMar>
              <w:left w:w="58" w:type="dxa"/>
              <w:right w:w="58" w:type="dxa"/>
            </w:tcMar>
            <w:vAlign w:val="center"/>
          </w:tcPr>
          <w:p w14:paraId="1AD8E920" w14:textId="77777777"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530" w:type="dxa"/>
            <w:vMerge/>
            <w:shd w:val="clear" w:color="auto" w:fill="1795D2" w:themeFill="accent1"/>
            <w:tcMar>
              <w:left w:w="58" w:type="dxa"/>
              <w:right w:w="58" w:type="dxa"/>
            </w:tcMar>
            <w:vAlign w:val="center"/>
          </w:tcPr>
          <w:p w14:paraId="0E7430B1" w14:textId="77777777" w:rsidR="004C7089" w:rsidRPr="004C7089" w:rsidRDefault="004C7089" w:rsidP="005658C2">
            <w:pPr>
              <w:keepNext/>
              <w:keepLines/>
              <w:spacing w:before="20" w:after="20" w:line="240" w:lineRule="auto"/>
              <w:jc w:val="center"/>
              <w:rPr>
                <w:rFonts w:asciiTheme="majorHAnsi" w:hAnsiTheme="majorHAnsi" w:cs="Arial"/>
                <w:color w:val="FFFFFF" w:themeColor="background1"/>
                <w:sz w:val="18"/>
                <w:szCs w:val="18"/>
              </w:rPr>
            </w:pPr>
          </w:p>
        </w:tc>
        <w:tc>
          <w:tcPr>
            <w:tcW w:w="1980" w:type="dxa"/>
            <w:shd w:val="clear" w:color="auto" w:fill="1795D2" w:themeFill="accent1"/>
            <w:tcMar>
              <w:left w:w="58" w:type="dxa"/>
              <w:right w:w="58" w:type="dxa"/>
            </w:tcMar>
            <w:vAlign w:val="center"/>
          </w:tcPr>
          <w:p w14:paraId="1A7CB565"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Summer</w:t>
            </w:r>
            <w:r w:rsidRPr="004C7089">
              <w:rPr>
                <w:rFonts w:asciiTheme="majorHAnsi" w:hAnsiTheme="majorHAnsi" w:cs="Arial"/>
                <w:b/>
                <w:color w:val="FFFFFF" w:themeColor="background1"/>
                <w:sz w:val="18"/>
                <w:szCs w:val="18"/>
                <w:vertAlign w:val="superscript"/>
              </w:rPr>
              <w:t>(c)</w:t>
            </w:r>
          </w:p>
          <w:p w14:paraId="3D4794EB"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(Jun to Sep)</w:t>
            </w:r>
          </w:p>
        </w:tc>
        <w:tc>
          <w:tcPr>
            <w:tcW w:w="1428" w:type="dxa"/>
            <w:shd w:val="clear" w:color="auto" w:fill="1795D2" w:themeFill="accent1"/>
            <w:tcMar>
              <w:left w:w="58" w:type="dxa"/>
              <w:right w:w="58" w:type="dxa"/>
            </w:tcMar>
            <w:vAlign w:val="center"/>
          </w:tcPr>
          <w:p w14:paraId="7E28E22B"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Winter</w:t>
            </w:r>
            <w:r w:rsidRPr="004C7089">
              <w:rPr>
                <w:rFonts w:asciiTheme="majorHAnsi" w:hAnsiTheme="majorHAnsi" w:cs="Arial"/>
                <w:b/>
                <w:color w:val="FFFFFF" w:themeColor="background1"/>
                <w:sz w:val="18"/>
                <w:szCs w:val="18"/>
                <w:vertAlign w:val="superscript"/>
              </w:rPr>
              <w:t>(c)</w:t>
            </w:r>
          </w:p>
          <w:p w14:paraId="017993EB" w14:textId="77777777" w:rsidR="004C7089" w:rsidRPr="004C7089" w:rsidRDefault="004C7089" w:rsidP="005658C2">
            <w:pPr>
              <w:keepNext/>
              <w:keepLines/>
              <w:spacing w:before="20" w:after="20" w:line="240" w:lineRule="auto"/>
              <w:jc w:val="center"/>
              <w:rPr>
                <w:rFonts w:asciiTheme="majorHAnsi" w:hAnsiTheme="majorHAnsi" w:cs="Arial"/>
                <w:b/>
                <w:color w:val="FFFFFF" w:themeColor="background1"/>
                <w:sz w:val="18"/>
                <w:szCs w:val="18"/>
              </w:rPr>
            </w:pPr>
            <w:r w:rsidRPr="004C7089">
              <w:rPr>
                <w:rFonts w:asciiTheme="majorHAnsi" w:hAnsiTheme="majorHAnsi" w:cs="Arial"/>
                <w:b/>
                <w:color w:val="FFFFFF" w:themeColor="background1"/>
                <w:sz w:val="18"/>
                <w:szCs w:val="18"/>
              </w:rPr>
              <w:t>(Oct to May)</w:t>
            </w:r>
          </w:p>
        </w:tc>
      </w:tr>
      <w:tr w:rsidR="004C7089" w:rsidRPr="004C7089" w14:paraId="178E64C3" w14:textId="77777777" w:rsidTr="00805C72">
        <w:trPr>
          <w:trHeight w:val="215"/>
          <w:jc w:val="center"/>
        </w:trPr>
        <w:tc>
          <w:tcPr>
            <w:tcW w:w="3417" w:type="dxa"/>
            <w:vAlign w:val="center"/>
          </w:tcPr>
          <w:p w14:paraId="31A2A89B"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Southwest Connecticut</w:t>
            </w:r>
            <w:r w:rsidRPr="004C7089">
              <w:rPr>
                <w:rFonts w:asciiTheme="majorHAnsi" w:hAnsiTheme="majorHAnsi" w:cs="Arial"/>
                <w:b/>
                <w:sz w:val="18"/>
                <w:szCs w:val="18"/>
                <w:vertAlign w:val="superscript"/>
              </w:rPr>
              <w:t>(d)</w:t>
            </w:r>
          </w:p>
        </w:tc>
        <w:tc>
          <w:tcPr>
            <w:tcW w:w="990" w:type="dxa"/>
            <w:vAlign w:val="center"/>
          </w:tcPr>
          <w:p w14:paraId="482B1A03"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14:paraId="3891C32A" w14:textId="77777777"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188–227</w:t>
            </w:r>
          </w:p>
        </w:tc>
        <w:tc>
          <w:tcPr>
            <w:tcW w:w="1980" w:type="dxa"/>
            <w:vAlign w:val="center"/>
          </w:tcPr>
          <w:p w14:paraId="4AF8EACA" w14:textId="77777777"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vAlign w:val="center"/>
          </w:tcPr>
          <w:p w14:paraId="4A541AA1" w14:textId="2AF16916"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14:paraId="477D569C" w14:textId="77777777" w:rsidTr="00805C72">
        <w:trPr>
          <w:trHeight w:val="262"/>
          <w:jc w:val="center"/>
        </w:trPr>
        <w:tc>
          <w:tcPr>
            <w:tcW w:w="3417" w:type="dxa"/>
            <w:vAlign w:val="center"/>
          </w:tcPr>
          <w:p w14:paraId="4CBC5140"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Bridgeport Harbor 5</w:t>
            </w:r>
          </w:p>
        </w:tc>
        <w:tc>
          <w:tcPr>
            <w:tcW w:w="990" w:type="dxa"/>
            <w:vAlign w:val="center"/>
          </w:tcPr>
          <w:p w14:paraId="6F85D7DE"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vAlign w:val="center"/>
          </w:tcPr>
          <w:p w14:paraId="7CB754C2"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14:paraId="203B9316"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2886692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28CA057C" w14:textId="77777777" w:rsidTr="00805C72">
        <w:trPr>
          <w:trHeight w:val="225"/>
          <w:jc w:val="center"/>
        </w:trPr>
        <w:tc>
          <w:tcPr>
            <w:tcW w:w="3417" w:type="dxa"/>
            <w:vAlign w:val="center"/>
          </w:tcPr>
          <w:p w14:paraId="2E707D28" w14:textId="77777777"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14:paraId="2C7E433F"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14:paraId="02E687F4"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14:paraId="60FA5AB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7F778F86"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642DAB48" w14:textId="77777777" w:rsidTr="00805C72">
        <w:trPr>
          <w:trHeight w:val="341"/>
          <w:jc w:val="center"/>
        </w:trPr>
        <w:tc>
          <w:tcPr>
            <w:tcW w:w="3417" w:type="dxa"/>
            <w:vAlign w:val="center"/>
          </w:tcPr>
          <w:p w14:paraId="69413EFC" w14:textId="77777777"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and SWCT upgrades</w:t>
            </w:r>
          </w:p>
        </w:tc>
        <w:tc>
          <w:tcPr>
            <w:tcW w:w="990" w:type="dxa"/>
            <w:vAlign w:val="center"/>
          </w:tcPr>
          <w:p w14:paraId="071A3AB1"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14:paraId="144A566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14:paraId="02E2109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35A3B398"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4FC10480" w14:textId="77777777" w:rsidTr="00805C72">
        <w:trPr>
          <w:trHeight w:val="322"/>
          <w:jc w:val="center"/>
        </w:trPr>
        <w:tc>
          <w:tcPr>
            <w:tcW w:w="3417" w:type="dxa"/>
            <w:vAlign w:val="center"/>
          </w:tcPr>
          <w:p w14:paraId="4710CA90" w14:textId="77777777" w:rsidR="004C7089" w:rsidRPr="004C7089" w:rsidRDefault="004C7089" w:rsidP="005658C2">
            <w:pPr>
              <w:keepNext/>
              <w:keepLines/>
              <w:spacing w:before="20" w:after="20" w:line="240" w:lineRule="auto"/>
              <w:rPr>
                <w:rFonts w:asciiTheme="majorHAnsi" w:hAnsiTheme="majorHAnsi" w:cs="Arial"/>
                <w:b/>
                <w:sz w:val="18"/>
                <w:szCs w:val="18"/>
              </w:rPr>
            </w:pPr>
          </w:p>
        </w:tc>
        <w:tc>
          <w:tcPr>
            <w:tcW w:w="990" w:type="dxa"/>
            <w:vAlign w:val="center"/>
          </w:tcPr>
          <w:p w14:paraId="6A37D53F"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14:paraId="7AFCB10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vAlign w:val="center"/>
          </w:tcPr>
          <w:p w14:paraId="4B20E70F"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484D123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14F8012D" w14:textId="77777777" w:rsidTr="00805C72">
        <w:trPr>
          <w:trHeight w:val="216"/>
          <w:jc w:val="center"/>
        </w:trPr>
        <w:tc>
          <w:tcPr>
            <w:tcW w:w="3417" w:type="dxa"/>
            <w:shd w:val="clear" w:color="auto" w:fill="CCEAF9" w:themeFill="accent1" w:themeFillTint="33"/>
            <w:vAlign w:val="center"/>
          </w:tcPr>
          <w:p w14:paraId="3AD67CA4"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Greater Connecticut</w:t>
            </w:r>
            <w:r w:rsidRPr="004C7089">
              <w:rPr>
                <w:rFonts w:asciiTheme="majorHAnsi" w:hAnsiTheme="majorHAnsi" w:cs="Arial"/>
                <w:b/>
                <w:sz w:val="18"/>
                <w:szCs w:val="18"/>
                <w:vertAlign w:val="superscript"/>
              </w:rPr>
              <w:t>(f, g)</w:t>
            </w:r>
          </w:p>
        </w:tc>
        <w:tc>
          <w:tcPr>
            <w:tcW w:w="990" w:type="dxa"/>
            <w:shd w:val="clear" w:color="auto" w:fill="CCEAF9" w:themeFill="accent1" w:themeFillTint="33"/>
            <w:vAlign w:val="center"/>
          </w:tcPr>
          <w:p w14:paraId="517866C2"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shd w:val="clear" w:color="auto" w:fill="CCEAF9" w:themeFill="accent1" w:themeFillTint="33"/>
            <w:vAlign w:val="center"/>
          </w:tcPr>
          <w:p w14:paraId="130B0FC0" w14:textId="77777777" w:rsidR="004C7089" w:rsidRPr="004C7089" w:rsidRDefault="004C7089" w:rsidP="005658C2">
            <w:pPr>
              <w:keepNext/>
              <w:keepLines/>
              <w:spacing w:before="20" w:after="20" w:line="240" w:lineRule="auto"/>
              <w:jc w:val="center"/>
              <w:rPr>
                <w:rFonts w:asciiTheme="majorHAnsi" w:hAnsiTheme="majorHAnsi" w:cs="Arial"/>
                <w:b/>
                <w:bCs/>
                <w:color w:val="0070C0"/>
                <w:sz w:val="18"/>
                <w:szCs w:val="18"/>
              </w:rPr>
            </w:pPr>
            <w:r w:rsidRPr="004C7089">
              <w:rPr>
                <w:rFonts w:asciiTheme="majorHAnsi" w:hAnsiTheme="majorHAnsi" w:cs="Arial"/>
                <w:sz w:val="18"/>
                <w:szCs w:val="18"/>
              </w:rPr>
              <w:t>613–848</w:t>
            </w:r>
            <w:r w:rsidRPr="004C7089">
              <w:rPr>
                <w:rFonts w:asciiTheme="majorHAnsi" w:hAnsiTheme="majorHAnsi" w:cs="Arial"/>
                <w:sz w:val="18"/>
                <w:szCs w:val="18"/>
                <w:vertAlign w:val="superscript"/>
              </w:rPr>
              <w:t>(h)</w:t>
            </w:r>
          </w:p>
        </w:tc>
        <w:tc>
          <w:tcPr>
            <w:tcW w:w="1980" w:type="dxa"/>
            <w:shd w:val="clear" w:color="auto" w:fill="CCEAF9" w:themeFill="accent1" w:themeFillTint="33"/>
            <w:vAlign w:val="center"/>
          </w:tcPr>
          <w:p w14:paraId="2A67E21D" w14:textId="77777777"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shd w:val="clear" w:color="auto" w:fill="CCEAF9" w:themeFill="accent1" w:themeFillTint="33"/>
            <w:vAlign w:val="center"/>
          </w:tcPr>
          <w:p w14:paraId="6E5A3033" w14:textId="0A59389C"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14:paraId="26B09C02" w14:textId="77777777" w:rsidTr="00805C72">
        <w:trPr>
          <w:trHeight w:val="272"/>
          <w:jc w:val="center"/>
        </w:trPr>
        <w:tc>
          <w:tcPr>
            <w:tcW w:w="3417" w:type="dxa"/>
            <w:shd w:val="clear" w:color="auto" w:fill="CCEAF9" w:themeFill="accent1" w:themeFillTint="33"/>
            <w:vAlign w:val="center"/>
          </w:tcPr>
          <w:p w14:paraId="0951DD83"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 xml:space="preserve">  </w:t>
            </w:r>
            <w:r w:rsidRPr="004C7089">
              <w:rPr>
                <w:rFonts w:asciiTheme="majorHAnsi" w:hAnsiTheme="majorHAnsi" w:cs="Arial"/>
                <w:sz w:val="18"/>
                <w:szCs w:val="18"/>
              </w:rPr>
              <w:t>Reflecting impact of Bridgeport Harbor 5</w:t>
            </w:r>
          </w:p>
        </w:tc>
        <w:tc>
          <w:tcPr>
            <w:tcW w:w="990" w:type="dxa"/>
            <w:shd w:val="clear" w:color="auto" w:fill="CCEAF9" w:themeFill="accent1" w:themeFillTint="33"/>
            <w:vAlign w:val="center"/>
          </w:tcPr>
          <w:p w14:paraId="24ABACF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2020</w:t>
            </w:r>
          </w:p>
        </w:tc>
        <w:tc>
          <w:tcPr>
            <w:tcW w:w="1530" w:type="dxa"/>
            <w:vMerge/>
            <w:shd w:val="clear" w:color="auto" w:fill="CCEAF9" w:themeFill="accent1" w:themeFillTint="33"/>
            <w:vAlign w:val="center"/>
          </w:tcPr>
          <w:p w14:paraId="6917CA1C"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14:paraId="50B18576" w14:textId="77777777" w:rsidR="004C7089" w:rsidRPr="00B06B8E" w:rsidRDefault="004C7089" w:rsidP="005658C2">
            <w:pPr>
              <w:keepNext/>
              <w:keepLines/>
              <w:spacing w:before="20" w:after="20" w:line="240" w:lineRule="auto"/>
              <w:jc w:val="center"/>
              <w:rPr>
                <w:rFonts w:asciiTheme="majorHAnsi" w:hAnsiTheme="majorHAnsi" w:cs="Arial"/>
                <w:b/>
                <w:bCs/>
                <w:color w:val="0070C0"/>
                <w:sz w:val="18"/>
                <w:szCs w:val="18"/>
              </w:rPr>
            </w:pPr>
            <w:r w:rsidRPr="00B06B8E">
              <w:rPr>
                <w:rFonts w:asciiTheme="majorHAnsi" w:hAnsiTheme="majorHAnsi" w:cs="Arial"/>
                <w:sz w:val="18"/>
                <w:szCs w:val="18"/>
              </w:rPr>
              <w:t>0</w:t>
            </w:r>
          </w:p>
        </w:tc>
        <w:tc>
          <w:tcPr>
            <w:tcW w:w="1428" w:type="dxa"/>
            <w:shd w:val="clear" w:color="auto" w:fill="CCEAF9" w:themeFill="accent1" w:themeFillTint="33"/>
            <w:vAlign w:val="center"/>
          </w:tcPr>
          <w:p w14:paraId="4559F248" w14:textId="77777777"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Pr>
                <w:rFonts w:asciiTheme="majorHAnsi" w:hAnsiTheme="majorHAnsi" w:cs="Arial"/>
                <w:sz w:val="18"/>
                <w:szCs w:val="18"/>
              </w:rPr>
              <w:t>0</w:t>
            </w:r>
          </w:p>
        </w:tc>
      </w:tr>
      <w:tr w:rsidR="004C7089" w:rsidRPr="004C7089" w14:paraId="481932C6" w14:textId="77777777" w:rsidTr="00805C72">
        <w:trPr>
          <w:trHeight w:val="317"/>
          <w:jc w:val="center"/>
        </w:trPr>
        <w:tc>
          <w:tcPr>
            <w:tcW w:w="3417" w:type="dxa"/>
            <w:shd w:val="clear" w:color="auto" w:fill="CCEAF9" w:themeFill="accent1" w:themeFillTint="33"/>
            <w:vAlign w:val="center"/>
          </w:tcPr>
          <w:p w14:paraId="605DC91F" w14:textId="77777777"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Greater Hartford/Central Connecticut upgrades</w:t>
            </w:r>
          </w:p>
        </w:tc>
        <w:tc>
          <w:tcPr>
            <w:tcW w:w="990" w:type="dxa"/>
            <w:shd w:val="clear" w:color="auto" w:fill="CCEAF9" w:themeFill="accent1" w:themeFillTint="33"/>
            <w:vAlign w:val="center"/>
          </w:tcPr>
          <w:p w14:paraId="08F9A6A5"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shd w:val="clear" w:color="auto" w:fill="CCEAF9" w:themeFill="accent1" w:themeFillTint="33"/>
            <w:vAlign w:val="center"/>
          </w:tcPr>
          <w:p w14:paraId="6C7ACF7F"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14:paraId="3E7726E2"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14:paraId="7C1B8DB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27324EFE" w14:textId="77777777" w:rsidTr="00805C72">
        <w:trPr>
          <w:trHeight w:val="305"/>
          <w:jc w:val="center"/>
        </w:trPr>
        <w:tc>
          <w:tcPr>
            <w:tcW w:w="3417" w:type="dxa"/>
            <w:shd w:val="clear" w:color="auto" w:fill="CCEAF9" w:themeFill="accent1" w:themeFillTint="33"/>
            <w:vAlign w:val="center"/>
          </w:tcPr>
          <w:p w14:paraId="09BDA8E1" w14:textId="77777777" w:rsidR="004C7089" w:rsidRPr="004C7089" w:rsidRDefault="004C7089" w:rsidP="005658C2">
            <w:pPr>
              <w:keepNext/>
              <w:keepLines/>
              <w:spacing w:before="20" w:after="20" w:line="240" w:lineRule="auto"/>
              <w:rPr>
                <w:rFonts w:asciiTheme="majorHAnsi" w:hAnsiTheme="majorHAnsi" w:cs="Arial"/>
                <w:sz w:val="18"/>
                <w:szCs w:val="18"/>
              </w:rPr>
            </w:pPr>
            <w:r w:rsidRPr="004C7089">
              <w:rPr>
                <w:rFonts w:asciiTheme="majorHAnsi" w:hAnsiTheme="majorHAnsi" w:cs="Arial"/>
                <w:sz w:val="18"/>
                <w:szCs w:val="18"/>
              </w:rPr>
              <w:t xml:space="preserve">  Reflecting impact of Bridgeport Harbor 3 </w:t>
            </w:r>
          </w:p>
        </w:tc>
        <w:tc>
          <w:tcPr>
            <w:tcW w:w="990" w:type="dxa"/>
            <w:shd w:val="clear" w:color="auto" w:fill="CCEAF9" w:themeFill="accent1" w:themeFillTint="33"/>
            <w:vAlign w:val="center"/>
          </w:tcPr>
          <w:p w14:paraId="4C047623"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shd w:val="clear" w:color="auto" w:fill="CCEAF9" w:themeFill="accent1" w:themeFillTint="33"/>
            <w:vAlign w:val="center"/>
          </w:tcPr>
          <w:p w14:paraId="6234F19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14:paraId="2425BFCC"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14:paraId="573BAB95"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764E50B5" w14:textId="77777777" w:rsidTr="00805C72">
        <w:trPr>
          <w:trHeight w:val="184"/>
          <w:jc w:val="center"/>
        </w:trPr>
        <w:tc>
          <w:tcPr>
            <w:tcW w:w="3417" w:type="dxa"/>
            <w:shd w:val="clear" w:color="auto" w:fill="CCEAF9" w:themeFill="accent1" w:themeFillTint="33"/>
            <w:vAlign w:val="center"/>
          </w:tcPr>
          <w:p w14:paraId="500D3446" w14:textId="77777777" w:rsidR="004C7089" w:rsidRPr="004C7089" w:rsidRDefault="004C7089" w:rsidP="005658C2">
            <w:pPr>
              <w:keepNext/>
              <w:keepLines/>
              <w:spacing w:before="20" w:after="20" w:line="240" w:lineRule="auto"/>
              <w:ind w:left="149"/>
              <w:rPr>
                <w:rFonts w:asciiTheme="majorHAnsi" w:hAnsiTheme="majorHAnsi" w:cs="Arial"/>
                <w:sz w:val="18"/>
                <w:szCs w:val="18"/>
              </w:rPr>
            </w:pPr>
          </w:p>
        </w:tc>
        <w:tc>
          <w:tcPr>
            <w:tcW w:w="990" w:type="dxa"/>
            <w:shd w:val="clear" w:color="auto" w:fill="CCEAF9" w:themeFill="accent1" w:themeFillTint="33"/>
            <w:vAlign w:val="center"/>
          </w:tcPr>
          <w:p w14:paraId="259B3EA4"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shd w:val="clear" w:color="auto" w:fill="CCEAF9" w:themeFill="accent1" w:themeFillTint="33"/>
            <w:vAlign w:val="center"/>
          </w:tcPr>
          <w:p w14:paraId="4FBEF1E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p>
        </w:tc>
        <w:tc>
          <w:tcPr>
            <w:tcW w:w="1980" w:type="dxa"/>
            <w:shd w:val="clear" w:color="auto" w:fill="CCEAF9" w:themeFill="accent1" w:themeFillTint="33"/>
            <w:vAlign w:val="center"/>
          </w:tcPr>
          <w:p w14:paraId="6B53A421"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shd w:val="clear" w:color="auto" w:fill="CCEAF9" w:themeFill="accent1" w:themeFillTint="33"/>
            <w:vAlign w:val="center"/>
          </w:tcPr>
          <w:p w14:paraId="02CC6514"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7F279C37" w14:textId="77777777" w:rsidTr="00805C72">
        <w:trPr>
          <w:trHeight w:val="248"/>
          <w:jc w:val="center"/>
        </w:trPr>
        <w:tc>
          <w:tcPr>
            <w:tcW w:w="3417" w:type="dxa"/>
            <w:vAlign w:val="center"/>
          </w:tcPr>
          <w:p w14:paraId="357B228C"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b/>
                <w:sz w:val="18"/>
                <w:szCs w:val="18"/>
              </w:rPr>
              <w:t>NEMA/Boston</w:t>
            </w:r>
            <w:r w:rsidRPr="004C7089">
              <w:rPr>
                <w:rFonts w:asciiTheme="majorHAnsi" w:hAnsiTheme="majorHAnsi" w:cs="Arial"/>
                <w:b/>
                <w:sz w:val="18"/>
                <w:szCs w:val="18"/>
                <w:vertAlign w:val="superscript"/>
              </w:rPr>
              <w:t>(g, i)</w:t>
            </w:r>
          </w:p>
        </w:tc>
        <w:tc>
          <w:tcPr>
            <w:tcW w:w="990" w:type="dxa"/>
            <w:vAlign w:val="center"/>
          </w:tcPr>
          <w:p w14:paraId="4FE929E7"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2019</w:t>
            </w:r>
          </w:p>
        </w:tc>
        <w:tc>
          <w:tcPr>
            <w:tcW w:w="1530" w:type="dxa"/>
            <w:vMerge w:val="restart"/>
            <w:vAlign w:val="center"/>
          </w:tcPr>
          <w:p w14:paraId="3EF962F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21–208</w:t>
            </w:r>
          </w:p>
        </w:tc>
        <w:tc>
          <w:tcPr>
            <w:tcW w:w="1980" w:type="dxa"/>
            <w:vAlign w:val="center"/>
          </w:tcPr>
          <w:p w14:paraId="0056E56B" w14:textId="77777777" w:rsidR="004C7089" w:rsidRPr="00B06B8E" w:rsidRDefault="004C7089" w:rsidP="005658C2">
            <w:pPr>
              <w:keepNext/>
              <w:keepLines/>
              <w:spacing w:before="20" w:after="20" w:line="240" w:lineRule="auto"/>
              <w:jc w:val="center"/>
              <w:rPr>
                <w:rFonts w:asciiTheme="majorHAnsi" w:hAnsiTheme="majorHAnsi" w:cs="Arial"/>
                <w:sz w:val="18"/>
                <w:szCs w:val="18"/>
              </w:rPr>
            </w:pPr>
            <w:r w:rsidRPr="00B06B8E" w:rsidDel="00223342">
              <w:rPr>
                <w:rFonts w:asciiTheme="majorHAnsi" w:hAnsiTheme="majorHAnsi" w:cs="Arial"/>
                <w:sz w:val="18"/>
                <w:szCs w:val="18"/>
              </w:rPr>
              <w:t xml:space="preserve"> </w:t>
            </w:r>
            <w:r w:rsidRPr="00B06B8E">
              <w:rPr>
                <w:rFonts w:asciiTheme="majorHAnsi" w:hAnsiTheme="majorHAnsi" w:cs="Arial"/>
                <w:sz w:val="18"/>
                <w:szCs w:val="18"/>
              </w:rPr>
              <w:t>0</w:t>
            </w:r>
            <w:r w:rsidRPr="00B06B8E">
              <w:rPr>
                <w:rFonts w:asciiTheme="majorHAnsi" w:hAnsiTheme="majorHAnsi" w:cs="Arial"/>
                <w:sz w:val="18"/>
                <w:szCs w:val="18"/>
                <w:vertAlign w:val="superscript"/>
              </w:rPr>
              <w:t>(e)</w:t>
            </w:r>
          </w:p>
        </w:tc>
        <w:tc>
          <w:tcPr>
            <w:tcW w:w="1428" w:type="dxa"/>
            <w:vAlign w:val="center"/>
          </w:tcPr>
          <w:p w14:paraId="20ABF01F" w14:textId="1BDD6688" w:rsidR="004C7089" w:rsidRPr="00B06B8E" w:rsidRDefault="0062603C" w:rsidP="005658C2">
            <w:pPr>
              <w:keepNext/>
              <w:keepLines/>
              <w:spacing w:before="20" w:after="20" w:line="240" w:lineRule="auto"/>
              <w:jc w:val="center"/>
              <w:rPr>
                <w:rFonts w:asciiTheme="majorHAnsi" w:hAnsiTheme="majorHAnsi" w:cs="Arial"/>
                <w:sz w:val="18"/>
                <w:szCs w:val="18"/>
              </w:rPr>
            </w:pPr>
            <w:r w:rsidRPr="0025235E">
              <w:rPr>
                <w:rFonts w:asciiTheme="majorHAnsi" w:hAnsiTheme="majorHAnsi" w:cs="Arial"/>
                <w:sz w:val="18"/>
                <w:szCs w:val="18"/>
              </w:rPr>
              <w:t>0</w:t>
            </w:r>
          </w:p>
        </w:tc>
      </w:tr>
      <w:tr w:rsidR="004C7089" w:rsidRPr="004C7089" w14:paraId="3B28FB63" w14:textId="77777777" w:rsidTr="00805C72">
        <w:trPr>
          <w:trHeight w:val="413"/>
          <w:jc w:val="center"/>
        </w:trPr>
        <w:tc>
          <w:tcPr>
            <w:tcW w:w="3417" w:type="dxa"/>
            <w:vAlign w:val="center"/>
          </w:tcPr>
          <w:p w14:paraId="2DA0F918" w14:textId="77777777" w:rsidR="004C7089" w:rsidRPr="001037EE" w:rsidRDefault="004C7089" w:rsidP="005658C2">
            <w:pPr>
              <w:keepNext/>
              <w:keepLines/>
              <w:spacing w:before="20" w:after="20" w:line="240" w:lineRule="auto"/>
              <w:rPr>
                <w:rFonts w:asciiTheme="majorHAnsi" w:hAnsiTheme="majorHAnsi" w:cs="Arial"/>
                <w:sz w:val="18"/>
                <w:szCs w:val="18"/>
              </w:rPr>
            </w:pPr>
            <w:r w:rsidRPr="001037EE">
              <w:rPr>
                <w:rFonts w:asciiTheme="majorHAnsi" w:hAnsiTheme="majorHAnsi" w:cs="Arial"/>
                <w:sz w:val="18"/>
                <w:szCs w:val="18"/>
              </w:rPr>
              <w:t xml:space="preserve">  Reflecting impact of Greater Boston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990" w:type="dxa"/>
            <w:vAlign w:val="center"/>
          </w:tcPr>
          <w:p w14:paraId="1380E52A" w14:textId="77777777"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2020</w:t>
            </w:r>
          </w:p>
        </w:tc>
        <w:tc>
          <w:tcPr>
            <w:tcW w:w="1530" w:type="dxa"/>
            <w:vMerge/>
            <w:vAlign w:val="center"/>
          </w:tcPr>
          <w:p w14:paraId="52E42EC2" w14:textId="77777777" w:rsidR="004C7089" w:rsidRPr="001037EE" w:rsidRDefault="004C7089" w:rsidP="005658C2">
            <w:pPr>
              <w:keepNext/>
              <w:keepLines/>
              <w:spacing w:before="20" w:after="20" w:line="240" w:lineRule="auto"/>
              <w:rPr>
                <w:rFonts w:asciiTheme="majorHAnsi" w:hAnsiTheme="majorHAnsi" w:cs="Arial"/>
                <w:sz w:val="18"/>
                <w:szCs w:val="18"/>
              </w:rPr>
            </w:pPr>
          </w:p>
        </w:tc>
        <w:tc>
          <w:tcPr>
            <w:tcW w:w="1980" w:type="dxa"/>
            <w:shd w:val="clear" w:color="auto" w:fill="auto"/>
            <w:vAlign w:val="center"/>
          </w:tcPr>
          <w:p w14:paraId="16E2B2A7" w14:textId="77777777"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50–400</w:t>
            </w:r>
          </w:p>
          <w:p w14:paraId="11EC72E8" w14:textId="77777777" w:rsidR="004C7089" w:rsidRPr="001037EE" w:rsidRDefault="004C7089" w:rsidP="005658C2">
            <w:pPr>
              <w:keepNext/>
              <w:keepLines/>
              <w:spacing w:before="20" w:after="20" w:line="240" w:lineRule="auto"/>
              <w:jc w:val="center"/>
              <w:rPr>
                <w:rFonts w:asciiTheme="majorHAnsi" w:hAnsiTheme="majorHAnsi" w:cs="Arial"/>
                <w:sz w:val="18"/>
                <w:szCs w:val="18"/>
              </w:rPr>
            </w:pPr>
            <w:r w:rsidRPr="001037EE">
              <w:rPr>
                <w:rFonts w:asciiTheme="majorHAnsi" w:hAnsiTheme="majorHAnsi" w:cs="Arial"/>
                <w:sz w:val="18"/>
                <w:szCs w:val="18"/>
              </w:rPr>
              <w:t xml:space="preserve">(0 w/ Grt Bos </w:t>
            </w:r>
            <w:r w:rsidR="001037EE" w:rsidRPr="001037EE">
              <w:rPr>
                <w:rFonts w:asciiTheme="majorHAnsi" w:hAnsiTheme="majorHAnsi" w:cs="Arial"/>
                <w:sz w:val="18"/>
                <w:szCs w:val="18"/>
              </w:rPr>
              <w:t>u</w:t>
            </w:r>
            <w:r w:rsidRPr="001037EE">
              <w:rPr>
                <w:rFonts w:asciiTheme="majorHAnsi" w:hAnsiTheme="majorHAnsi" w:cs="Arial"/>
                <w:sz w:val="18"/>
                <w:szCs w:val="18"/>
              </w:rPr>
              <w:t>pgrades)</w:t>
            </w:r>
          </w:p>
        </w:tc>
        <w:tc>
          <w:tcPr>
            <w:tcW w:w="1428" w:type="dxa"/>
            <w:vAlign w:val="center"/>
          </w:tcPr>
          <w:p w14:paraId="3700F7A3"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338ECDDE" w14:textId="77777777" w:rsidTr="00805C72">
        <w:trPr>
          <w:trHeight w:val="272"/>
          <w:jc w:val="center"/>
        </w:trPr>
        <w:tc>
          <w:tcPr>
            <w:tcW w:w="3417" w:type="dxa"/>
            <w:vAlign w:val="center"/>
          </w:tcPr>
          <w:p w14:paraId="2E40D045" w14:textId="77777777" w:rsidR="004C7089" w:rsidRPr="004C7089" w:rsidRDefault="004C7089" w:rsidP="005658C2">
            <w:pPr>
              <w:keepNext/>
              <w:keepLines/>
              <w:spacing w:before="20" w:after="20" w:line="240" w:lineRule="auto"/>
              <w:rPr>
                <w:rFonts w:asciiTheme="majorHAnsi" w:hAnsiTheme="majorHAnsi" w:cs="Arial"/>
                <w:sz w:val="18"/>
                <w:szCs w:val="18"/>
              </w:rPr>
            </w:pPr>
          </w:p>
        </w:tc>
        <w:tc>
          <w:tcPr>
            <w:tcW w:w="990" w:type="dxa"/>
            <w:vAlign w:val="center"/>
          </w:tcPr>
          <w:p w14:paraId="0782AF9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2021</w:t>
            </w:r>
          </w:p>
        </w:tc>
        <w:tc>
          <w:tcPr>
            <w:tcW w:w="1530" w:type="dxa"/>
            <w:vMerge/>
            <w:vAlign w:val="center"/>
          </w:tcPr>
          <w:p w14:paraId="3B9753D4" w14:textId="77777777"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14:paraId="3777BE4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07CBE14C"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10CB5194" w14:textId="77777777" w:rsidTr="00805C72">
        <w:trPr>
          <w:trHeight w:val="283"/>
          <w:jc w:val="center"/>
        </w:trPr>
        <w:tc>
          <w:tcPr>
            <w:tcW w:w="3417" w:type="dxa"/>
            <w:vAlign w:val="center"/>
          </w:tcPr>
          <w:p w14:paraId="087C8C67" w14:textId="77777777" w:rsidR="004C7089" w:rsidRPr="004C7089" w:rsidRDefault="004C7089" w:rsidP="005658C2">
            <w:pPr>
              <w:keepNext/>
              <w:keepLines/>
              <w:spacing w:before="20" w:after="20" w:line="240" w:lineRule="auto"/>
              <w:ind w:firstLine="149"/>
              <w:rPr>
                <w:rFonts w:asciiTheme="majorHAnsi" w:hAnsiTheme="majorHAnsi" w:cs="Arial"/>
                <w:sz w:val="18"/>
                <w:szCs w:val="18"/>
              </w:rPr>
            </w:pPr>
          </w:p>
        </w:tc>
        <w:tc>
          <w:tcPr>
            <w:tcW w:w="990" w:type="dxa"/>
            <w:vAlign w:val="center"/>
          </w:tcPr>
          <w:p w14:paraId="2D22FB39"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2022</w:t>
            </w:r>
          </w:p>
        </w:tc>
        <w:tc>
          <w:tcPr>
            <w:tcW w:w="1530" w:type="dxa"/>
            <w:vMerge/>
            <w:vAlign w:val="center"/>
          </w:tcPr>
          <w:p w14:paraId="320C8F34" w14:textId="77777777"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14:paraId="26DE7B09"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4022C423"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r w:rsidR="004C7089" w:rsidRPr="004C7089" w14:paraId="22152C77" w14:textId="77777777" w:rsidTr="00805C72">
        <w:trPr>
          <w:trHeight w:val="272"/>
          <w:jc w:val="center"/>
        </w:trPr>
        <w:tc>
          <w:tcPr>
            <w:tcW w:w="3417" w:type="dxa"/>
            <w:vAlign w:val="center"/>
          </w:tcPr>
          <w:p w14:paraId="63054C97" w14:textId="77777777" w:rsidR="004C7089" w:rsidRPr="004C7089" w:rsidRDefault="004C7089" w:rsidP="005658C2">
            <w:pPr>
              <w:keepNext/>
              <w:keepLines/>
              <w:spacing w:before="20" w:after="20" w:line="240" w:lineRule="auto"/>
              <w:rPr>
                <w:rFonts w:asciiTheme="majorHAnsi" w:hAnsiTheme="majorHAnsi" w:cs="Arial"/>
                <w:b/>
                <w:sz w:val="18"/>
                <w:szCs w:val="18"/>
              </w:rPr>
            </w:pPr>
            <w:r w:rsidRPr="004C7089">
              <w:rPr>
                <w:rFonts w:asciiTheme="majorHAnsi" w:hAnsiTheme="majorHAnsi" w:cs="Arial"/>
                <w:sz w:val="18"/>
                <w:szCs w:val="18"/>
              </w:rPr>
              <w:t xml:space="preserve">   Reflecting impact of Mystic 7</w:t>
            </w:r>
          </w:p>
        </w:tc>
        <w:tc>
          <w:tcPr>
            <w:tcW w:w="990" w:type="dxa"/>
            <w:vAlign w:val="center"/>
          </w:tcPr>
          <w:p w14:paraId="5D58350A"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2023</w:t>
            </w:r>
          </w:p>
        </w:tc>
        <w:tc>
          <w:tcPr>
            <w:tcW w:w="1530" w:type="dxa"/>
            <w:vMerge/>
            <w:vAlign w:val="center"/>
          </w:tcPr>
          <w:p w14:paraId="1BF7A7F6" w14:textId="77777777" w:rsidR="004C7089" w:rsidRPr="004C7089" w:rsidRDefault="004C7089" w:rsidP="005658C2">
            <w:pPr>
              <w:keepNext/>
              <w:keepLines/>
              <w:spacing w:before="20" w:after="20" w:line="240" w:lineRule="auto"/>
              <w:rPr>
                <w:rFonts w:asciiTheme="majorHAnsi" w:hAnsiTheme="majorHAnsi" w:cs="Arial"/>
                <w:sz w:val="18"/>
                <w:szCs w:val="18"/>
              </w:rPr>
            </w:pPr>
          </w:p>
        </w:tc>
        <w:tc>
          <w:tcPr>
            <w:tcW w:w="1980" w:type="dxa"/>
            <w:vAlign w:val="center"/>
          </w:tcPr>
          <w:p w14:paraId="06F34E5B"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c>
          <w:tcPr>
            <w:tcW w:w="1428" w:type="dxa"/>
            <w:vAlign w:val="center"/>
          </w:tcPr>
          <w:p w14:paraId="3F119F33" w14:textId="77777777" w:rsidR="004C7089" w:rsidRPr="004C7089" w:rsidRDefault="004C7089" w:rsidP="005658C2">
            <w:pPr>
              <w:keepNext/>
              <w:keepLines/>
              <w:spacing w:before="20" w:after="20" w:line="240" w:lineRule="auto"/>
              <w:jc w:val="center"/>
              <w:rPr>
                <w:rFonts w:asciiTheme="majorHAnsi" w:hAnsiTheme="majorHAnsi" w:cs="Arial"/>
                <w:sz w:val="18"/>
                <w:szCs w:val="18"/>
              </w:rPr>
            </w:pPr>
            <w:r w:rsidRPr="004C7089">
              <w:rPr>
                <w:rFonts w:asciiTheme="majorHAnsi" w:hAnsiTheme="majorHAnsi" w:cs="Arial"/>
                <w:sz w:val="18"/>
                <w:szCs w:val="18"/>
              </w:rPr>
              <w:t>0</w:t>
            </w:r>
          </w:p>
        </w:tc>
      </w:tr>
    </w:tbl>
    <w:p w14:paraId="215788E8" w14:textId="77777777" w:rsidR="004C7089" w:rsidRPr="004C7089" w:rsidRDefault="004C7089" w:rsidP="00330F0D">
      <w:pPr>
        <w:keepNext/>
        <w:keepLines/>
        <w:numPr>
          <w:ilvl w:val="0"/>
          <w:numId w:val="62"/>
        </w:numPr>
        <w:spacing w:before="80" w:after="80" w:line="240" w:lineRule="auto"/>
        <w:ind w:left="180" w:right="-187"/>
        <w:rPr>
          <w:rFonts w:asciiTheme="minorHAnsi" w:hAnsiTheme="minorHAnsi" w:cs="Arial"/>
          <w:sz w:val="16"/>
          <w:szCs w:val="16"/>
        </w:rPr>
      </w:pPr>
      <w:r w:rsidRPr="004C7089">
        <w:rPr>
          <w:rFonts w:asciiTheme="minorHAnsi" w:hAnsiTheme="minorHAnsi" w:cs="Arial"/>
          <w:sz w:val="16"/>
          <w:szCs w:val="16"/>
        </w:rPr>
        <w:t>The market period is from June 1 through May 31 of the following year.</w:t>
      </w:r>
    </w:p>
    <w:p w14:paraId="362BDE2F" w14:textId="77777777"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 xml:space="preserve">These values are the range of the megawatts of resources offered into the past forward-reserve auctions. A summary of the forward-reserve offers for the past auctions is available at </w:t>
      </w:r>
      <w:hyperlink r:id="rId48" w:history="1">
        <w:r w:rsidRPr="004C7089">
          <w:rPr>
            <w:rFonts w:asciiTheme="minorHAnsi" w:hAnsiTheme="minorHAnsi" w:cs="Arial"/>
            <w:color w:val="000000"/>
            <w:sz w:val="16"/>
            <w:szCs w:val="16"/>
          </w:rPr>
          <w:t>http://www.iso-ne.com/markets-operations/markets/reserves</w:t>
        </w:r>
      </w:hyperlink>
      <w:r w:rsidRPr="004C7089">
        <w:rPr>
          <w:rFonts w:asciiTheme="minorHAnsi" w:hAnsiTheme="minorHAnsi" w:cs="Arial"/>
          <w:sz w:val="16"/>
          <w:szCs w:val="16"/>
        </w:rPr>
        <w:t>.</w:t>
      </w:r>
    </w:p>
    <w:p w14:paraId="4BF789DD" w14:textId="77777777"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“Summer” means June through September of a capacity commitment period; “winter” means October of the associated year through May of the following year (e.g., the 2019 winter values are for October 2019 through May 2020). The representative values show a range to reflect uncertainties associated with the future system conditions. The operating limits shown below reflect those assumed at the time of the analysis.</w:t>
      </w:r>
    </w:p>
    <w:p w14:paraId="7270C67D" w14:textId="77777777"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The assumed N−1 and N−1−1 values that reflect transmission import limits into Greater SWCT are 2,500 MW and 1,750 MW, respectively. These limits will increase to 2,800 MW and 1,900 MW in 2021 when the expected the Southwest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are complete.</w:t>
      </w:r>
    </w:p>
    <w:p w14:paraId="6B7B9621" w14:textId="77777777" w:rsidR="004C7089" w:rsidRPr="001037EE"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These values are actual locational forward-reserve requirements. The projections of the requirements for future years are based on assumed contingencies.</w:t>
      </w:r>
    </w:p>
    <w:p w14:paraId="7F3B5F67" w14:textId="77777777"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1037EE">
        <w:rPr>
          <w:rFonts w:asciiTheme="minorHAnsi" w:hAnsiTheme="minorHAnsi" w:cs="Arial"/>
          <w:sz w:val="16"/>
          <w:szCs w:val="16"/>
        </w:rPr>
        <w:t xml:space="preserve">For Greater Connecticut, the assumed import limits reflect an N−1 value of 2,950 MW and an N−1−1 value of 1,750 MW. With the Greater Hartford/Central Connecticut </w:t>
      </w:r>
      <w:r w:rsidR="001037EE" w:rsidRPr="001037EE">
        <w:rPr>
          <w:rFonts w:asciiTheme="minorHAnsi" w:hAnsiTheme="minorHAnsi" w:cs="Arial"/>
          <w:sz w:val="16"/>
          <w:szCs w:val="16"/>
        </w:rPr>
        <w:t>u</w:t>
      </w:r>
      <w:r w:rsidRPr="001037EE">
        <w:rPr>
          <w:rFonts w:asciiTheme="minorHAnsi" w:hAnsiTheme="minorHAnsi" w:cs="Arial"/>
          <w:sz w:val="16"/>
          <w:szCs w:val="16"/>
        </w:rPr>
        <w:t>pgrades assumed in service in 2020, the N−1 and N−1−1 import limits will increase to 3,400 and 2,200</w:t>
      </w:r>
      <w:r w:rsidRPr="004C7089">
        <w:rPr>
          <w:rFonts w:asciiTheme="minorHAnsi" w:hAnsiTheme="minorHAnsi" w:cs="Arial"/>
          <w:sz w:val="16"/>
          <w:szCs w:val="16"/>
        </w:rPr>
        <w:t xml:space="preserve"> MW, respectively.</w:t>
      </w:r>
    </w:p>
    <w:p w14:paraId="23C7F685" w14:textId="77777777" w:rsidR="004C7089" w:rsidRPr="004C7089" w:rsidRDefault="004C7089" w:rsidP="00330F0D">
      <w:pPr>
        <w:keepNext/>
        <w:keepLines/>
        <w:numPr>
          <w:ilvl w:val="0"/>
          <w:numId w:val="62"/>
        </w:numPr>
        <w:spacing w:after="80" w:line="240" w:lineRule="auto"/>
        <w:ind w:left="180" w:right="-180"/>
        <w:rPr>
          <w:rFonts w:asciiTheme="minorHAnsi" w:hAnsiTheme="minorHAnsi" w:cs="Arial"/>
          <w:sz w:val="16"/>
          <w:szCs w:val="16"/>
        </w:rPr>
      </w:pPr>
      <w:r w:rsidRPr="004C7089">
        <w:rPr>
          <w:rFonts w:asciiTheme="minorHAnsi" w:hAnsiTheme="minorHAnsi" w:cs="Arial"/>
          <w:sz w:val="16"/>
          <w:szCs w:val="16"/>
        </w:rPr>
        <w:t>In some circumstances when transmission contingencies are more severe than generation contingencies, shedding some nonconsequential load (i.e., load shed not direct</w:t>
      </w:r>
      <w:r w:rsidR="0093504A">
        <w:rPr>
          <w:rFonts w:asciiTheme="minorHAnsi" w:hAnsiTheme="minorHAnsi" w:cs="Arial"/>
          <w:sz w:val="16"/>
          <w:szCs w:val="16"/>
        </w:rPr>
        <w:t>ly</w:t>
      </w:r>
      <w:r w:rsidRPr="004C7089">
        <w:rPr>
          <w:rFonts w:asciiTheme="minorHAnsi" w:hAnsiTheme="minorHAnsi" w:cs="Arial"/>
          <w:sz w:val="16"/>
          <w:szCs w:val="16"/>
        </w:rPr>
        <w:t xml:space="preserve"> result</w:t>
      </w:r>
      <w:r w:rsidR="0093504A">
        <w:rPr>
          <w:rFonts w:asciiTheme="minorHAnsi" w:hAnsiTheme="minorHAnsi" w:cs="Arial"/>
          <w:sz w:val="16"/>
          <w:szCs w:val="16"/>
        </w:rPr>
        <w:t>ing from</w:t>
      </w:r>
      <w:r w:rsidRPr="004C7089">
        <w:rPr>
          <w:rFonts w:asciiTheme="minorHAnsi" w:hAnsiTheme="minorHAnsi" w:cs="Arial"/>
          <w:sz w:val="16"/>
          <w:szCs w:val="16"/>
        </w:rPr>
        <w:t xml:space="preserve"> the contingency) may be acceptable.</w:t>
      </w:r>
    </w:p>
    <w:p w14:paraId="494908C9" w14:textId="77777777" w:rsidR="004C7089" w:rsidRPr="004C7089" w:rsidRDefault="004C7089" w:rsidP="00330F0D">
      <w:pPr>
        <w:keepNext/>
        <w:keepLines/>
        <w:numPr>
          <w:ilvl w:val="0"/>
          <w:numId w:val="62"/>
        </w:numPr>
        <w:spacing w:after="80" w:line="240" w:lineRule="auto"/>
        <w:ind w:left="180" w:right="-187"/>
        <w:rPr>
          <w:rFonts w:asciiTheme="minorHAnsi" w:hAnsiTheme="minorHAnsi" w:cs="Arial"/>
          <w:sz w:val="16"/>
          <w:szCs w:val="16"/>
        </w:rPr>
      </w:pPr>
      <w:r w:rsidRPr="004C7089">
        <w:rPr>
          <w:rFonts w:asciiTheme="minorHAnsi" w:hAnsiTheme="minorHAnsi" w:cs="Arial"/>
          <w:sz w:val="16"/>
          <w:szCs w:val="16"/>
        </w:rPr>
        <w:t>These values include resources in Greater Southwest Connecticut.</w:t>
      </w:r>
    </w:p>
    <w:p w14:paraId="11E2D0E7" w14:textId="77777777" w:rsidR="004C7089" w:rsidRPr="004C7089" w:rsidRDefault="004C7089" w:rsidP="00330F0D">
      <w:pPr>
        <w:keepNext/>
        <w:keepLines/>
        <w:numPr>
          <w:ilvl w:val="0"/>
          <w:numId w:val="62"/>
        </w:numPr>
        <w:spacing w:line="240" w:lineRule="auto"/>
        <w:ind w:left="180" w:right="-180"/>
        <w:rPr>
          <w:rFonts w:asciiTheme="minorHAnsi" w:hAnsiTheme="minorHAnsi" w:cs="Arial"/>
          <w:sz w:val="16"/>
          <w:szCs w:val="16"/>
        </w:rPr>
      </w:pPr>
      <w:r w:rsidRPr="004C7089">
        <w:rPr>
          <w:rFonts w:asciiTheme="minorHAnsi" w:hAnsiTheme="minorHAnsi" w:cs="Arial"/>
          <w:sz w:val="16"/>
          <w:szCs w:val="16"/>
        </w:rPr>
        <w:t>The assumed N−1 and N−1−1 values reflecting the transmission import limits into Boston are 5,700 MW and 4,600 MW, respectively, reflecting components of the Greater Boston Project in service by June 2019. The operating-reserve values for BOSTON NEMA/Boston would be lower with transmission upgrades or without consideration of the common-mode failure of the Mystic 8 and 9 generators assumed to trip up to 1,400 MW because of exposure to a common-mode failure of the fuel supply.</w:t>
      </w:r>
    </w:p>
    <w:p w14:paraId="4574E524" w14:textId="63D9CA70" w:rsidR="004C7089" w:rsidRPr="004C7089" w:rsidRDefault="004C7089" w:rsidP="004C7089">
      <w:r w:rsidRPr="004C7089">
        <w:t xml:space="preserve">The representative values show a range to reflect the load and resource uncertainties associated with future system conditions. </w:t>
      </w:r>
      <w:r w:rsidRPr="004C7089">
        <w:fldChar w:fldCharType="begin"/>
      </w:r>
      <w:r w:rsidRPr="004C7089">
        <w:instrText xml:space="preserve"> REF _Ref323310818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8</w:t>
      </w:r>
      <w:r w:rsidRPr="004C7089">
        <w:fldChar w:fldCharType="end"/>
      </w:r>
      <w:r w:rsidRPr="004C7089">
        <w:t xml:space="preserve"> also shows the existing amount of fast-start capability located in </w:t>
      </w:r>
      <w:r w:rsidRPr="004C7089">
        <w:lastRenderedPageBreak/>
        <w:t>each subarea resulting from the fast-start resources offered into past FRM auctions. The total 10-minute operating-reserve values associated with the FRM reflect the contingency-reserve adjustment, but this adjustment does not affect the amount of reserves distributed to locations (i.e., the reserve values for Greater Southwest Connecticut, Greater Connecticut, and NEMA/Boston did not increase).</w:t>
      </w:r>
    </w:p>
    <w:p w14:paraId="30876AE6" w14:textId="77777777" w:rsidR="004C7089" w:rsidRPr="004C7089" w:rsidRDefault="004C7089" w:rsidP="004C7089">
      <w:pPr>
        <w:rPr>
          <w:snapToGrid w:val="0"/>
        </w:rPr>
      </w:pPr>
      <w:r w:rsidRPr="004C7089">
        <w:t>Because the local contingency needs in Greater Southwest Connecticut are nested within Connecticut, resources installed in the Greater Southwest Connecticut area also would satisfy the operating reserve need for resources located anywhere in Greater Connecticut.</w:t>
      </w:r>
      <w:r w:rsidRPr="004C7089">
        <w:rPr>
          <w:vertAlign w:val="superscript"/>
        </w:rPr>
        <w:footnoteReference w:id="122"/>
      </w:r>
    </w:p>
    <w:p w14:paraId="561CC4B5" w14:textId="77777777" w:rsidR="004C7089" w:rsidRPr="004C7089" w:rsidRDefault="004C7089" w:rsidP="004C7089">
      <w:pPr>
        <w:pStyle w:val="Heading4"/>
      </w:pPr>
      <w:r w:rsidRPr="004C7089">
        <w:t>Greater Southwest Connecticut</w:t>
      </w:r>
    </w:p>
    <w:p w14:paraId="28B334B6" w14:textId="77777777" w:rsidR="004C7089" w:rsidRPr="004C7089" w:rsidRDefault="004C7089" w:rsidP="004C7089">
      <w:r w:rsidRPr="004C7089">
        <w:t>Greater Southwest Connecticut does not need to maintain local reserve for the entire study period. The 2018 addition of the efficient gas-fired generator, CPV Towantic, helps the local generation serve a larger portion of the local energy needs, freeing up the import interface for importing reserve when the contingencies occur. The expected addition of Bridgeport Harbor 5 in 2019 and the Southwest Connecticut transmission upgrades in 2021 are expected to further improve the capability of the Southwest Connecticut subsystem to meet its local energy and reserve needs reliably. The scheduled retirement of Bridgeport Harbor 3 generator in 2021 is expected to have little impact on the local reserve needs.</w:t>
      </w:r>
    </w:p>
    <w:p w14:paraId="7DFA059A" w14:textId="77777777" w:rsidR="004C7089" w:rsidRPr="004C7089" w:rsidRDefault="004C7089" w:rsidP="004C7089">
      <w:pPr>
        <w:pStyle w:val="Heading4"/>
      </w:pPr>
      <w:r w:rsidRPr="004C7089">
        <w:t>Greater Connecticut</w:t>
      </w:r>
    </w:p>
    <w:p w14:paraId="7BB5DCD4" w14:textId="77777777" w:rsidR="004C7089" w:rsidRPr="004C7089" w:rsidRDefault="004C7089" w:rsidP="004C7089">
      <w:r w:rsidRPr="00304A24">
        <w:t>As a result of the development of efficient gas-fired generators, and fast-start resources over</w:t>
      </w:r>
      <w:r w:rsidRPr="004C7089">
        <w:t xml:space="preserve"> the past years, the Greater Connecticut subsystem has been able to </w:t>
      </w:r>
      <w:r w:rsidR="009D5D69">
        <w:t xml:space="preserve">reliably </w:t>
      </w:r>
      <w:r w:rsidRPr="004C7089">
        <w:t>meet its local energy and reserve needs. Local operating reserves are not expected to be needed because the capability of the import interface is adequate to support the transfers of economic energy and reserve into the area from the rest of the system. Having the Bridgeport 5 and the Greater Hartford/Central Connecticut transmission upgrades in service will further help eliminate locational reserve needs in Greater Connecticut during the study period.</w:t>
      </w:r>
    </w:p>
    <w:p w14:paraId="0AE5A2D6" w14:textId="77777777" w:rsidR="004C7089" w:rsidRPr="004C7089" w:rsidRDefault="004C7089" w:rsidP="004C7089">
      <w:pPr>
        <w:pStyle w:val="Heading4"/>
      </w:pPr>
      <w:r w:rsidRPr="004C7089">
        <w:t>NEMA/Boston</w:t>
      </w:r>
    </w:p>
    <w:p w14:paraId="26A49BEC" w14:textId="6081012B" w:rsidR="004C7089" w:rsidRPr="004C7089" w:rsidRDefault="004C7089" w:rsidP="004C7089">
      <w:r w:rsidRPr="004C7089">
        <w:t xml:space="preserve">The operating-reserve needs for the NEMA/Boston subarea shown in </w:t>
      </w:r>
      <w:r w:rsidRPr="004C7089">
        <w:fldChar w:fldCharType="begin"/>
      </w:r>
      <w:r w:rsidRPr="004C7089">
        <w:instrText xml:space="preserve"> REF _Ref323310818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8</w:t>
      </w:r>
      <w:r w:rsidRPr="004C7089">
        <w:fldChar w:fldCharType="end"/>
      </w:r>
      <w:r w:rsidRPr="004C7089">
        <w:t xml:space="preserve"> reflect the possible simultaneous contingency loss of Mystic generators 8 and 9</w:t>
      </w:r>
      <w:r w:rsidR="002B396B">
        <w:t xml:space="preserve">. </w:t>
      </w:r>
      <w:r w:rsidRPr="004C7089">
        <w:t>The addition of Footprint generation in 2018 has allowed more loads in NEMA/Boston subarea to be served by the local economical generation resources. Several of the transmission facilities associated with the Greater Boston project are already in service, and the remaining components are expected to be in service by May 2021 (se</w:t>
      </w:r>
      <w:r w:rsidRPr="00AB0771">
        <w:t xml:space="preserve">e Section </w:t>
      </w:r>
      <w:r w:rsidR="00AB0771" w:rsidRPr="00AB0771">
        <w:fldChar w:fldCharType="begin"/>
      </w:r>
      <w:r w:rsidR="00AB0771" w:rsidRPr="00AB0771">
        <w:instrText xml:space="preserve"> REF _Ref485805448 \r \h </w:instrText>
      </w:r>
      <w:r w:rsidR="00AB0771">
        <w:instrText xml:space="preserve"> \* MERGEFORMAT </w:instrText>
      </w:r>
      <w:r w:rsidR="00AB0771" w:rsidRPr="00AB0771">
        <w:fldChar w:fldCharType="separate"/>
      </w:r>
      <w:r w:rsidR="005D0B73">
        <w:t>5.5.4</w:t>
      </w:r>
      <w:r w:rsidR="00AB0771" w:rsidRPr="00AB0771">
        <w:fldChar w:fldCharType="end"/>
      </w:r>
      <w:r w:rsidRPr="00AB0771">
        <w:t>). The</w:t>
      </w:r>
      <w:r w:rsidRPr="00CA3468">
        <w:t xml:space="preserve"> Greater Boston project will increase the import capability into the subarea, thus permitting a higher level of economical transfers and reserves. Therefore, maintaining o</w:t>
      </w:r>
      <w:r w:rsidRPr="004C7089">
        <w:t>perating reserve locally is not expected to be required for the study period. The retirement of Mystic 7 will have little impact on the local reserve needs. The impacts from the potential retirements of Mystic 8 and 9 are not evaluated because the timeline of the retirement is beyond the study period of this analysis.</w:t>
      </w:r>
    </w:p>
    <w:p w14:paraId="13FE7EB5" w14:textId="77777777" w:rsidR="004C7089" w:rsidRPr="004C7089" w:rsidRDefault="004C7089" w:rsidP="004C7089">
      <w:pPr>
        <w:pStyle w:val="Heading4"/>
      </w:pPr>
      <w:r w:rsidRPr="004C7089">
        <w:t>Summary of Operating-Reserve Needs in Major Import Areas</w:t>
      </w:r>
    </w:p>
    <w:p w14:paraId="254FB4A8" w14:textId="77777777" w:rsidR="004C7089" w:rsidRPr="004C7089" w:rsidRDefault="004C7089" w:rsidP="004C7089">
      <w:r w:rsidRPr="004C7089">
        <w:t xml:space="preserve">The need for maintaining operating reserves in major import areas has been decreasing, and the reduction is expected to continue. Future requirements may be completely eliminated starting as early as 2019, with the completion of proposed transmission upgrades, additional lower-cost generating resources in service in the major import areas, and the expected lower net load-growth forecast. </w:t>
      </w:r>
      <w:r w:rsidRPr="004C7089">
        <w:lastRenderedPageBreak/>
        <w:t>However unforeseen reductions in economical generation resources (e.g., traditional baseload resources) in these subareas may increase the operating-reserve need.</w:t>
      </w:r>
    </w:p>
    <w:p w14:paraId="7DD24EC5" w14:textId="14517A1D" w:rsidR="00527996" w:rsidRDefault="004C7089" w:rsidP="004C7089">
      <w:r w:rsidRPr="004C7089">
        <w:t xml:space="preserve">Longer term, the region might need additional operating reserve as a result of </w:t>
      </w:r>
      <w:r w:rsidR="009E6989">
        <w:t xml:space="preserve">the addition of </w:t>
      </w:r>
      <w:r w:rsidRPr="004C7089">
        <w:t xml:space="preserve">variable </w:t>
      </w:r>
      <w:r w:rsidR="009E6989">
        <w:t xml:space="preserve">energy </w:t>
      </w:r>
      <w:r w:rsidRPr="004C7089">
        <w:t>resource</w:t>
      </w:r>
      <w:r w:rsidR="007A61AF">
        <w:t>s</w:t>
      </w:r>
      <w:r w:rsidRPr="004C7089">
        <w:t xml:space="preserve">. For example, wind generating units cannot generate when the wind does not blow or when wind speeds increase above the cutout limits, which reduces the wind generation output to zero (refer to Section </w:t>
      </w:r>
      <w:r w:rsidR="00415D7F">
        <w:fldChar w:fldCharType="begin"/>
      </w:r>
      <w:r w:rsidR="00415D7F">
        <w:instrText xml:space="preserve"> REF _Ref11832384 \r \h </w:instrText>
      </w:r>
      <w:r w:rsidR="00415D7F">
        <w:fldChar w:fldCharType="separate"/>
      </w:r>
      <w:r w:rsidR="005D0B73">
        <w:t>9.2</w:t>
      </w:r>
      <w:r w:rsidR="00415D7F">
        <w:fldChar w:fldCharType="end"/>
      </w:r>
      <w:r w:rsidRPr="004C7089">
        <w:t>).</w:t>
      </w:r>
      <w:r w:rsidR="00805C72">
        <w:rPr>
          <w:rStyle w:val="FootnoteReference"/>
        </w:rPr>
        <w:footnoteReference w:id="123"/>
      </w:r>
      <w:r w:rsidRPr="004C7089">
        <w:t xml:space="preserve"> </w:t>
      </w:r>
    </w:p>
    <w:p w14:paraId="0824CF2F" w14:textId="77777777" w:rsidR="004C7089" w:rsidRPr="004C7089" w:rsidRDefault="004C7089" w:rsidP="004C7089">
      <w:pPr>
        <w:pStyle w:val="Heading2"/>
      </w:pPr>
      <w:bookmarkStart w:id="520" w:name="_Ref418772064"/>
      <w:bookmarkStart w:id="521" w:name="_Ref419300248"/>
      <w:bookmarkStart w:id="522" w:name="_Toc429063401"/>
      <w:bookmarkStart w:id="523" w:name="_Toc481053267"/>
      <w:bookmarkStart w:id="524" w:name="_Toc490323033"/>
      <w:bookmarkStart w:id="525" w:name="_Toc12795176"/>
      <w:bookmarkStart w:id="526" w:name="_Toc365440999"/>
      <w:bookmarkStart w:id="527" w:name="_Ref366586003"/>
      <w:bookmarkStart w:id="528" w:name="_Toc396807629"/>
      <w:bookmarkStart w:id="529" w:name="_Ref356557755"/>
      <w:r w:rsidRPr="004C7089">
        <w:t>Existing and Future Resource Development</w:t>
      </w:r>
      <w:bookmarkEnd w:id="520"/>
      <w:r w:rsidRPr="004C7089">
        <w:t xml:space="preserve"> in Areas of Need</w:t>
      </w:r>
      <w:bookmarkEnd w:id="521"/>
      <w:bookmarkEnd w:id="522"/>
      <w:bookmarkEnd w:id="523"/>
      <w:bookmarkEnd w:id="524"/>
      <w:bookmarkEnd w:id="525"/>
    </w:p>
    <w:p w14:paraId="072CFC0B" w14:textId="77777777" w:rsidR="004C7089" w:rsidRPr="004C7089" w:rsidRDefault="004C7089" w:rsidP="004C7089">
      <w:r w:rsidRPr="004C7089">
        <w:t xml:space="preserve">The development of resources can help meet the long-term needs of the system. This section reviews existing and future generating resources, including the capacity and claimed capability of existing resources, projects proposed through the ISO’s interconnection queue, and generator retirements. </w:t>
      </w:r>
    </w:p>
    <w:p w14:paraId="63CDEDC9" w14:textId="77777777" w:rsidR="004C7089" w:rsidRPr="004C7089" w:rsidRDefault="004C7089" w:rsidP="004C7089">
      <w:pPr>
        <w:pStyle w:val="Heading3"/>
      </w:pPr>
      <w:bookmarkStart w:id="530" w:name="_Toc429063402"/>
      <w:bookmarkStart w:id="531" w:name="_Toc481053268"/>
      <w:bookmarkStart w:id="532" w:name="_Toc490323034"/>
      <w:bookmarkStart w:id="533" w:name="_Toc12795177"/>
      <w:r w:rsidRPr="004C7089">
        <w:t>Existing Generating Capacity by Load Zone, and State</w:t>
      </w:r>
      <w:bookmarkEnd w:id="530"/>
      <w:bookmarkEnd w:id="531"/>
      <w:bookmarkEnd w:id="532"/>
      <w:bookmarkEnd w:id="533"/>
    </w:p>
    <w:p w14:paraId="6E283645" w14:textId="765250FE" w:rsidR="004C7089" w:rsidRPr="004C7089" w:rsidRDefault="004C7089" w:rsidP="00ED4198">
      <w:r w:rsidRPr="004C7089">
        <w:t xml:space="preserve">Generators located close to load centers typically lessen the need for transmission system improvements. </w:t>
      </w:r>
      <w:r w:rsidRPr="004C7089">
        <w:fldChar w:fldCharType="begin"/>
      </w:r>
      <w:r w:rsidRPr="004C7089">
        <w:instrText xml:space="preserve"> REF _Ref8751234 \h  \* MERGEFORMAT </w:instrText>
      </w:r>
      <w:r w:rsidRPr="004C7089">
        <w:fldChar w:fldCharType="separate"/>
      </w:r>
      <w:r w:rsidR="005D0B73" w:rsidRPr="005D0B73">
        <w:t xml:space="preserve">Table </w:t>
      </w:r>
      <w:r w:rsidR="005D0B73" w:rsidRPr="005D0B73">
        <w:rPr>
          <w:noProof/>
        </w:rPr>
        <w:t>4</w:t>
      </w:r>
      <w:r w:rsidR="005D0B73" w:rsidRPr="005D0B73">
        <w:rPr>
          <w:noProof/>
        </w:rPr>
        <w:noBreakHyphen/>
        <w:t>9</w:t>
      </w:r>
      <w:r w:rsidRPr="004C7089">
        <w:fldChar w:fldCharType="end"/>
      </w:r>
      <w:r w:rsidRPr="004C7089">
        <w:t xml:space="preserve"> tabulates the existing generating amounts and locations by load zone and state.</w:t>
      </w:r>
    </w:p>
    <w:p w14:paraId="17B6F7BE" w14:textId="4DC3E87B" w:rsidR="004C7089" w:rsidRPr="004C7089" w:rsidRDefault="004C7089" w:rsidP="005658C2">
      <w:pPr>
        <w:keepNext/>
        <w:keepLines/>
        <w:spacing w:after="60" w:line="240" w:lineRule="auto"/>
        <w:jc w:val="center"/>
        <w:rPr>
          <w:rFonts w:ascii="Calibri" w:hAnsi="Calibri"/>
          <w:b/>
          <w:szCs w:val="18"/>
          <w:vertAlign w:val="superscript"/>
        </w:rPr>
      </w:pPr>
      <w:bookmarkStart w:id="534" w:name="_Ref421694695"/>
      <w:bookmarkStart w:id="535" w:name="_Ref8751234"/>
      <w:bookmarkStart w:id="536" w:name="_Toc429063564"/>
      <w:bookmarkStart w:id="537" w:name="_Toc481053567"/>
      <w:bookmarkStart w:id="538" w:name="_Toc491244012"/>
      <w:bookmarkStart w:id="539" w:name="_Toc12795340"/>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9</w:t>
      </w:r>
      <w:r w:rsidR="0082639A">
        <w:rPr>
          <w:rFonts w:ascii="Calibri" w:hAnsi="Calibri"/>
          <w:b/>
          <w:bCs/>
          <w:szCs w:val="18"/>
        </w:rPr>
        <w:fldChar w:fldCharType="end"/>
      </w:r>
      <w:bookmarkEnd w:id="534"/>
      <w:bookmarkEnd w:id="535"/>
      <w:r w:rsidRPr="004C7089">
        <w:rPr>
          <w:rFonts w:ascii="Calibri" w:hAnsi="Calibri"/>
          <w:b/>
          <w:color w:val="EC1F25" w:themeColor="accent6"/>
          <w:szCs w:val="18"/>
        </w:rPr>
        <w:t xml:space="preserve"> </w:t>
      </w:r>
      <w:r w:rsidRPr="004C7089">
        <w:rPr>
          <w:rFonts w:ascii="Calibri" w:hAnsi="Calibri"/>
          <w:b/>
          <w:color w:val="EC1F25" w:themeColor="accent6"/>
          <w:szCs w:val="18"/>
        </w:rPr>
        <w:br/>
      </w:r>
      <w:r w:rsidRPr="004C7089">
        <w:rPr>
          <w:rFonts w:ascii="Calibri" w:hAnsi="Calibri"/>
          <w:b/>
          <w:szCs w:val="18"/>
        </w:rPr>
        <w:t>2019 Generating Capacity by State and Load Zone (MW, %)</w:t>
      </w:r>
      <w:r w:rsidRPr="004C7089">
        <w:rPr>
          <w:rFonts w:ascii="Calibri" w:hAnsi="Calibri"/>
          <w:b/>
          <w:szCs w:val="18"/>
          <w:vertAlign w:val="superscript"/>
        </w:rPr>
        <w:t>(a, b)</w:t>
      </w:r>
      <w:bookmarkEnd w:id="536"/>
      <w:bookmarkEnd w:id="537"/>
      <w:bookmarkEnd w:id="538"/>
      <w:bookmarkEnd w:id="539"/>
    </w:p>
    <w:tbl>
      <w:tblPr>
        <w:tblW w:w="8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7"/>
        <w:gridCol w:w="820"/>
        <w:gridCol w:w="1405"/>
        <w:gridCol w:w="960"/>
        <w:gridCol w:w="960"/>
        <w:gridCol w:w="1265"/>
        <w:gridCol w:w="810"/>
        <w:gridCol w:w="805"/>
      </w:tblGrid>
      <w:tr w:rsidR="00A33BD4" w:rsidRPr="00D81202" w14:paraId="3CF051CC" w14:textId="77777777" w:rsidTr="005658C2">
        <w:trPr>
          <w:cantSplit/>
          <w:trHeight w:val="20"/>
          <w:jc w:val="center"/>
        </w:trPr>
        <w:tc>
          <w:tcPr>
            <w:tcW w:w="1337" w:type="dxa"/>
            <w:vMerge w:val="restart"/>
            <w:tcBorders>
              <w:left w:val="single" w:sz="2" w:space="0" w:color="auto"/>
            </w:tcBorders>
            <w:shd w:val="clear" w:color="000000" w:fill="1795D2"/>
            <w:noWrap/>
            <w:tcMar>
              <w:left w:w="58" w:type="dxa"/>
              <w:right w:w="58" w:type="dxa"/>
            </w:tcMar>
            <w:vAlign w:val="center"/>
            <w:hideMark/>
          </w:tcPr>
          <w:p w14:paraId="614B0578"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State</w:t>
            </w:r>
          </w:p>
        </w:tc>
        <w:tc>
          <w:tcPr>
            <w:tcW w:w="820" w:type="dxa"/>
            <w:vMerge w:val="restart"/>
            <w:shd w:val="clear" w:color="000000" w:fill="1795D2"/>
            <w:noWrap/>
            <w:tcMar>
              <w:left w:w="58" w:type="dxa"/>
              <w:right w:w="58" w:type="dxa"/>
            </w:tcMar>
            <w:vAlign w:val="center"/>
            <w:hideMark/>
          </w:tcPr>
          <w:p w14:paraId="161DB772" w14:textId="77777777" w:rsidR="00A33BD4" w:rsidRPr="00D81202" w:rsidRDefault="00D8343B" w:rsidP="005658C2">
            <w:pPr>
              <w:spacing w:before="20" w:after="2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L</w:t>
            </w:r>
            <w:r w:rsidR="00A33BD4" w:rsidRPr="00D81202">
              <w:rPr>
                <w:rFonts w:ascii="Calibri" w:eastAsia="Times New Roman" w:hAnsi="Calibri" w:cs="Calibri"/>
                <w:b/>
                <w:bCs/>
                <w:color w:val="FFFFFF"/>
                <w:sz w:val="18"/>
                <w:szCs w:val="18"/>
              </w:rPr>
              <w:t>oad Zone</w:t>
            </w:r>
          </w:p>
        </w:tc>
        <w:tc>
          <w:tcPr>
            <w:tcW w:w="3325" w:type="dxa"/>
            <w:gridSpan w:val="3"/>
            <w:shd w:val="clear" w:color="000000" w:fill="1795D2"/>
            <w:noWrap/>
            <w:tcMar>
              <w:left w:w="58" w:type="dxa"/>
              <w:right w:w="58" w:type="dxa"/>
            </w:tcMar>
            <w:vAlign w:val="center"/>
            <w:hideMark/>
          </w:tcPr>
          <w:p w14:paraId="0D1344A4"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Summer</w:t>
            </w:r>
          </w:p>
        </w:tc>
        <w:tc>
          <w:tcPr>
            <w:tcW w:w="2880" w:type="dxa"/>
            <w:gridSpan w:val="3"/>
            <w:shd w:val="clear" w:color="000000" w:fill="1795D2"/>
            <w:noWrap/>
            <w:tcMar>
              <w:left w:w="58" w:type="dxa"/>
              <w:right w:w="58" w:type="dxa"/>
            </w:tcMar>
            <w:vAlign w:val="center"/>
            <w:hideMark/>
          </w:tcPr>
          <w:p w14:paraId="373D1235"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Winter</w:t>
            </w:r>
          </w:p>
        </w:tc>
      </w:tr>
      <w:tr w:rsidR="00050032" w:rsidRPr="00D81202" w14:paraId="59A9599D" w14:textId="77777777" w:rsidTr="005658C2">
        <w:trPr>
          <w:cantSplit/>
          <w:trHeight w:val="380"/>
          <w:jc w:val="center"/>
        </w:trPr>
        <w:tc>
          <w:tcPr>
            <w:tcW w:w="1337" w:type="dxa"/>
            <w:vMerge/>
            <w:tcBorders>
              <w:left w:val="single" w:sz="2" w:space="0" w:color="auto"/>
            </w:tcBorders>
            <w:shd w:val="clear" w:color="000000" w:fill="1795D2"/>
            <w:noWrap/>
            <w:tcMar>
              <w:left w:w="58" w:type="dxa"/>
              <w:right w:w="58" w:type="dxa"/>
            </w:tcMar>
            <w:vAlign w:val="center"/>
            <w:hideMark/>
          </w:tcPr>
          <w:p w14:paraId="6A7ED114"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820" w:type="dxa"/>
            <w:vMerge/>
            <w:shd w:val="clear" w:color="000000" w:fill="1795D2"/>
            <w:noWrap/>
            <w:tcMar>
              <w:left w:w="58" w:type="dxa"/>
              <w:right w:w="58" w:type="dxa"/>
            </w:tcMar>
            <w:vAlign w:val="center"/>
            <w:hideMark/>
          </w:tcPr>
          <w:p w14:paraId="1E27E188"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1405" w:type="dxa"/>
            <w:vMerge w:val="restart"/>
            <w:shd w:val="clear" w:color="000000" w:fill="1795D2"/>
            <w:tcMar>
              <w:left w:w="58" w:type="dxa"/>
              <w:right w:w="58" w:type="dxa"/>
            </w:tcMar>
            <w:vAlign w:val="center"/>
            <w:hideMark/>
          </w:tcPr>
          <w:p w14:paraId="7B03DC25"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 Rating</w:t>
            </w:r>
            <w:r w:rsidR="00050032">
              <w:rPr>
                <w:rFonts w:ascii="Calibri" w:eastAsia="Times New Roman" w:hAnsi="Calibri" w:cs="Calibri"/>
                <w:b/>
                <w:bCs/>
                <w:color w:val="FFFFFF"/>
                <w:sz w:val="18"/>
                <w:szCs w:val="18"/>
              </w:rPr>
              <w:t xml:space="preserve"> (MW)</w:t>
            </w:r>
            <w:r w:rsidRPr="00D81202">
              <w:rPr>
                <w:rFonts w:ascii="Calibri" w:eastAsia="Times New Roman" w:hAnsi="Calibri" w:cs="Calibri"/>
                <w:b/>
                <w:bCs/>
                <w:color w:val="FFFFFF"/>
                <w:sz w:val="18"/>
                <w:szCs w:val="18"/>
                <w:vertAlign w:val="superscript"/>
              </w:rPr>
              <w:t>(b)</w:t>
            </w:r>
          </w:p>
        </w:tc>
        <w:tc>
          <w:tcPr>
            <w:tcW w:w="960" w:type="dxa"/>
            <w:vMerge w:val="restart"/>
            <w:shd w:val="clear" w:color="000000" w:fill="1795D2"/>
            <w:tcMar>
              <w:left w:w="58" w:type="dxa"/>
              <w:right w:w="58" w:type="dxa"/>
            </w:tcMar>
            <w:vAlign w:val="center"/>
            <w:hideMark/>
          </w:tcPr>
          <w:p w14:paraId="5E216B0E"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State</w:t>
            </w:r>
          </w:p>
        </w:tc>
        <w:tc>
          <w:tcPr>
            <w:tcW w:w="960" w:type="dxa"/>
            <w:vMerge w:val="restart"/>
            <w:shd w:val="clear" w:color="000000" w:fill="1795D2"/>
            <w:tcMar>
              <w:left w:w="58" w:type="dxa"/>
              <w:right w:w="58" w:type="dxa"/>
            </w:tcMar>
            <w:vAlign w:val="center"/>
            <w:hideMark/>
          </w:tcPr>
          <w:p w14:paraId="4314DC6A"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 Load Zone</w:t>
            </w:r>
          </w:p>
        </w:tc>
        <w:tc>
          <w:tcPr>
            <w:tcW w:w="1265" w:type="dxa"/>
            <w:vMerge w:val="restart"/>
            <w:shd w:val="clear" w:color="000000" w:fill="1795D2"/>
            <w:tcMar>
              <w:left w:w="58" w:type="dxa"/>
              <w:right w:w="58" w:type="dxa"/>
            </w:tcMar>
            <w:vAlign w:val="center"/>
            <w:hideMark/>
          </w:tcPr>
          <w:p w14:paraId="1258B0AB"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Capacity</w:t>
            </w:r>
            <w:r w:rsidR="00050032">
              <w:rPr>
                <w:rFonts w:ascii="Calibri" w:eastAsia="Times New Roman" w:hAnsi="Calibri" w:cs="Calibri"/>
                <w:b/>
                <w:bCs/>
                <w:color w:val="FFFFFF"/>
                <w:sz w:val="18"/>
                <w:szCs w:val="18"/>
              </w:rPr>
              <w:t xml:space="preserve"> Rating (MW)</w:t>
            </w:r>
            <w:r w:rsidRPr="00D81202">
              <w:rPr>
                <w:rFonts w:ascii="Calibri" w:eastAsia="Times New Roman" w:hAnsi="Calibri" w:cs="Calibri"/>
                <w:b/>
                <w:bCs/>
                <w:color w:val="FFFFFF"/>
                <w:sz w:val="18"/>
                <w:szCs w:val="18"/>
                <w:vertAlign w:val="superscript"/>
              </w:rPr>
              <w:t>(b)</w:t>
            </w:r>
          </w:p>
        </w:tc>
        <w:tc>
          <w:tcPr>
            <w:tcW w:w="1615" w:type="dxa"/>
            <w:gridSpan w:val="2"/>
            <w:vMerge w:val="restart"/>
            <w:shd w:val="clear" w:color="000000" w:fill="1795D2"/>
            <w:tcMar>
              <w:left w:w="58" w:type="dxa"/>
              <w:right w:w="58" w:type="dxa"/>
            </w:tcMar>
            <w:vAlign w:val="center"/>
            <w:hideMark/>
          </w:tcPr>
          <w:p w14:paraId="6F7E41A5"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of</w:t>
            </w:r>
            <w:r w:rsidR="00050032">
              <w:rPr>
                <w:rFonts w:ascii="Calibri" w:eastAsia="Times New Roman" w:hAnsi="Calibri" w:cs="Calibri"/>
                <w:b/>
                <w:bCs/>
                <w:color w:val="FFFFFF"/>
                <w:sz w:val="18"/>
                <w:szCs w:val="18"/>
              </w:rPr>
              <w:t xml:space="preserve"> State</w:t>
            </w:r>
            <w:r>
              <w:rPr>
                <w:rFonts w:ascii="Calibri" w:eastAsia="Times New Roman" w:hAnsi="Calibri" w:cs="Calibri"/>
                <w:b/>
                <w:bCs/>
                <w:color w:val="FFFFFF"/>
                <w:sz w:val="18"/>
                <w:szCs w:val="18"/>
              </w:rPr>
              <w:br/>
            </w:r>
            <w:r w:rsidRPr="00D81202">
              <w:rPr>
                <w:rFonts w:ascii="Calibri" w:eastAsia="Times New Roman" w:hAnsi="Calibri" w:cs="Calibri"/>
                <w:b/>
                <w:bCs/>
                <w:color w:val="FFFFFF"/>
                <w:sz w:val="18"/>
                <w:szCs w:val="18"/>
              </w:rPr>
              <w:t>% of Load Zone</w:t>
            </w:r>
          </w:p>
        </w:tc>
      </w:tr>
      <w:tr w:rsidR="00A33BD4" w:rsidRPr="00D81202" w14:paraId="1DE86A06" w14:textId="77777777" w:rsidTr="005658C2">
        <w:trPr>
          <w:cantSplit/>
          <w:trHeight w:val="380"/>
          <w:jc w:val="center"/>
        </w:trPr>
        <w:tc>
          <w:tcPr>
            <w:tcW w:w="1337" w:type="dxa"/>
            <w:vMerge/>
            <w:tcBorders>
              <w:left w:val="single" w:sz="2" w:space="0" w:color="auto"/>
            </w:tcBorders>
            <w:shd w:val="clear" w:color="000000" w:fill="1795D2"/>
            <w:noWrap/>
            <w:tcMar>
              <w:left w:w="115" w:type="dxa"/>
              <w:right w:w="115" w:type="dxa"/>
            </w:tcMar>
            <w:vAlign w:val="center"/>
            <w:hideMark/>
          </w:tcPr>
          <w:p w14:paraId="50DFD3D8" w14:textId="77777777" w:rsidR="00A33BD4" w:rsidRPr="00D81202" w:rsidRDefault="00A33BD4" w:rsidP="005658C2">
            <w:pPr>
              <w:spacing w:before="20" w:after="20" w:line="240" w:lineRule="auto"/>
              <w:rPr>
                <w:rFonts w:ascii="Calibri" w:eastAsia="Times New Roman" w:hAnsi="Calibri" w:cs="Calibri"/>
                <w:color w:val="000000"/>
              </w:rPr>
            </w:pPr>
          </w:p>
        </w:tc>
        <w:tc>
          <w:tcPr>
            <w:tcW w:w="820" w:type="dxa"/>
            <w:vMerge/>
            <w:shd w:val="clear" w:color="000000" w:fill="1795D2"/>
            <w:noWrap/>
            <w:tcMar>
              <w:left w:w="115" w:type="dxa"/>
              <w:right w:w="115" w:type="dxa"/>
            </w:tcMar>
            <w:vAlign w:val="center"/>
            <w:hideMark/>
          </w:tcPr>
          <w:p w14:paraId="35CEF051" w14:textId="77777777" w:rsidR="00A33BD4" w:rsidRPr="00D81202" w:rsidRDefault="00A33BD4" w:rsidP="005658C2">
            <w:pPr>
              <w:spacing w:before="20" w:after="20" w:line="240" w:lineRule="auto"/>
              <w:rPr>
                <w:rFonts w:ascii="Calibri" w:eastAsia="Times New Roman" w:hAnsi="Calibri" w:cs="Calibri"/>
                <w:color w:val="000000"/>
              </w:rPr>
            </w:pPr>
          </w:p>
        </w:tc>
        <w:tc>
          <w:tcPr>
            <w:tcW w:w="1405" w:type="dxa"/>
            <w:vMerge/>
            <w:tcMar>
              <w:left w:w="115" w:type="dxa"/>
              <w:right w:w="115" w:type="dxa"/>
            </w:tcMar>
            <w:vAlign w:val="center"/>
            <w:hideMark/>
          </w:tcPr>
          <w:p w14:paraId="5EE62E03" w14:textId="77777777"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960" w:type="dxa"/>
            <w:vMerge/>
            <w:shd w:val="clear" w:color="000000" w:fill="1795D2"/>
            <w:tcMar>
              <w:left w:w="115" w:type="dxa"/>
              <w:right w:w="115" w:type="dxa"/>
            </w:tcMar>
            <w:vAlign w:val="center"/>
            <w:hideMark/>
          </w:tcPr>
          <w:p w14:paraId="3F801A15" w14:textId="77777777" w:rsidR="00A33BD4" w:rsidRPr="00D81202" w:rsidRDefault="00A33BD4" w:rsidP="005658C2">
            <w:pPr>
              <w:spacing w:before="20" w:after="20" w:line="240" w:lineRule="auto"/>
              <w:jc w:val="center"/>
              <w:rPr>
                <w:rFonts w:ascii="Calibri" w:eastAsia="Times New Roman" w:hAnsi="Calibri" w:cs="Calibri"/>
                <w:b/>
                <w:bCs/>
                <w:color w:val="FFFFFF"/>
                <w:sz w:val="18"/>
                <w:szCs w:val="18"/>
              </w:rPr>
            </w:pPr>
          </w:p>
        </w:tc>
        <w:tc>
          <w:tcPr>
            <w:tcW w:w="960" w:type="dxa"/>
            <w:vMerge/>
            <w:tcMar>
              <w:left w:w="115" w:type="dxa"/>
              <w:right w:w="115" w:type="dxa"/>
            </w:tcMar>
            <w:vAlign w:val="center"/>
            <w:hideMark/>
          </w:tcPr>
          <w:p w14:paraId="30756E2C" w14:textId="77777777"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265" w:type="dxa"/>
            <w:vMerge/>
            <w:tcMar>
              <w:left w:w="115" w:type="dxa"/>
              <w:right w:w="115" w:type="dxa"/>
            </w:tcMar>
            <w:vAlign w:val="center"/>
            <w:hideMark/>
          </w:tcPr>
          <w:p w14:paraId="24105FF5" w14:textId="77777777" w:rsidR="00A33BD4" w:rsidRPr="00D81202" w:rsidRDefault="00A33BD4" w:rsidP="005658C2">
            <w:pPr>
              <w:spacing w:before="20" w:after="20" w:line="240" w:lineRule="auto"/>
              <w:rPr>
                <w:rFonts w:ascii="Calibri" w:eastAsia="Times New Roman" w:hAnsi="Calibri" w:cs="Calibri"/>
                <w:b/>
                <w:bCs/>
                <w:color w:val="FFFFFF"/>
                <w:sz w:val="18"/>
                <w:szCs w:val="18"/>
              </w:rPr>
            </w:pPr>
          </w:p>
        </w:tc>
        <w:tc>
          <w:tcPr>
            <w:tcW w:w="1615" w:type="dxa"/>
            <w:gridSpan w:val="2"/>
            <w:vMerge/>
            <w:shd w:val="clear" w:color="000000" w:fill="1795D2"/>
            <w:tcMar>
              <w:left w:w="115" w:type="dxa"/>
              <w:right w:w="115" w:type="dxa"/>
            </w:tcMar>
            <w:vAlign w:val="center"/>
            <w:hideMark/>
          </w:tcPr>
          <w:p w14:paraId="233E08E8" w14:textId="77777777" w:rsidR="00A33BD4" w:rsidRPr="00D81202" w:rsidRDefault="00A33BD4" w:rsidP="005658C2">
            <w:pPr>
              <w:spacing w:before="20" w:after="20" w:line="240" w:lineRule="auto"/>
              <w:rPr>
                <w:rFonts w:ascii="Calibri" w:eastAsia="Times New Roman" w:hAnsi="Calibri" w:cs="Calibri"/>
                <w:b/>
                <w:bCs/>
                <w:color w:val="FFFFFF"/>
                <w:sz w:val="18"/>
                <w:szCs w:val="18"/>
              </w:rPr>
            </w:pPr>
          </w:p>
        </w:tc>
      </w:tr>
      <w:tr w:rsidR="00050032" w:rsidRPr="00D81202" w14:paraId="091033D9" w14:textId="77777777"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14:paraId="7838356D"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Maine</w:t>
            </w:r>
          </w:p>
        </w:tc>
        <w:tc>
          <w:tcPr>
            <w:tcW w:w="820" w:type="dxa"/>
            <w:shd w:val="clear" w:color="auto" w:fill="auto"/>
            <w:noWrap/>
            <w:tcMar>
              <w:left w:w="115" w:type="dxa"/>
              <w:right w:w="115" w:type="dxa"/>
            </w:tcMar>
            <w:vAlign w:val="center"/>
            <w:hideMark/>
          </w:tcPr>
          <w:p w14:paraId="1F66A138"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auto" w:fill="auto"/>
            <w:noWrap/>
            <w:tcMar>
              <w:left w:w="115" w:type="dxa"/>
              <w:right w:w="115" w:type="dxa"/>
            </w:tcMar>
            <w:vAlign w:val="center"/>
            <w:hideMark/>
          </w:tcPr>
          <w:p w14:paraId="3F43965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3,067</w:t>
            </w:r>
          </w:p>
        </w:tc>
        <w:tc>
          <w:tcPr>
            <w:tcW w:w="960" w:type="dxa"/>
            <w:shd w:val="clear" w:color="auto" w:fill="auto"/>
            <w:noWrap/>
            <w:tcMar>
              <w:left w:w="115" w:type="dxa"/>
              <w:right w:w="115" w:type="dxa"/>
            </w:tcMar>
            <w:vAlign w:val="center"/>
            <w:hideMark/>
          </w:tcPr>
          <w:p w14:paraId="1EEA8B6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auto" w:fill="auto"/>
            <w:noWrap/>
            <w:tcMar>
              <w:left w:w="115" w:type="dxa"/>
              <w:right w:w="115" w:type="dxa"/>
            </w:tcMar>
            <w:vAlign w:val="center"/>
            <w:hideMark/>
          </w:tcPr>
          <w:p w14:paraId="26F1B59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auto" w:fill="auto"/>
            <w:noWrap/>
            <w:tcMar>
              <w:left w:w="115" w:type="dxa"/>
              <w:right w:w="115" w:type="dxa"/>
            </w:tcMar>
            <w:vAlign w:val="center"/>
            <w:hideMark/>
          </w:tcPr>
          <w:p w14:paraId="21CF77C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3,703</w:t>
            </w:r>
          </w:p>
        </w:tc>
        <w:tc>
          <w:tcPr>
            <w:tcW w:w="810" w:type="dxa"/>
            <w:shd w:val="clear" w:color="auto" w:fill="auto"/>
            <w:noWrap/>
            <w:tcMar>
              <w:left w:w="115" w:type="dxa"/>
              <w:right w:w="115" w:type="dxa"/>
            </w:tcMar>
            <w:vAlign w:val="center"/>
            <w:hideMark/>
          </w:tcPr>
          <w:p w14:paraId="2F321F86"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auto" w:fill="auto"/>
            <w:noWrap/>
            <w:tcMar>
              <w:left w:w="115" w:type="dxa"/>
              <w:right w:w="115" w:type="dxa"/>
            </w:tcMar>
            <w:vAlign w:val="center"/>
            <w:hideMark/>
          </w:tcPr>
          <w:p w14:paraId="30F02D8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14:paraId="7F4EEE12"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4DA1B318"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14:paraId="4F608073"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14:paraId="442CA8B9"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w:t>
            </w:r>
          </w:p>
        </w:tc>
        <w:tc>
          <w:tcPr>
            <w:tcW w:w="960" w:type="dxa"/>
            <w:shd w:val="clear" w:color="auto" w:fill="auto"/>
            <w:noWrap/>
            <w:tcMar>
              <w:left w:w="115" w:type="dxa"/>
              <w:right w:w="115" w:type="dxa"/>
            </w:tcMar>
            <w:vAlign w:val="center"/>
            <w:hideMark/>
          </w:tcPr>
          <w:p w14:paraId="00519F19"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auto" w:fill="auto"/>
            <w:noWrap/>
            <w:tcMar>
              <w:left w:w="115" w:type="dxa"/>
              <w:right w:w="115" w:type="dxa"/>
            </w:tcMar>
            <w:vAlign w:val="center"/>
            <w:hideMark/>
          </w:tcPr>
          <w:p w14:paraId="5651260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auto" w:fill="auto"/>
            <w:noWrap/>
            <w:tcMar>
              <w:left w:w="115" w:type="dxa"/>
              <w:right w:w="115" w:type="dxa"/>
            </w:tcMar>
            <w:vAlign w:val="center"/>
            <w:hideMark/>
          </w:tcPr>
          <w:p w14:paraId="022D7B66"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10" w:type="dxa"/>
            <w:shd w:val="clear" w:color="auto" w:fill="auto"/>
            <w:noWrap/>
            <w:tcMar>
              <w:left w:w="115" w:type="dxa"/>
              <w:right w:w="115" w:type="dxa"/>
            </w:tcMar>
            <w:vAlign w:val="center"/>
            <w:hideMark/>
          </w:tcPr>
          <w:p w14:paraId="25E39C2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auto" w:fill="auto"/>
            <w:noWrap/>
            <w:tcMar>
              <w:left w:w="115" w:type="dxa"/>
              <w:right w:w="115" w:type="dxa"/>
            </w:tcMar>
            <w:vAlign w:val="center"/>
            <w:hideMark/>
          </w:tcPr>
          <w:p w14:paraId="27EB0C98"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14:paraId="53F6A3E9" w14:textId="77777777"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14:paraId="121013FD"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14:paraId="0DDB96AC"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14:paraId="3C2FFC15"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3,067</w:t>
            </w:r>
          </w:p>
        </w:tc>
        <w:tc>
          <w:tcPr>
            <w:tcW w:w="960" w:type="dxa"/>
            <w:shd w:val="clear" w:color="auto" w:fill="auto"/>
            <w:noWrap/>
            <w:tcMar>
              <w:left w:w="115" w:type="dxa"/>
              <w:right w:w="115" w:type="dxa"/>
            </w:tcMar>
            <w:vAlign w:val="center"/>
            <w:hideMark/>
          </w:tcPr>
          <w:p w14:paraId="17E682E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14:paraId="01399B03"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14:paraId="19FC7E8F"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3,703</w:t>
            </w:r>
          </w:p>
        </w:tc>
        <w:tc>
          <w:tcPr>
            <w:tcW w:w="810" w:type="dxa"/>
            <w:shd w:val="clear" w:color="auto" w:fill="auto"/>
            <w:noWrap/>
            <w:tcMar>
              <w:left w:w="115" w:type="dxa"/>
              <w:right w:w="115" w:type="dxa"/>
            </w:tcMar>
            <w:vAlign w:val="center"/>
            <w:hideMark/>
          </w:tcPr>
          <w:p w14:paraId="068FFDD5"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14:paraId="5D09971A"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14:paraId="53F21C67" w14:textId="77777777" w:rsidTr="005658C2">
        <w:trPr>
          <w:cantSplit/>
          <w:trHeight w:val="20"/>
          <w:jc w:val="center"/>
        </w:trPr>
        <w:tc>
          <w:tcPr>
            <w:tcW w:w="1337" w:type="dxa"/>
            <w:vMerge w:val="restart"/>
            <w:tcBorders>
              <w:left w:val="single" w:sz="2" w:space="0" w:color="auto"/>
            </w:tcBorders>
            <w:shd w:val="clear" w:color="000000" w:fill="CDEBFA"/>
            <w:noWrap/>
            <w:tcMar>
              <w:left w:w="115" w:type="dxa"/>
              <w:right w:w="115" w:type="dxa"/>
            </w:tcMar>
            <w:vAlign w:val="center"/>
            <w:hideMark/>
          </w:tcPr>
          <w:p w14:paraId="37FB1389"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New Hampshire</w:t>
            </w:r>
          </w:p>
        </w:tc>
        <w:tc>
          <w:tcPr>
            <w:tcW w:w="820" w:type="dxa"/>
            <w:shd w:val="clear" w:color="000000" w:fill="CDEBFA"/>
            <w:noWrap/>
            <w:tcMar>
              <w:left w:w="115" w:type="dxa"/>
              <w:right w:w="115" w:type="dxa"/>
            </w:tcMar>
            <w:vAlign w:val="center"/>
            <w:hideMark/>
          </w:tcPr>
          <w:p w14:paraId="36294C35"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ME</w:t>
            </w:r>
          </w:p>
        </w:tc>
        <w:tc>
          <w:tcPr>
            <w:tcW w:w="1405" w:type="dxa"/>
            <w:shd w:val="clear" w:color="000000" w:fill="CDEBFA"/>
            <w:noWrap/>
            <w:tcMar>
              <w:left w:w="115" w:type="dxa"/>
              <w:right w:w="115" w:type="dxa"/>
            </w:tcMar>
            <w:vAlign w:val="center"/>
            <w:hideMark/>
          </w:tcPr>
          <w:p w14:paraId="695D542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14:paraId="3C71961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960" w:type="dxa"/>
            <w:shd w:val="clear" w:color="000000" w:fill="CDEBFA"/>
            <w:noWrap/>
            <w:tcMar>
              <w:left w:w="115" w:type="dxa"/>
              <w:right w:w="115" w:type="dxa"/>
            </w:tcMar>
            <w:vAlign w:val="center"/>
            <w:hideMark/>
          </w:tcPr>
          <w:p w14:paraId="6C989061"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1265" w:type="dxa"/>
            <w:shd w:val="clear" w:color="000000" w:fill="CDEBFA"/>
            <w:noWrap/>
            <w:tcMar>
              <w:left w:w="115" w:type="dxa"/>
              <w:right w:w="115" w:type="dxa"/>
            </w:tcMar>
            <w:vAlign w:val="center"/>
            <w:hideMark/>
          </w:tcPr>
          <w:p w14:paraId="33E7BBC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810" w:type="dxa"/>
            <w:shd w:val="clear" w:color="000000" w:fill="CDEBFA"/>
            <w:noWrap/>
            <w:tcMar>
              <w:left w:w="115" w:type="dxa"/>
              <w:right w:w="115" w:type="dxa"/>
            </w:tcMar>
            <w:vAlign w:val="center"/>
            <w:hideMark/>
          </w:tcPr>
          <w:p w14:paraId="5C1B490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c>
          <w:tcPr>
            <w:tcW w:w="805" w:type="dxa"/>
            <w:shd w:val="clear" w:color="000000" w:fill="CDEBFA"/>
            <w:noWrap/>
            <w:tcMar>
              <w:left w:w="115" w:type="dxa"/>
              <w:right w:w="115" w:type="dxa"/>
            </w:tcMar>
            <w:vAlign w:val="center"/>
            <w:hideMark/>
          </w:tcPr>
          <w:p w14:paraId="1DCCC6C4"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0</w:t>
            </w:r>
          </w:p>
        </w:tc>
      </w:tr>
      <w:tr w:rsidR="00050032" w:rsidRPr="00D81202" w14:paraId="77578189"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0A387509"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14:paraId="32EE970A"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000000" w:fill="CDEBFA"/>
            <w:noWrap/>
            <w:tcMar>
              <w:left w:w="115" w:type="dxa"/>
              <w:right w:w="115" w:type="dxa"/>
            </w:tcMar>
            <w:vAlign w:val="center"/>
            <w:hideMark/>
          </w:tcPr>
          <w:p w14:paraId="06251A07"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4,153</w:t>
            </w:r>
          </w:p>
        </w:tc>
        <w:tc>
          <w:tcPr>
            <w:tcW w:w="960" w:type="dxa"/>
            <w:shd w:val="clear" w:color="000000" w:fill="CDEBFA"/>
            <w:noWrap/>
            <w:tcMar>
              <w:left w:w="115" w:type="dxa"/>
              <w:right w:w="115" w:type="dxa"/>
            </w:tcMar>
            <w:vAlign w:val="center"/>
            <w:hideMark/>
          </w:tcPr>
          <w:p w14:paraId="58642548"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960" w:type="dxa"/>
            <w:shd w:val="clear" w:color="000000" w:fill="CDEBFA"/>
            <w:noWrap/>
            <w:tcMar>
              <w:left w:w="115" w:type="dxa"/>
              <w:right w:w="115" w:type="dxa"/>
            </w:tcMar>
            <w:vAlign w:val="center"/>
            <w:hideMark/>
          </w:tcPr>
          <w:p w14:paraId="14F7117A"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14:paraId="6566326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4,398</w:t>
            </w:r>
          </w:p>
        </w:tc>
        <w:tc>
          <w:tcPr>
            <w:tcW w:w="810" w:type="dxa"/>
            <w:shd w:val="clear" w:color="000000" w:fill="CDEBFA"/>
            <w:noWrap/>
            <w:tcMar>
              <w:left w:w="115" w:type="dxa"/>
              <w:right w:w="115" w:type="dxa"/>
            </w:tcMar>
            <w:vAlign w:val="center"/>
            <w:hideMark/>
          </w:tcPr>
          <w:p w14:paraId="1CA7DB3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805" w:type="dxa"/>
            <w:shd w:val="clear" w:color="000000" w:fill="CDEBFA"/>
            <w:noWrap/>
            <w:tcMar>
              <w:left w:w="115" w:type="dxa"/>
              <w:right w:w="115" w:type="dxa"/>
            </w:tcMar>
            <w:vAlign w:val="center"/>
            <w:hideMark/>
          </w:tcPr>
          <w:p w14:paraId="6E92230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14:paraId="13833124"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73116079"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14:paraId="7CAEFDF6"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000000" w:fill="CDEBFA"/>
            <w:noWrap/>
            <w:tcMar>
              <w:left w:w="115" w:type="dxa"/>
              <w:right w:w="115" w:type="dxa"/>
            </w:tcMar>
            <w:vAlign w:val="center"/>
            <w:hideMark/>
          </w:tcPr>
          <w:p w14:paraId="6051B7E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960" w:type="dxa"/>
            <w:shd w:val="clear" w:color="000000" w:fill="CDEBFA"/>
            <w:noWrap/>
            <w:tcMar>
              <w:left w:w="115" w:type="dxa"/>
              <w:right w:w="115" w:type="dxa"/>
            </w:tcMar>
            <w:vAlign w:val="center"/>
            <w:hideMark/>
          </w:tcPr>
          <w:p w14:paraId="3A083A2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 &lt;1 </w:t>
            </w:r>
          </w:p>
        </w:tc>
        <w:tc>
          <w:tcPr>
            <w:tcW w:w="960" w:type="dxa"/>
            <w:shd w:val="clear" w:color="000000" w:fill="CDEBFA"/>
            <w:noWrap/>
            <w:tcMar>
              <w:left w:w="115" w:type="dxa"/>
              <w:right w:w="115" w:type="dxa"/>
            </w:tcMar>
            <w:vAlign w:val="center"/>
            <w:hideMark/>
          </w:tcPr>
          <w:p w14:paraId="68AB0CC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c>
          <w:tcPr>
            <w:tcW w:w="1265" w:type="dxa"/>
            <w:shd w:val="clear" w:color="000000" w:fill="CDEBFA"/>
            <w:noWrap/>
            <w:tcMar>
              <w:left w:w="115" w:type="dxa"/>
              <w:right w:w="115" w:type="dxa"/>
            </w:tcMar>
            <w:vAlign w:val="center"/>
            <w:hideMark/>
          </w:tcPr>
          <w:p w14:paraId="05172E9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w:t>
            </w:r>
          </w:p>
        </w:tc>
        <w:tc>
          <w:tcPr>
            <w:tcW w:w="810" w:type="dxa"/>
            <w:shd w:val="clear" w:color="000000" w:fill="CDEBFA"/>
            <w:noWrap/>
            <w:tcMar>
              <w:left w:w="115" w:type="dxa"/>
              <w:right w:w="115" w:type="dxa"/>
            </w:tcMar>
            <w:vAlign w:val="center"/>
            <w:hideMark/>
          </w:tcPr>
          <w:p w14:paraId="656395C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14:paraId="38759FE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w:t>
            </w:r>
          </w:p>
        </w:tc>
      </w:tr>
      <w:tr w:rsidR="00050032" w:rsidRPr="00D81202" w14:paraId="73B5B412" w14:textId="77777777"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14:paraId="2B00E09C"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14:paraId="5BB592CB"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14:paraId="5FCD5295"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4,155</w:t>
            </w:r>
          </w:p>
        </w:tc>
        <w:tc>
          <w:tcPr>
            <w:tcW w:w="960" w:type="dxa"/>
            <w:shd w:val="clear" w:color="000000" w:fill="CDEBFA"/>
            <w:noWrap/>
            <w:tcMar>
              <w:left w:w="115" w:type="dxa"/>
              <w:right w:w="115" w:type="dxa"/>
            </w:tcMar>
            <w:vAlign w:val="center"/>
            <w:hideMark/>
          </w:tcPr>
          <w:p w14:paraId="62E5F9FD"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14:paraId="2BB45346"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14:paraId="3FEB81A4"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4,403 </w:t>
            </w:r>
          </w:p>
        </w:tc>
        <w:tc>
          <w:tcPr>
            <w:tcW w:w="810" w:type="dxa"/>
            <w:shd w:val="clear" w:color="000000" w:fill="CDEBFA"/>
            <w:noWrap/>
            <w:tcMar>
              <w:left w:w="115" w:type="dxa"/>
              <w:right w:w="115" w:type="dxa"/>
            </w:tcMar>
            <w:vAlign w:val="center"/>
            <w:hideMark/>
          </w:tcPr>
          <w:p w14:paraId="48D948EB"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14:paraId="52CF3F21"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14:paraId="387969D8" w14:textId="77777777" w:rsidTr="005658C2">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14:paraId="1CCA03A3"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Vermont</w:t>
            </w:r>
          </w:p>
        </w:tc>
        <w:tc>
          <w:tcPr>
            <w:tcW w:w="820" w:type="dxa"/>
            <w:shd w:val="clear" w:color="auto" w:fill="auto"/>
            <w:noWrap/>
            <w:tcMar>
              <w:left w:w="115" w:type="dxa"/>
              <w:right w:w="115" w:type="dxa"/>
            </w:tcMar>
            <w:vAlign w:val="center"/>
            <w:hideMark/>
          </w:tcPr>
          <w:p w14:paraId="0CFA49AD"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NH</w:t>
            </w:r>
          </w:p>
        </w:tc>
        <w:tc>
          <w:tcPr>
            <w:tcW w:w="1405" w:type="dxa"/>
            <w:shd w:val="clear" w:color="auto" w:fill="auto"/>
            <w:noWrap/>
            <w:tcMar>
              <w:left w:w="115" w:type="dxa"/>
              <w:right w:w="115" w:type="dxa"/>
            </w:tcMar>
            <w:vAlign w:val="center"/>
            <w:hideMark/>
          </w:tcPr>
          <w:p w14:paraId="78E933E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88</w:t>
            </w:r>
          </w:p>
        </w:tc>
        <w:tc>
          <w:tcPr>
            <w:tcW w:w="960" w:type="dxa"/>
            <w:shd w:val="clear" w:color="auto" w:fill="auto"/>
            <w:noWrap/>
            <w:tcMar>
              <w:left w:w="115" w:type="dxa"/>
              <w:right w:w="115" w:type="dxa"/>
            </w:tcMar>
            <w:vAlign w:val="center"/>
            <w:hideMark/>
          </w:tcPr>
          <w:p w14:paraId="257A399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21</w:t>
            </w:r>
          </w:p>
        </w:tc>
        <w:tc>
          <w:tcPr>
            <w:tcW w:w="960" w:type="dxa"/>
            <w:shd w:val="clear" w:color="auto" w:fill="auto"/>
            <w:noWrap/>
            <w:tcMar>
              <w:left w:w="115" w:type="dxa"/>
              <w:right w:w="115" w:type="dxa"/>
            </w:tcMar>
            <w:vAlign w:val="center"/>
            <w:hideMark/>
          </w:tcPr>
          <w:p w14:paraId="5D00CAC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14:paraId="0270C5A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88 </w:t>
            </w:r>
          </w:p>
        </w:tc>
        <w:tc>
          <w:tcPr>
            <w:tcW w:w="810" w:type="dxa"/>
            <w:shd w:val="clear" w:color="auto" w:fill="auto"/>
            <w:noWrap/>
            <w:tcMar>
              <w:left w:w="115" w:type="dxa"/>
              <w:right w:w="115" w:type="dxa"/>
            </w:tcMar>
            <w:vAlign w:val="center"/>
            <w:hideMark/>
          </w:tcPr>
          <w:p w14:paraId="3B5AA34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17</w:t>
            </w:r>
          </w:p>
        </w:tc>
        <w:tc>
          <w:tcPr>
            <w:tcW w:w="805" w:type="dxa"/>
            <w:shd w:val="clear" w:color="auto" w:fill="auto"/>
            <w:noWrap/>
            <w:tcMar>
              <w:left w:w="115" w:type="dxa"/>
              <w:right w:w="115" w:type="dxa"/>
            </w:tcMar>
            <w:vAlign w:val="center"/>
            <w:hideMark/>
          </w:tcPr>
          <w:p w14:paraId="1F37BDCF"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14:paraId="47D37AEA"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24DE4D6D"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auto" w:fill="auto"/>
            <w:noWrap/>
            <w:tcMar>
              <w:left w:w="115" w:type="dxa"/>
              <w:right w:w="115" w:type="dxa"/>
            </w:tcMar>
            <w:vAlign w:val="center"/>
            <w:hideMark/>
          </w:tcPr>
          <w:p w14:paraId="7F4D0CC9"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VT</w:t>
            </w:r>
          </w:p>
        </w:tc>
        <w:tc>
          <w:tcPr>
            <w:tcW w:w="1405" w:type="dxa"/>
            <w:shd w:val="clear" w:color="auto" w:fill="auto"/>
            <w:noWrap/>
            <w:tcMar>
              <w:left w:w="115" w:type="dxa"/>
              <w:right w:w="115" w:type="dxa"/>
            </w:tcMar>
            <w:vAlign w:val="center"/>
            <w:hideMark/>
          </w:tcPr>
          <w:p w14:paraId="49F0721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260</w:t>
            </w:r>
          </w:p>
        </w:tc>
        <w:tc>
          <w:tcPr>
            <w:tcW w:w="960" w:type="dxa"/>
            <w:shd w:val="clear" w:color="auto" w:fill="auto"/>
            <w:noWrap/>
            <w:tcMar>
              <w:left w:w="115" w:type="dxa"/>
              <w:right w:w="115" w:type="dxa"/>
            </w:tcMar>
            <w:vAlign w:val="center"/>
            <w:hideMark/>
          </w:tcPr>
          <w:p w14:paraId="28555B3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61</w:t>
            </w:r>
          </w:p>
        </w:tc>
        <w:tc>
          <w:tcPr>
            <w:tcW w:w="960" w:type="dxa"/>
            <w:shd w:val="clear" w:color="auto" w:fill="auto"/>
            <w:noWrap/>
            <w:tcMar>
              <w:left w:w="115" w:type="dxa"/>
              <w:right w:w="115" w:type="dxa"/>
            </w:tcMar>
            <w:vAlign w:val="center"/>
            <w:hideMark/>
          </w:tcPr>
          <w:p w14:paraId="6D99CAD6"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c>
          <w:tcPr>
            <w:tcW w:w="1265" w:type="dxa"/>
            <w:shd w:val="clear" w:color="auto" w:fill="auto"/>
            <w:noWrap/>
            <w:tcMar>
              <w:left w:w="115" w:type="dxa"/>
              <w:right w:w="115" w:type="dxa"/>
            </w:tcMar>
            <w:vAlign w:val="center"/>
            <w:hideMark/>
          </w:tcPr>
          <w:p w14:paraId="40075CD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362 </w:t>
            </w:r>
          </w:p>
        </w:tc>
        <w:tc>
          <w:tcPr>
            <w:tcW w:w="810" w:type="dxa"/>
            <w:shd w:val="clear" w:color="auto" w:fill="auto"/>
            <w:noWrap/>
            <w:tcMar>
              <w:left w:w="115" w:type="dxa"/>
              <w:right w:w="115" w:type="dxa"/>
            </w:tcMar>
            <w:vAlign w:val="center"/>
            <w:hideMark/>
          </w:tcPr>
          <w:p w14:paraId="7582847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69</w:t>
            </w:r>
          </w:p>
        </w:tc>
        <w:tc>
          <w:tcPr>
            <w:tcW w:w="805" w:type="dxa"/>
            <w:shd w:val="clear" w:color="auto" w:fill="auto"/>
            <w:noWrap/>
            <w:tcMar>
              <w:left w:w="115" w:type="dxa"/>
              <w:right w:w="115" w:type="dxa"/>
            </w:tcMar>
            <w:vAlign w:val="center"/>
            <w:hideMark/>
          </w:tcPr>
          <w:p w14:paraId="2B21B96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99</w:t>
            </w:r>
          </w:p>
        </w:tc>
      </w:tr>
      <w:tr w:rsidR="00050032" w:rsidRPr="00D81202" w14:paraId="5E5C7DFC"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171F4790"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14:paraId="26093003"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auto" w:fill="auto"/>
            <w:noWrap/>
            <w:tcMar>
              <w:left w:w="115" w:type="dxa"/>
              <w:right w:w="115" w:type="dxa"/>
            </w:tcMar>
            <w:vAlign w:val="center"/>
            <w:hideMark/>
          </w:tcPr>
          <w:p w14:paraId="4983AE9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77</w:t>
            </w:r>
          </w:p>
        </w:tc>
        <w:tc>
          <w:tcPr>
            <w:tcW w:w="960" w:type="dxa"/>
            <w:shd w:val="clear" w:color="auto" w:fill="auto"/>
            <w:noWrap/>
            <w:tcMar>
              <w:left w:w="115" w:type="dxa"/>
              <w:right w:w="115" w:type="dxa"/>
            </w:tcMar>
            <w:vAlign w:val="center"/>
            <w:hideMark/>
          </w:tcPr>
          <w:p w14:paraId="5BCEC0D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18</w:t>
            </w:r>
          </w:p>
        </w:tc>
        <w:tc>
          <w:tcPr>
            <w:tcW w:w="960" w:type="dxa"/>
            <w:shd w:val="clear" w:color="auto" w:fill="auto"/>
            <w:noWrap/>
            <w:tcMar>
              <w:left w:w="115" w:type="dxa"/>
              <w:right w:w="115" w:type="dxa"/>
            </w:tcMar>
            <w:vAlign w:val="center"/>
            <w:hideMark/>
          </w:tcPr>
          <w:p w14:paraId="25C898A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1265" w:type="dxa"/>
            <w:shd w:val="clear" w:color="auto" w:fill="auto"/>
            <w:noWrap/>
            <w:tcMar>
              <w:left w:w="115" w:type="dxa"/>
              <w:right w:w="115" w:type="dxa"/>
            </w:tcMar>
            <w:vAlign w:val="center"/>
            <w:hideMark/>
          </w:tcPr>
          <w:p w14:paraId="1B940586"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76 </w:t>
            </w:r>
          </w:p>
        </w:tc>
        <w:tc>
          <w:tcPr>
            <w:tcW w:w="810" w:type="dxa"/>
            <w:shd w:val="clear" w:color="auto" w:fill="auto"/>
            <w:noWrap/>
            <w:tcMar>
              <w:left w:w="115" w:type="dxa"/>
              <w:right w:w="115" w:type="dxa"/>
            </w:tcMar>
            <w:vAlign w:val="center"/>
            <w:hideMark/>
          </w:tcPr>
          <w:p w14:paraId="18A49F87"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14</w:t>
            </w:r>
          </w:p>
        </w:tc>
        <w:tc>
          <w:tcPr>
            <w:tcW w:w="805" w:type="dxa"/>
            <w:shd w:val="clear" w:color="auto" w:fill="auto"/>
            <w:noWrap/>
            <w:tcMar>
              <w:left w:w="115" w:type="dxa"/>
              <w:right w:w="115" w:type="dxa"/>
            </w:tcMar>
            <w:vAlign w:val="center"/>
            <w:hideMark/>
          </w:tcPr>
          <w:p w14:paraId="7E88BA3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r>
      <w:tr w:rsidR="00050032" w:rsidRPr="00D81202" w14:paraId="712B79B1" w14:textId="77777777"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14:paraId="1D5A1AC5"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auto" w:fill="auto"/>
            <w:noWrap/>
            <w:tcMar>
              <w:left w:w="115" w:type="dxa"/>
              <w:right w:w="115" w:type="dxa"/>
            </w:tcMar>
            <w:vAlign w:val="center"/>
            <w:hideMark/>
          </w:tcPr>
          <w:p w14:paraId="24C1B276"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auto" w:fill="auto"/>
            <w:noWrap/>
            <w:tcMar>
              <w:left w:w="115" w:type="dxa"/>
              <w:right w:w="115" w:type="dxa"/>
            </w:tcMar>
            <w:vAlign w:val="center"/>
            <w:hideMark/>
          </w:tcPr>
          <w:p w14:paraId="35E829D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426</w:t>
            </w:r>
          </w:p>
        </w:tc>
        <w:tc>
          <w:tcPr>
            <w:tcW w:w="960" w:type="dxa"/>
            <w:shd w:val="clear" w:color="auto" w:fill="auto"/>
            <w:noWrap/>
            <w:tcMar>
              <w:left w:w="115" w:type="dxa"/>
              <w:right w:w="115" w:type="dxa"/>
            </w:tcMar>
            <w:vAlign w:val="center"/>
            <w:hideMark/>
          </w:tcPr>
          <w:p w14:paraId="269AEAB0"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14:paraId="202A2EE4"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auto" w:fill="auto"/>
            <w:noWrap/>
            <w:tcMar>
              <w:left w:w="115" w:type="dxa"/>
              <w:right w:w="115" w:type="dxa"/>
            </w:tcMar>
            <w:vAlign w:val="center"/>
            <w:hideMark/>
          </w:tcPr>
          <w:p w14:paraId="0D55A936"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527 </w:t>
            </w:r>
          </w:p>
        </w:tc>
        <w:tc>
          <w:tcPr>
            <w:tcW w:w="810" w:type="dxa"/>
            <w:shd w:val="clear" w:color="auto" w:fill="auto"/>
            <w:noWrap/>
            <w:tcMar>
              <w:left w:w="115" w:type="dxa"/>
              <w:right w:w="115" w:type="dxa"/>
            </w:tcMar>
            <w:vAlign w:val="center"/>
            <w:hideMark/>
          </w:tcPr>
          <w:p w14:paraId="2A4941ED"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14:paraId="5772FB9C"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14:paraId="646B822C" w14:textId="77777777" w:rsidTr="005658C2">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14:paraId="2BE87C54"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Massachusetts</w:t>
            </w:r>
          </w:p>
        </w:tc>
        <w:tc>
          <w:tcPr>
            <w:tcW w:w="820" w:type="dxa"/>
            <w:shd w:val="clear" w:color="000000" w:fill="CDEBFA"/>
            <w:noWrap/>
            <w:tcMar>
              <w:left w:w="115" w:type="dxa"/>
              <w:right w:w="115" w:type="dxa"/>
            </w:tcMar>
            <w:vAlign w:val="center"/>
            <w:hideMark/>
          </w:tcPr>
          <w:p w14:paraId="10F67444"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NEMA </w:t>
            </w:r>
          </w:p>
        </w:tc>
        <w:tc>
          <w:tcPr>
            <w:tcW w:w="1405" w:type="dxa"/>
            <w:shd w:val="clear" w:color="000000" w:fill="CDEBFA"/>
            <w:noWrap/>
            <w:tcMar>
              <w:left w:w="115" w:type="dxa"/>
              <w:right w:w="115" w:type="dxa"/>
            </w:tcMar>
            <w:vAlign w:val="center"/>
            <w:hideMark/>
          </w:tcPr>
          <w:p w14:paraId="59D70EB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3,335</w:t>
            </w:r>
          </w:p>
        </w:tc>
        <w:tc>
          <w:tcPr>
            <w:tcW w:w="960" w:type="dxa"/>
            <w:shd w:val="clear" w:color="000000" w:fill="CDEBFA"/>
            <w:noWrap/>
            <w:tcMar>
              <w:left w:w="115" w:type="dxa"/>
              <w:right w:w="115" w:type="dxa"/>
            </w:tcMar>
            <w:vAlign w:val="center"/>
            <w:hideMark/>
          </w:tcPr>
          <w:p w14:paraId="2A5BB322"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28</w:t>
            </w:r>
          </w:p>
        </w:tc>
        <w:tc>
          <w:tcPr>
            <w:tcW w:w="960" w:type="dxa"/>
            <w:shd w:val="clear" w:color="000000" w:fill="CDEBFA"/>
            <w:noWrap/>
            <w:tcMar>
              <w:left w:w="115" w:type="dxa"/>
              <w:right w:w="115" w:type="dxa"/>
            </w:tcMar>
            <w:vAlign w:val="center"/>
            <w:hideMark/>
          </w:tcPr>
          <w:p w14:paraId="1AF3EB7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14:paraId="1A9D9624"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3,720 </w:t>
            </w:r>
          </w:p>
        </w:tc>
        <w:tc>
          <w:tcPr>
            <w:tcW w:w="810" w:type="dxa"/>
            <w:shd w:val="clear" w:color="000000" w:fill="CDEBFA"/>
            <w:noWrap/>
            <w:tcMar>
              <w:left w:w="115" w:type="dxa"/>
              <w:right w:w="115" w:type="dxa"/>
            </w:tcMar>
            <w:vAlign w:val="center"/>
            <w:hideMark/>
          </w:tcPr>
          <w:p w14:paraId="2A95AF5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29</w:t>
            </w:r>
          </w:p>
        </w:tc>
        <w:tc>
          <w:tcPr>
            <w:tcW w:w="805" w:type="dxa"/>
            <w:shd w:val="clear" w:color="000000" w:fill="CDEBFA"/>
            <w:noWrap/>
            <w:tcMar>
              <w:left w:w="115" w:type="dxa"/>
              <w:right w:w="115" w:type="dxa"/>
            </w:tcMar>
            <w:vAlign w:val="center"/>
            <w:hideMark/>
          </w:tcPr>
          <w:p w14:paraId="4B750C7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14:paraId="3D1703C3"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0B6DCF7E"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14:paraId="0EBDD1C5"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000000" w:fill="CDEBFA"/>
            <w:noWrap/>
            <w:tcMar>
              <w:left w:w="115" w:type="dxa"/>
              <w:right w:w="115" w:type="dxa"/>
            </w:tcMar>
            <w:vAlign w:val="center"/>
            <w:hideMark/>
          </w:tcPr>
          <w:p w14:paraId="2325208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2</w:t>
            </w:r>
          </w:p>
        </w:tc>
        <w:tc>
          <w:tcPr>
            <w:tcW w:w="960" w:type="dxa"/>
            <w:shd w:val="clear" w:color="000000" w:fill="CDEBFA"/>
            <w:noWrap/>
            <w:tcMar>
              <w:left w:w="115" w:type="dxa"/>
              <w:right w:w="115" w:type="dxa"/>
            </w:tcMar>
            <w:vAlign w:val="center"/>
            <w:hideMark/>
          </w:tcPr>
          <w:p w14:paraId="625C8F3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960" w:type="dxa"/>
            <w:shd w:val="clear" w:color="000000" w:fill="CDEBFA"/>
            <w:noWrap/>
            <w:tcMar>
              <w:left w:w="115" w:type="dxa"/>
              <w:right w:w="115" w:type="dxa"/>
            </w:tcMar>
            <w:vAlign w:val="center"/>
            <w:hideMark/>
          </w:tcPr>
          <w:p w14:paraId="13EFEE9B"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1265" w:type="dxa"/>
            <w:shd w:val="clear" w:color="000000" w:fill="CDEBFA"/>
            <w:noWrap/>
            <w:tcMar>
              <w:left w:w="115" w:type="dxa"/>
              <w:right w:w="115" w:type="dxa"/>
            </w:tcMar>
            <w:vAlign w:val="center"/>
            <w:hideMark/>
          </w:tcPr>
          <w:p w14:paraId="76A162CF"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&lt;1 </w:t>
            </w:r>
          </w:p>
        </w:tc>
        <w:tc>
          <w:tcPr>
            <w:tcW w:w="810" w:type="dxa"/>
            <w:shd w:val="clear" w:color="000000" w:fill="CDEBFA"/>
            <w:noWrap/>
            <w:tcMar>
              <w:left w:w="115" w:type="dxa"/>
              <w:right w:w="115" w:type="dxa"/>
            </w:tcMar>
            <w:vAlign w:val="center"/>
            <w:hideMark/>
          </w:tcPr>
          <w:p w14:paraId="2858896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c>
          <w:tcPr>
            <w:tcW w:w="805" w:type="dxa"/>
            <w:shd w:val="clear" w:color="000000" w:fill="CDEBFA"/>
            <w:noWrap/>
            <w:tcMar>
              <w:left w:w="115" w:type="dxa"/>
              <w:right w:w="115" w:type="dxa"/>
            </w:tcMar>
            <w:vAlign w:val="center"/>
            <w:hideMark/>
          </w:tcPr>
          <w:p w14:paraId="679AEA2F"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&lt;1</w:t>
            </w:r>
          </w:p>
        </w:tc>
      </w:tr>
      <w:tr w:rsidR="00050032" w:rsidRPr="00D81202" w14:paraId="30174210"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36F81EE4"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shd w:val="clear" w:color="000000" w:fill="CDEBFA"/>
            <w:noWrap/>
            <w:tcMar>
              <w:left w:w="115" w:type="dxa"/>
              <w:right w:w="115" w:type="dxa"/>
            </w:tcMar>
            <w:vAlign w:val="center"/>
            <w:hideMark/>
          </w:tcPr>
          <w:p w14:paraId="67C5DC81"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SEMA</w:t>
            </w:r>
          </w:p>
        </w:tc>
        <w:tc>
          <w:tcPr>
            <w:tcW w:w="1405" w:type="dxa"/>
            <w:shd w:val="clear" w:color="000000" w:fill="CDEBFA"/>
            <w:noWrap/>
            <w:tcMar>
              <w:left w:w="115" w:type="dxa"/>
              <w:right w:w="115" w:type="dxa"/>
            </w:tcMar>
            <w:vAlign w:val="center"/>
            <w:hideMark/>
          </w:tcPr>
          <w:p w14:paraId="2CA92C3D"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4,673</w:t>
            </w:r>
          </w:p>
        </w:tc>
        <w:tc>
          <w:tcPr>
            <w:tcW w:w="960" w:type="dxa"/>
            <w:shd w:val="clear" w:color="000000" w:fill="CDEBFA"/>
            <w:noWrap/>
            <w:tcMar>
              <w:left w:w="115" w:type="dxa"/>
              <w:right w:w="115" w:type="dxa"/>
            </w:tcMar>
            <w:vAlign w:val="center"/>
            <w:hideMark/>
          </w:tcPr>
          <w:p w14:paraId="7112DEC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960" w:type="dxa"/>
            <w:shd w:val="clear" w:color="000000" w:fill="CDEBFA"/>
            <w:noWrap/>
            <w:tcMar>
              <w:left w:w="115" w:type="dxa"/>
              <w:right w:w="115" w:type="dxa"/>
            </w:tcMar>
            <w:vAlign w:val="center"/>
            <w:hideMark/>
          </w:tcPr>
          <w:p w14:paraId="7BFA329D"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c>
          <w:tcPr>
            <w:tcW w:w="1265" w:type="dxa"/>
            <w:shd w:val="clear" w:color="000000" w:fill="CDEBFA"/>
            <w:noWrap/>
            <w:tcMar>
              <w:left w:w="115" w:type="dxa"/>
              <w:right w:w="115" w:type="dxa"/>
            </w:tcMar>
            <w:vAlign w:val="center"/>
            <w:hideMark/>
          </w:tcPr>
          <w:p w14:paraId="4874B0A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5,019 </w:t>
            </w:r>
          </w:p>
        </w:tc>
        <w:tc>
          <w:tcPr>
            <w:tcW w:w="810" w:type="dxa"/>
            <w:shd w:val="clear" w:color="000000" w:fill="CDEBFA"/>
            <w:noWrap/>
            <w:tcMar>
              <w:left w:w="115" w:type="dxa"/>
              <w:right w:w="115" w:type="dxa"/>
            </w:tcMar>
            <w:vAlign w:val="center"/>
            <w:hideMark/>
          </w:tcPr>
          <w:p w14:paraId="3FA943F1"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39</w:t>
            </w:r>
          </w:p>
        </w:tc>
        <w:tc>
          <w:tcPr>
            <w:tcW w:w="805" w:type="dxa"/>
            <w:shd w:val="clear" w:color="000000" w:fill="CDEBFA"/>
            <w:noWrap/>
            <w:tcMar>
              <w:left w:w="115" w:type="dxa"/>
              <w:right w:w="115" w:type="dxa"/>
            </w:tcMar>
            <w:vAlign w:val="center"/>
            <w:hideMark/>
          </w:tcPr>
          <w:p w14:paraId="5BA04F8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100</w:t>
            </w:r>
          </w:p>
        </w:tc>
      </w:tr>
      <w:tr w:rsidR="00050032" w:rsidRPr="00D81202" w14:paraId="5D77DEB4" w14:textId="77777777" w:rsidTr="005658C2">
        <w:trPr>
          <w:cantSplit/>
          <w:trHeight w:val="20"/>
          <w:jc w:val="center"/>
        </w:trPr>
        <w:tc>
          <w:tcPr>
            <w:tcW w:w="1337" w:type="dxa"/>
            <w:vMerge/>
            <w:tcBorders>
              <w:left w:val="single" w:sz="2" w:space="0" w:color="auto"/>
            </w:tcBorders>
            <w:tcMar>
              <w:left w:w="115" w:type="dxa"/>
              <w:right w:w="115" w:type="dxa"/>
            </w:tcMar>
            <w:vAlign w:val="center"/>
            <w:hideMark/>
          </w:tcPr>
          <w:p w14:paraId="074E21C1"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14:paraId="5B719698"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WCMA</w:t>
            </w:r>
          </w:p>
        </w:tc>
        <w:tc>
          <w:tcPr>
            <w:tcW w:w="1405" w:type="dxa"/>
            <w:shd w:val="clear" w:color="000000" w:fill="CDEBFA"/>
            <w:noWrap/>
            <w:tcMar>
              <w:left w:w="115" w:type="dxa"/>
              <w:right w:w="115" w:type="dxa"/>
            </w:tcMar>
            <w:vAlign w:val="center"/>
            <w:hideMark/>
          </w:tcPr>
          <w:p w14:paraId="2FAB28E0"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966 </w:t>
            </w:r>
          </w:p>
        </w:tc>
        <w:tc>
          <w:tcPr>
            <w:tcW w:w="960" w:type="dxa"/>
            <w:shd w:val="clear" w:color="000000" w:fill="CDEBFA"/>
            <w:noWrap/>
            <w:tcMar>
              <w:left w:w="115" w:type="dxa"/>
              <w:right w:w="115" w:type="dxa"/>
            </w:tcMar>
            <w:vAlign w:val="center"/>
            <w:hideMark/>
          </w:tcPr>
          <w:p w14:paraId="544BE32E"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33</w:t>
            </w:r>
          </w:p>
        </w:tc>
        <w:tc>
          <w:tcPr>
            <w:tcW w:w="960" w:type="dxa"/>
            <w:shd w:val="clear" w:color="000000" w:fill="CDEBFA"/>
            <w:noWrap/>
            <w:tcMar>
              <w:left w:w="115" w:type="dxa"/>
              <w:right w:w="115" w:type="dxa"/>
            </w:tcMar>
            <w:vAlign w:val="center"/>
            <w:hideMark/>
          </w:tcPr>
          <w:p w14:paraId="7E573253"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c>
          <w:tcPr>
            <w:tcW w:w="1265" w:type="dxa"/>
            <w:shd w:val="clear" w:color="000000" w:fill="CDEBFA"/>
            <w:noWrap/>
            <w:tcMar>
              <w:left w:w="115" w:type="dxa"/>
              <w:right w:w="115" w:type="dxa"/>
            </w:tcMar>
            <w:vAlign w:val="center"/>
            <w:hideMark/>
          </w:tcPr>
          <w:p w14:paraId="72329974"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 xml:space="preserve">4,036 </w:t>
            </w:r>
          </w:p>
        </w:tc>
        <w:tc>
          <w:tcPr>
            <w:tcW w:w="810" w:type="dxa"/>
            <w:shd w:val="clear" w:color="000000" w:fill="CDEBFA"/>
            <w:noWrap/>
            <w:tcMar>
              <w:left w:w="115" w:type="dxa"/>
              <w:right w:w="115" w:type="dxa"/>
            </w:tcMar>
            <w:vAlign w:val="center"/>
            <w:hideMark/>
          </w:tcPr>
          <w:p w14:paraId="1A35E85C"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32</w:t>
            </w:r>
          </w:p>
        </w:tc>
        <w:tc>
          <w:tcPr>
            <w:tcW w:w="805" w:type="dxa"/>
            <w:shd w:val="clear" w:color="000000" w:fill="CDEBFA"/>
            <w:noWrap/>
            <w:tcMar>
              <w:left w:w="115" w:type="dxa"/>
              <w:right w:w="115" w:type="dxa"/>
            </w:tcMar>
            <w:vAlign w:val="center"/>
            <w:hideMark/>
          </w:tcPr>
          <w:p w14:paraId="211FD695" w14:textId="77777777" w:rsidR="00A33BD4" w:rsidRPr="00D81202" w:rsidRDefault="00A33BD4" w:rsidP="005658C2">
            <w:pPr>
              <w:spacing w:before="20" w:after="20" w:line="240" w:lineRule="auto"/>
              <w:jc w:val="right"/>
              <w:rPr>
                <w:rFonts w:ascii="Calibri" w:eastAsia="Times New Roman" w:hAnsi="Calibri" w:cs="Calibri"/>
                <w:color w:val="000000"/>
                <w:sz w:val="18"/>
                <w:szCs w:val="18"/>
              </w:rPr>
            </w:pPr>
            <w:r w:rsidRPr="00D81202">
              <w:rPr>
                <w:rFonts w:ascii="Calibri" w:eastAsia="Times New Roman" w:hAnsi="Calibri" w:cs="Calibri"/>
                <w:color w:val="000000"/>
                <w:sz w:val="18"/>
                <w:szCs w:val="18"/>
              </w:rPr>
              <w:t>98</w:t>
            </w:r>
          </w:p>
        </w:tc>
      </w:tr>
      <w:tr w:rsidR="00050032" w:rsidRPr="00D81202" w14:paraId="10776CA0" w14:textId="77777777" w:rsidTr="005658C2">
        <w:trPr>
          <w:cantSplit/>
          <w:trHeight w:val="20"/>
          <w:jc w:val="center"/>
        </w:trPr>
        <w:tc>
          <w:tcPr>
            <w:tcW w:w="1337" w:type="dxa"/>
            <w:vMerge/>
            <w:tcBorders>
              <w:left w:val="single" w:sz="2" w:space="0" w:color="auto"/>
              <w:right w:val="nil"/>
            </w:tcBorders>
            <w:tcMar>
              <w:left w:w="115" w:type="dxa"/>
              <w:right w:w="115" w:type="dxa"/>
            </w:tcMar>
            <w:vAlign w:val="center"/>
            <w:hideMark/>
          </w:tcPr>
          <w:p w14:paraId="5AA791A8"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p>
        </w:tc>
        <w:tc>
          <w:tcPr>
            <w:tcW w:w="820" w:type="dxa"/>
            <w:tcBorders>
              <w:left w:val="nil"/>
            </w:tcBorders>
            <w:shd w:val="clear" w:color="000000" w:fill="CDEBFA"/>
            <w:noWrap/>
            <w:tcMar>
              <w:left w:w="115" w:type="dxa"/>
              <w:right w:w="115" w:type="dxa"/>
            </w:tcMar>
            <w:vAlign w:val="center"/>
            <w:hideMark/>
          </w:tcPr>
          <w:p w14:paraId="698BB3F1"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 </w:t>
            </w:r>
          </w:p>
        </w:tc>
        <w:tc>
          <w:tcPr>
            <w:tcW w:w="1405" w:type="dxa"/>
            <w:shd w:val="clear" w:color="000000" w:fill="CDEBFA"/>
            <w:noWrap/>
            <w:tcMar>
              <w:left w:w="115" w:type="dxa"/>
              <w:right w:w="115" w:type="dxa"/>
            </w:tcMar>
            <w:vAlign w:val="center"/>
            <w:hideMark/>
          </w:tcPr>
          <w:p w14:paraId="2F83238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11,976 </w:t>
            </w:r>
          </w:p>
        </w:tc>
        <w:tc>
          <w:tcPr>
            <w:tcW w:w="960" w:type="dxa"/>
            <w:shd w:val="clear" w:color="000000" w:fill="CDEBFA"/>
            <w:noWrap/>
            <w:tcMar>
              <w:left w:w="115" w:type="dxa"/>
              <w:right w:w="115" w:type="dxa"/>
            </w:tcMar>
            <w:vAlign w:val="center"/>
            <w:hideMark/>
          </w:tcPr>
          <w:p w14:paraId="54F7D3DA"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14:paraId="42874729"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c>
          <w:tcPr>
            <w:tcW w:w="1265" w:type="dxa"/>
            <w:shd w:val="clear" w:color="000000" w:fill="CDEBFA"/>
            <w:noWrap/>
            <w:tcMar>
              <w:left w:w="115" w:type="dxa"/>
              <w:right w:w="115" w:type="dxa"/>
            </w:tcMar>
            <w:vAlign w:val="center"/>
            <w:hideMark/>
          </w:tcPr>
          <w:p w14:paraId="5AC1B820"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12,775 </w:t>
            </w:r>
          </w:p>
        </w:tc>
        <w:tc>
          <w:tcPr>
            <w:tcW w:w="810" w:type="dxa"/>
            <w:shd w:val="clear" w:color="000000" w:fill="CDEBFA"/>
            <w:noWrap/>
            <w:tcMar>
              <w:left w:w="115" w:type="dxa"/>
              <w:right w:w="115" w:type="dxa"/>
            </w:tcMar>
            <w:vAlign w:val="center"/>
            <w:hideMark/>
          </w:tcPr>
          <w:p w14:paraId="54C1815C"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14:paraId="1E8C892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w:t>
            </w:r>
          </w:p>
        </w:tc>
      </w:tr>
      <w:tr w:rsidR="00050032" w:rsidRPr="00D81202" w14:paraId="07AF9ECB" w14:textId="77777777" w:rsidTr="005658C2">
        <w:trPr>
          <w:cantSplit/>
          <w:trHeight w:val="20"/>
          <w:jc w:val="center"/>
        </w:trPr>
        <w:tc>
          <w:tcPr>
            <w:tcW w:w="1337" w:type="dxa"/>
            <w:tcBorders>
              <w:left w:val="single" w:sz="2" w:space="0" w:color="auto"/>
            </w:tcBorders>
            <w:shd w:val="clear" w:color="auto" w:fill="auto"/>
            <w:noWrap/>
            <w:tcMar>
              <w:left w:w="115" w:type="dxa"/>
              <w:right w:w="115" w:type="dxa"/>
            </w:tcMar>
            <w:vAlign w:val="center"/>
            <w:hideMark/>
          </w:tcPr>
          <w:p w14:paraId="508EF178"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Rhode Island</w:t>
            </w:r>
          </w:p>
        </w:tc>
        <w:tc>
          <w:tcPr>
            <w:tcW w:w="820" w:type="dxa"/>
            <w:shd w:val="clear" w:color="auto" w:fill="auto"/>
            <w:noWrap/>
            <w:tcMar>
              <w:left w:w="115" w:type="dxa"/>
              <w:right w:w="115" w:type="dxa"/>
            </w:tcMar>
            <w:vAlign w:val="center"/>
            <w:hideMark/>
          </w:tcPr>
          <w:p w14:paraId="16D25D0A"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RI</w:t>
            </w:r>
          </w:p>
        </w:tc>
        <w:tc>
          <w:tcPr>
            <w:tcW w:w="1405" w:type="dxa"/>
            <w:shd w:val="clear" w:color="auto" w:fill="auto"/>
            <w:noWrap/>
            <w:tcMar>
              <w:left w:w="115" w:type="dxa"/>
              <w:right w:w="115" w:type="dxa"/>
            </w:tcMar>
            <w:vAlign w:val="center"/>
            <w:hideMark/>
          </w:tcPr>
          <w:p w14:paraId="1F48174F"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1,959 </w:t>
            </w:r>
          </w:p>
        </w:tc>
        <w:tc>
          <w:tcPr>
            <w:tcW w:w="960" w:type="dxa"/>
            <w:shd w:val="clear" w:color="auto" w:fill="auto"/>
            <w:noWrap/>
            <w:tcMar>
              <w:left w:w="115" w:type="dxa"/>
              <w:right w:w="115" w:type="dxa"/>
            </w:tcMar>
            <w:vAlign w:val="center"/>
            <w:hideMark/>
          </w:tcPr>
          <w:p w14:paraId="2BB300E6"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auto" w:fill="auto"/>
            <w:noWrap/>
            <w:tcMar>
              <w:left w:w="115" w:type="dxa"/>
              <w:right w:w="115" w:type="dxa"/>
            </w:tcMar>
            <w:vAlign w:val="center"/>
            <w:hideMark/>
          </w:tcPr>
          <w:p w14:paraId="0D36512C"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auto" w:fill="auto"/>
            <w:noWrap/>
            <w:tcMar>
              <w:left w:w="115" w:type="dxa"/>
              <w:right w:w="115" w:type="dxa"/>
            </w:tcMar>
            <w:vAlign w:val="center"/>
            <w:hideMark/>
          </w:tcPr>
          <w:p w14:paraId="77D4C1C0"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2,170 </w:t>
            </w:r>
          </w:p>
        </w:tc>
        <w:tc>
          <w:tcPr>
            <w:tcW w:w="810" w:type="dxa"/>
            <w:shd w:val="clear" w:color="auto" w:fill="auto"/>
            <w:noWrap/>
            <w:tcMar>
              <w:left w:w="115" w:type="dxa"/>
              <w:right w:w="115" w:type="dxa"/>
            </w:tcMar>
            <w:vAlign w:val="center"/>
            <w:hideMark/>
          </w:tcPr>
          <w:p w14:paraId="3819C881"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auto" w:fill="auto"/>
            <w:noWrap/>
            <w:tcMar>
              <w:left w:w="115" w:type="dxa"/>
              <w:right w:w="115" w:type="dxa"/>
            </w:tcMar>
            <w:vAlign w:val="center"/>
            <w:hideMark/>
          </w:tcPr>
          <w:p w14:paraId="502DCA1D"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050032" w:rsidRPr="00D81202" w14:paraId="661A5A60" w14:textId="77777777" w:rsidTr="005658C2">
        <w:trPr>
          <w:cantSplit/>
          <w:trHeight w:val="20"/>
          <w:jc w:val="center"/>
        </w:trPr>
        <w:tc>
          <w:tcPr>
            <w:tcW w:w="1337" w:type="dxa"/>
            <w:tcBorders>
              <w:left w:val="single" w:sz="2" w:space="0" w:color="auto"/>
            </w:tcBorders>
            <w:shd w:val="clear" w:color="000000" w:fill="CDEBFA"/>
            <w:noWrap/>
            <w:tcMar>
              <w:left w:w="115" w:type="dxa"/>
              <w:right w:w="115" w:type="dxa"/>
            </w:tcMar>
            <w:vAlign w:val="center"/>
            <w:hideMark/>
          </w:tcPr>
          <w:p w14:paraId="776B8691" w14:textId="77777777" w:rsidR="00A33BD4" w:rsidRPr="00D81202" w:rsidRDefault="00A33BD4" w:rsidP="005658C2">
            <w:pPr>
              <w:spacing w:before="20" w:after="20" w:line="240" w:lineRule="auto"/>
              <w:rPr>
                <w:rFonts w:ascii="Calibri" w:eastAsia="Times New Roman" w:hAnsi="Calibri" w:cs="Calibri"/>
                <w:b/>
                <w:bCs/>
                <w:color w:val="000000"/>
                <w:sz w:val="18"/>
                <w:szCs w:val="18"/>
              </w:rPr>
            </w:pPr>
            <w:r w:rsidRPr="00D81202">
              <w:rPr>
                <w:rFonts w:ascii="Calibri" w:eastAsia="Times New Roman" w:hAnsi="Calibri" w:cs="Calibri"/>
                <w:b/>
                <w:bCs/>
                <w:color w:val="000000"/>
                <w:sz w:val="18"/>
                <w:szCs w:val="18"/>
              </w:rPr>
              <w:t>Connecticut</w:t>
            </w:r>
          </w:p>
        </w:tc>
        <w:tc>
          <w:tcPr>
            <w:tcW w:w="820" w:type="dxa"/>
            <w:shd w:val="clear" w:color="000000" w:fill="CDEBFA"/>
            <w:noWrap/>
            <w:tcMar>
              <w:left w:w="115" w:type="dxa"/>
              <w:right w:w="115" w:type="dxa"/>
            </w:tcMar>
            <w:vAlign w:val="center"/>
            <w:hideMark/>
          </w:tcPr>
          <w:p w14:paraId="73166B0C" w14:textId="77777777" w:rsidR="00A33BD4" w:rsidRPr="00D81202" w:rsidRDefault="00A33BD4" w:rsidP="005658C2">
            <w:pPr>
              <w:spacing w:before="20" w:after="20" w:line="240" w:lineRule="auto"/>
              <w:rPr>
                <w:rFonts w:ascii="Calibri" w:eastAsia="Times New Roman" w:hAnsi="Calibri" w:cs="Calibri"/>
                <w:color w:val="000000"/>
                <w:sz w:val="18"/>
                <w:szCs w:val="18"/>
              </w:rPr>
            </w:pPr>
            <w:r w:rsidRPr="00D81202">
              <w:rPr>
                <w:rFonts w:ascii="Calibri" w:eastAsia="Times New Roman" w:hAnsi="Calibri" w:cs="Calibri"/>
                <w:color w:val="000000"/>
                <w:sz w:val="18"/>
                <w:szCs w:val="18"/>
              </w:rPr>
              <w:t>CT</w:t>
            </w:r>
          </w:p>
        </w:tc>
        <w:tc>
          <w:tcPr>
            <w:tcW w:w="1405" w:type="dxa"/>
            <w:shd w:val="clear" w:color="000000" w:fill="CDEBFA"/>
            <w:noWrap/>
            <w:tcMar>
              <w:left w:w="115" w:type="dxa"/>
              <w:right w:w="115" w:type="dxa"/>
            </w:tcMar>
            <w:vAlign w:val="center"/>
            <w:hideMark/>
          </w:tcPr>
          <w:p w14:paraId="3E15ADA9"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 xml:space="preserve">9,659 </w:t>
            </w:r>
          </w:p>
        </w:tc>
        <w:tc>
          <w:tcPr>
            <w:tcW w:w="960" w:type="dxa"/>
            <w:shd w:val="clear" w:color="000000" w:fill="CDEBFA"/>
            <w:noWrap/>
            <w:tcMar>
              <w:left w:w="115" w:type="dxa"/>
              <w:right w:w="115" w:type="dxa"/>
            </w:tcMar>
            <w:vAlign w:val="center"/>
            <w:hideMark/>
          </w:tcPr>
          <w:p w14:paraId="60B40170"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960" w:type="dxa"/>
            <w:shd w:val="clear" w:color="000000" w:fill="CDEBFA"/>
            <w:noWrap/>
            <w:tcMar>
              <w:left w:w="115" w:type="dxa"/>
              <w:right w:w="115" w:type="dxa"/>
            </w:tcMar>
            <w:vAlign w:val="center"/>
            <w:hideMark/>
          </w:tcPr>
          <w:p w14:paraId="74A805B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1265" w:type="dxa"/>
            <w:shd w:val="clear" w:color="000000" w:fill="CDEBFA"/>
            <w:noWrap/>
            <w:tcMar>
              <w:left w:w="115" w:type="dxa"/>
              <w:right w:w="115" w:type="dxa"/>
            </w:tcMar>
            <w:vAlign w:val="center"/>
            <w:hideMark/>
          </w:tcPr>
          <w:p w14:paraId="6CF144FA"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9,859</w:t>
            </w:r>
          </w:p>
        </w:tc>
        <w:tc>
          <w:tcPr>
            <w:tcW w:w="810" w:type="dxa"/>
            <w:shd w:val="clear" w:color="000000" w:fill="CDEBFA"/>
            <w:noWrap/>
            <w:tcMar>
              <w:left w:w="115" w:type="dxa"/>
              <w:right w:w="115" w:type="dxa"/>
            </w:tcMar>
            <w:vAlign w:val="center"/>
            <w:hideMark/>
          </w:tcPr>
          <w:p w14:paraId="7EF02DDE"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c>
          <w:tcPr>
            <w:tcW w:w="805" w:type="dxa"/>
            <w:shd w:val="clear" w:color="000000" w:fill="CDEBFA"/>
            <w:noWrap/>
            <w:tcMar>
              <w:left w:w="115" w:type="dxa"/>
              <w:right w:w="115" w:type="dxa"/>
            </w:tcMar>
            <w:vAlign w:val="center"/>
            <w:hideMark/>
          </w:tcPr>
          <w:p w14:paraId="5F1C9203" w14:textId="77777777" w:rsidR="00A33BD4" w:rsidRPr="00D81202" w:rsidRDefault="00A33BD4" w:rsidP="005658C2">
            <w:pPr>
              <w:spacing w:before="20" w:after="20" w:line="240" w:lineRule="auto"/>
              <w:jc w:val="right"/>
              <w:rPr>
                <w:rFonts w:ascii="Calibri" w:eastAsia="Times New Roman" w:hAnsi="Calibri" w:cs="Calibri"/>
                <w:i/>
                <w:iCs/>
                <w:color w:val="000000"/>
                <w:sz w:val="18"/>
                <w:szCs w:val="18"/>
              </w:rPr>
            </w:pPr>
            <w:r w:rsidRPr="00D81202">
              <w:rPr>
                <w:rFonts w:ascii="Calibri" w:eastAsia="Times New Roman" w:hAnsi="Calibri" w:cs="Calibri"/>
                <w:i/>
                <w:iCs/>
                <w:color w:val="000000"/>
                <w:sz w:val="18"/>
                <w:szCs w:val="18"/>
              </w:rPr>
              <w:t>100</w:t>
            </w:r>
          </w:p>
        </w:tc>
      </w:tr>
      <w:tr w:rsidR="00D8343B" w:rsidRPr="00D81202" w14:paraId="6CBDD364" w14:textId="77777777" w:rsidTr="005658C2">
        <w:trPr>
          <w:cantSplit/>
          <w:trHeight w:val="20"/>
          <w:jc w:val="center"/>
        </w:trPr>
        <w:tc>
          <w:tcPr>
            <w:tcW w:w="1337" w:type="dxa"/>
            <w:tcBorders>
              <w:left w:val="single" w:sz="2" w:space="0" w:color="auto"/>
            </w:tcBorders>
            <w:shd w:val="clear" w:color="000000" w:fill="1795D2"/>
            <w:noWrap/>
            <w:tcMar>
              <w:left w:w="115" w:type="dxa"/>
              <w:right w:w="115" w:type="dxa"/>
            </w:tcMar>
            <w:vAlign w:val="center"/>
            <w:hideMark/>
          </w:tcPr>
          <w:p w14:paraId="1C09F430" w14:textId="77777777" w:rsidR="00D8343B" w:rsidRPr="00D81202" w:rsidRDefault="00D8343B" w:rsidP="005658C2">
            <w:pPr>
              <w:spacing w:before="20" w:after="20" w:line="240" w:lineRule="auto"/>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Total</w:t>
            </w:r>
          </w:p>
        </w:tc>
        <w:tc>
          <w:tcPr>
            <w:tcW w:w="820" w:type="dxa"/>
            <w:shd w:val="clear" w:color="000000" w:fill="1795D2"/>
            <w:noWrap/>
            <w:tcMar>
              <w:left w:w="115" w:type="dxa"/>
              <w:right w:w="115" w:type="dxa"/>
            </w:tcMar>
            <w:vAlign w:val="center"/>
          </w:tcPr>
          <w:p w14:paraId="44E98AB6" w14:textId="77777777" w:rsidR="00D8343B" w:rsidRPr="00D81202" w:rsidRDefault="00D8343B" w:rsidP="005658C2">
            <w:pPr>
              <w:spacing w:before="20" w:after="20" w:line="240" w:lineRule="auto"/>
              <w:rPr>
                <w:rFonts w:ascii="Times New Roman" w:eastAsia="Times New Roman" w:hAnsi="Times New Roman"/>
                <w:color w:val="62777F"/>
              </w:rPr>
            </w:pPr>
          </w:p>
        </w:tc>
        <w:tc>
          <w:tcPr>
            <w:tcW w:w="1405" w:type="dxa"/>
            <w:shd w:val="clear" w:color="000000" w:fill="1795D2"/>
            <w:noWrap/>
            <w:tcMar>
              <w:left w:w="115" w:type="dxa"/>
              <w:right w:w="115" w:type="dxa"/>
            </w:tcMar>
            <w:vAlign w:val="center"/>
            <w:hideMark/>
          </w:tcPr>
          <w:p w14:paraId="4E7B4793" w14:textId="77777777"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31,242</w:t>
            </w:r>
          </w:p>
        </w:tc>
        <w:tc>
          <w:tcPr>
            <w:tcW w:w="1920" w:type="dxa"/>
            <w:gridSpan w:val="2"/>
            <w:shd w:val="clear" w:color="000000" w:fill="1795D2"/>
            <w:noWrap/>
            <w:tcMar>
              <w:left w:w="115" w:type="dxa"/>
              <w:right w:w="115" w:type="dxa"/>
            </w:tcMar>
            <w:vAlign w:val="center"/>
            <w:hideMark/>
          </w:tcPr>
          <w:p w14:paraId="6A75BBF9" w14:textId="77777777"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  </w:t>
            </w:r>
          </w:p>
        </w:tc>
        <w:tc>
          <w:tcPr>
            <w:tcW w:w="1265" w:type="dxa"/>
            <w:shd w:val="clear" w:color="000000" w:fill="1795D2"/>
            <w:noWrap/>
            <w:tcMar>
              <w:left w:w="115" w:type="dxa"/>
              <w:right w:w="115" w:type="dxa"/>
            </w:tcMar>
            <w:vAlign w:val="center"/>
            <w:hideMark/>
          </w:tcPr>
          <w:p w14:paraId="41B93D09" w14:textId="77777777" w:rsidR="00D8343B" w:rsidRPr="00D81202" w:rsidRDefault="00D8343B" w:rsidP="005658C2">
            <w:pPr>
              <w:spacing w:before="20" w:after="20" w:line="240" w:lineRule="auto"/>
              <w:jc w:val="right"/>
              <w:rPr>
                <w:rFonts w:ascii="Calibri" w:eastAsia="Times New Roman" w:hAnsi="Calibri" w:cs="Calibri"/>
                <w:b/>
                <w:bCs/>
                <w:color w:val="FFFFFF"/>
                <w:sz w:val="18"/>
                <w:szCs w:val="18"/>
              </w:rPr>
            </w:pPr>
            <w:r w:rsidRPr="00D81202">
              <w:rPr>
                <w:rFonts w:ascii="Calibri" w:eastAsia="Times New Roman" w:hAnsi="Calibri" w:cs="Calibri"/>
                <w:b/>
                <w:bCs/>
                <w:color w:val="FFFFFF"/>
                <w:sz w:val="18"/>
                <w:szCs w:val="18"/>
              </w:rPr>
              <w:t>33,437</w:t>
            </w:r>
          </w:p>
        </w:tc>
        <w:tc>
          <w:tcPr>
            <w:tcW w:w="1615" w:type="dxa"/>
            <w:gridSpan w:val="2"/>
            <w:shd w:val="clear" w:color="000000" w:fill="1795D2"/>
            <w:noWrap/>
            <w:tcMar>
              <w:left w:w="115" w:type="dxa"/>
              <w:right w:w="115" w:type="dxa"/>
            </w:tcMar>
            <w:vAlign w:val="center"/>
            <w:hideMark/>
          </w:tcPr>
          <w:p w14:paraId="7A676C97" w14:textId="77777777" w:rsidR="00D8343B" w:rsidRPr="00D81202" w:rsidRDefault="00D8343B" w:rsidP="005658C2">
            <w:pPr>
              <w:spacing w:before="20" w:after="20" w:line="240" w:lineRule="auto"/>
              <w:jc w:val="right"/>
              <w:rPr>
                <w:rFonts w:ascii="Calibri" w:eastAsia="Times New Roman" w:hAnsi="Calibri" w:cs="Calibri"/>
                <w:b/>
                <w:bCs/>
                <w:color w:val="FFFFFF"/>
                <w:sz w:val="18"/>
                <w:szCs w:val="18"/>
              </w:rPr>
            </w:pPr>
          </w:p>
        </w:tc>
      </w:tr>
    </w:tbl>
    <w:p w14:paraId="49638AF4" w14:textId="77777777" w:rsidR="004C7089" w:rsidRPr="004C7089" w:rsidRDefault="004C7089" w:rsidP="005658C2">
      <w:pPr>
        <w:keepNext/>
        <w:keepLines/>
        <w:spacing w:before="60" w:after="8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(a) Totals may vary because of rounding.</w:t>
      </w:r>
    </w:p>
    <w:p w14:paraId="0AD69493" w14:textId="77777777" w:rsidR="004C7089" w:rsidRPr="004C7089" w:rsidRDefault="004C7089" w:rsidP="005658C2">
      <w:pPr>
        <w:spacing w:after="0" w:line="240" w:lineRule="auto"/>
        <w:ind w:left="360" w:right="-86"/>
        <w:rPr>
          <w:rFonts w:asciiTheme="minorHAnsi" w:hAnsiTheme="minorHAnsi"/>
          <w:snapToGrid w:val="0"/>
          <w:sz w:val="16"/>
          <w:szCs w:val="16"/>
        </w:rPr>
      </w:pPr>
      <w:r w:rsidRPr="004C7089">
        <w:rPr>
          <w:rFonts w:asciiTheme="minorHAnsi" w:hAnsiTheme="minorHAnsi"/>
          <w:snapToGrid w:val="0"/>
          <w:sz w:val="16"/>
          <w:szCs w:val="16"/>
        </w:rPr>
        <w:t>(b) The values shown are seasonal claimed capability based on the 2019 CELT Report.</w:t>
      </w:r>
    </w:p>
    <w:p w14:paraId="650E8E63" w14:textId="77777777" w:rsidR="004C7089" w:rsidRPr="004C7089" w:rsidRDefault="004C7089" w:rsidP="00050032">
      <w:pPr>
        <w:pStyle w:val="Heading3"/>
      </w:pPr>
      <w:bookmarkStart w:id="540" w:name="_Ref327873597"/>
      <w:bookmarkStart w:id="541" w:name="_Toc334601036"/>
      <w:bookmarkStart w:id="542" w:name="_Ref231185835"/>
      <w:bookmarkStart w:id="543" w:name="_Toc239157072"/>
      <w:bookmarkStart w:id="544" w:name="_Toc271632227"/>
      <w:bookmarkStart w:id="545" w:name="_Toc303086385"/>
      <w:bookmarkStart w:id="546" w:name="_Toc365441000"/>
      <w:bookmarkStart w:id="547" w:name="_Toc396807630"/>
      <w:bookmarkStart w:id="548" w:name="_Toc429063403"/>
      <w:bookmarkStart w:id="549" w:name="_Toc481053269"/>
      <w:bookmarkStart w:id="550" w:name="_Toc490323035"/>
      <w:bookmarkStart w:id="551" w:name="_Toc12795178"/>
      <w:r w:rsidRPr="004C7089">
        <w:lastRenderedPageBreak/>
        <w:t>Summer and Winter Seasonal Claimed Capabilities of New England’s Generating Resources</w:t>
      </w:r>
      <w:bookmarkEnd w:id="540"/>
      <w:bookmarkEnd w:id="541"/>
      <w:bookmarkEnd w:id="542"/>
      <w:bookmarkEnd w:id="543"/>
      <w:bookmarkEnd w:id="544"/>
      <w:bookmarkEnd w:id="545"/>
      <w:bookmarkEnd w:id="546"/>
      <w:bookmarkEnd w:id="547"/>
      <w:bookmarkEnd w:id="548"/>
      <w:bookmarkEnd w:id="549"/>
      <w:bookmarkEnd w:id="550"/>
      <w:bookmarkEnd w:id="551"/>
    </w:p>
    <w:p w14:paraId="7A7954A3" w14:textId="5C93CF72" w:rsidR="004C7089" w:rsidRPr="004C7089" w:rsidRDefault="001E0519" w:rsidP="005658C2">
      <w:pPr>
        <w:keepNext/>
        <w:keepLines/>
      </w:pPr>
      <w:r w:rsidRPr="001E0519">
        <w:rPr>
          <w:highlight w:val="green"/>
        </w:rPr>
        <w:fldChar w:fldCharType="begin"/>
      </w:r>
      <w:r w:rsidRPr="001E0519">
        <w:rPr>
          <w:highlight w:val="green"/>
        </w:rPr>
        <w:instrText xml:space="preserve"> REF  _Ref8751424 \h  \* MERGEFORMAT </w:instrText>
      </w:r>
      <w:r w:rsidRPr="001E0519">
        <w:rPr>
          <w:highlight w:val="green"/>
        </w:rPr>
      </w:r>
      <w:r w:rsidRPr="001E0519">
        <w:rPr>
          <w:highlight w:val="green"/>
        </w:rPr>
        <w:fldChar w:fldCharType="separate"/>
      </w:r>
      <w:r w:rsidR="005D0B73" w:rsidRPr="005D0B73">
        <w:rPr>
          <w:bCs/>
          <w:szCs w:val="18"/>
        </w:rPr>
        <w:t xml:space="preserve">Table </w:t>
      </w:r>
      <w:r w:rsidR="005D0B73" w:rsidRPr="005D0B73">
        <w:rPr>
          <w:bCs/>
          <w:noProof/>
          <w:szCs w:val="18"/>
        </w:rPr>
        <w:t>4</w:t>
      </w:r>
      <w:r w:rsidR="005D0B73" w:rsidRPr="005D0B73">
        <w:rPr>
          <w:bCs/>
          <w:noProof/>
          <w:szCs w:val="18"/>
        </w:rPr>
        <w:noBreakHyphen/>
        <w:t>10</w:t>
      </w:r>
      <w:r w:rsidRPr="001E0519">
        <w:rPr>
          <w:highlight w:val="green"/>
        </w:rPr>
        <w:fldChar w:fldCharType="end"/>
      </w:r>
      <w:r w:rsidR="004C7089" w:rsidRPr="004C7089">
        <w:t xml:space="preserve"> shows the megawatt amount of summer and winter seasonal claimed capabilities of the generating resources, both systemwide and for each load zone, categorized by the assumed operating classification of the resource design. </w:t>
      </w:r>
    </w:p>
    <w:p w14:paraId="1BB0E7E7" w14:textId="44E301C3" w:rsidR="004C7089" w:rsidRPr="004C7089" w:rsidRDefault="004C7089" w:rsidP="004C7089">
      <w:pPr>
        <w:keepNext/>
        <w:spacing w:after="120" w:line="240" w:lineRule="auto"/>
        <w:jc w:val="center"/>
        <w:rPr>
          <w:rFonts w:ascii="Calibri" w:hAnsi="Calibri"/>
          <w:szCs w:val="18"/>
        </w:rPr>
      </w:pPr>
      <w:bookmarkStart w:id="552" w:name="_Ref357159224"/>
      <w:bookmarkStart w:id="553" w:name="_Ref8751424"/>
      <w:bookmarkStart w:id="554" w:name="_Toc365440712"/>
      <w:bookmarkStart w:id="555" w:name="_Toc391985613"/>
      <w:bookmarkStart w:id="556" w:name="_Toc429063565"/>
      <w:bookmarkStart w:id="557" w:name="_Toc481053568"/>
      <w:bookmarkStart w:id="558" w:name="_Toc491244013"/>
      <w:bookmarkStart w:id="559" w:name="_Toc12795341"/>
      <w:r w:rsidRPr="004C7089">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10</w:t>
      </w:r>
      <w:r w:rsidR="0082639A">
        <w:rPr>
          <w:rFonts w:ascii="Calibri" w:hAnsi="Calibri"/>
          <w:b/>
          <w:bCs/>
          <w:szCs w:val="18"/>
        </w:rPr>
        <w:fldChar w:fldCharType="end"/>
      </w:r>
      <w:bookmarkEnd w:id="552"/>
      <w:bookmarkEnd w:id="553"/>
      <w:r w:rsidRPr="004C7089" w:rsidDel="001B3935">
        <w:rPr>
          <w:rFonts w:ascii="Calibri" w:hAnsi="Calibri"/>
          <w:b/>
          <w:szCs w:val="18"/>
        </w:rPr>
        <w:t xml:space="preserve"> </w:t>
      </w:r>
      <w:r w:rsidRPr="004C7089" w:rsidDel="001B3935">
        <w:rPr>
          <w:rFonts w:ascii="Calibri" w:hAnsi="Calibri"/>
          <w:b/>
          <w:color w:val="EC1F25" w:themeColor="accent6"/>
          <w:szCs w:val="18"/>
        </w:rPr>
        <w:br/>
      </w:r>
      <w:r w:rsidRPr="004C7089" w:rsidDel="001B3935">
        <w:rPr>
          <w:rFonts w:ascii="Calibri" w:hAnsi="Calibri"/>
          <w:b/>
          <w:szCs w:val="18"/>
        </w:rPr>
        <w:t xml:space="preserve">Summer </w:t>
      </w:r>
      <w:r w:rsidRPr="004C7089">
        <w:rPr>
          <w:rFonts w:ascii="Calibri" w:hAnsi="Calibri"/>
          <w:b/>
          <w:szCs w:val="18"/>
        </w:rPr>
        <w:t xml:space="preserve">and Winter </w:t>
      </w:r>
      <w:r w:rsidRPr="004C7089" w:rsidDel="001B3935">
        <w:rPr>
          <w:rFonts w:ascii="Calibri" w:hAnsi="Calibri"/>
          <w:b/>
          <w:szCs w:val="18"/>
        </w:rPr>
        <w:t>Seasonal Claimed Capabilit</w:t>
      </w:r>
      <w:r w:rsidRPr="004C7089">
        <w:rPr>
          <w:rFonts w:ascii="Calibri" w:hAnsi="Calibri"/>
          <w:b/>
          <w:szCs w:val="18"/>
        </w:rPr>
        <w:t>ies</w:t>
      </w:r>
      <w:r w:rsidRPr="004C7089" w:rsidDel="001B3935">
        <w:rPr>
          <w:rFonts w:ascii="Calibri" w:hAnsi="Calibri"/>
          <w:b/>
          <w:szCs w:val="18"/>
        </w:rPr>
        <w:t xml:space="preserve"> for ISO New England Generating</w:t>
      </w:r>
      <w:r w:rsidRPr="004C7089">
        <w:rPr>
          <w:rFonts w:ascii="Calibri" w:hAnsi="Calibri"/>
          <w:b/>
          <w:szCs w:val="18"/>
        </w:rPr>
        <w:t xml:space="preserve"> </w:t>
      </w:r>
      <w:r w:rsidRPr="004C7089" w:rsidDel="001B3935">
        <w:rPr>
          <w:rFonts w:ascii="Calibri" w:hAnsi="Calibri"/>
          <w:b/>
          <w:szCs w:val="18"/>
        </w:rPr>
        <w:t>Resources,</w:t>
      </w:r>
      <w:r w:rsidRPr="004C7089" w:rsidDel="001B3935">
        <w:rPr>
          <w:rFonts w:ascii="Calibri" w:hAnsi="Calibri"/>
          <w:b/>
          <w:szCs w:val="18"/>
        </w:rPr>
        <w:br/>
        <w:t xml:space="preserve">by Assumed Operating Classification, Systemwide and by </w:t>
      </w:r>
      <w:r w:rsidRPr="004C7089">
        <w:rPr>
          <w:rFonts w:ascii="Calibri" w:hAnsi="Calibri"/>
          <w:b/>
          <w:szCs w:val="18"/>
        </w:rPr>
        <w:t>Load Zone, 2019 to 2020</w:t>
      </w:r>
      <w:r w:rsidRPr="004C7089" w:rsidDel="001B3935">
        <w:rPr>
          <w:rFonts w:ascii="Calibri" w:hAnsi="Calibri"/>
          <w:b/>
          <w:szCs w:val="18"/>
        </w:rPr>
        <w:t xml:space="preserve"> (MW)</w:t>
      </w:r>
      <w:bookmarkEnd w:id="554"/>
      <w:bookmarkEnd w:id="555"/>
      <w:bookmarkEnd w:id="556"/>
      <w:bookmarkEnd w:id="557"/>
      <w:bookmarkEnd w:id="558"/>
      <w:r w:rsidR="001E0519" w:rsidRPr="001E0519">
        <w:rPr>
          <w:rFonts w:ascii="Calibri" w:hAnsi="Calibri"/>
          <w:b/>
          <w:szCs w:val="18"/>
          <w:vertAlign w:val="superscript"/>
        </w:rPr>
        <w:t>(a)</w:t>
      </w:r>
      <w:bookmarkEnd w:id="559"/>
    </w:p>
    <w:tbl>
      <w:tblPr>
        <w:tblW w:w="61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60"/>
        <w:gridCol w:w="1034"/>
        <w:gridCol w:w="1337"/>
        <w:gridCol w:w="1109"/>
        <w:gridCol w:w="68"/>
        <w:gridCol w:w="1509"/>
      </w:tblGrid>
      <w:tr w:rsidR="004C7089" w:rsidRPr="004C7089" w14:paraId="4C2B983A" w14:textId="77777777" w:rsidTr="00041505">
        <w:trPr>
          <w:trHeight w:val="607"/>
          <w:jc w:val="center"/>
        </w:trPr>
        <w:tc>
          <w:tcPr>
            <w:tcW w:w="1060" w:type="dxa"/>
            <w:shd w:val="clear" w:color="auto" w:fill="1795D2" w:themeFill="accent1"/>
            <w:tcMar>
              <w:top w:w="0" w:type="dxa"/>
              <w:left w:w="108" w:type="dxa"/>
              <w:bottom w:w="0" w:type="dxa"/>
              <w:right w:w="108" w:type="dxa"/>
            </w:tcMar>
            <w:vAlign w:val="center"/>
            <w:hideMark/>
          </w:tcPr>
          <w:p w14:paraId="6CBD57F7" w14:textId="77777777" w:rsidR="004C7089" w:rsidRPr="004C7089" w:rsidRDefault="004C7089" w:rsidP="004C708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Load Zone</w:t>
            </w:r>
          </w:p>
        </w:tc>
        <w:tc>
          <w:tcPr>
            <w:tcW w:w="1034" w:type="dxa"/>
            <w:shd w:val="clear" w:color="auto" w:fill="1795D2" w:themeFill="accent1"/>
            <w:tcMar>
              <w:top w:w="0" w:type="dxa"/>
              <w:left w:w="108" w:type="dxa"/>
              <w:bottom w:w="0" w:type="dxa"/>
              <w:right w:w="108" w:type="dxa"/>
            </w:tcMar>
            <w:vAlign w:val="center"/>
            <w:hideMark/>
          </w:tcPr>
          <w:p w14:paraId="36E490C6" w14:textId="77777777"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Baseload</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b</w:t>
            </w:r>
            <w:r w:rsidRPr="004C7089">
              <w:rPr>
                <w:rFonts w:ascii="Calibri" w:eastAsia="Calibri" w:hAnsi="Calibri" w:cs="Calibri"/>
                <w:b/>
                <w:bCs/>
                <w:color w:val="FFFFFF"/>
                <w:sz w:val="18"/>
                <w:szCs w:val="18"/>
                <w:vertAlign w:val="superscript"/>
              </w:rPr>
              <w:t>)</w:t>
            </w:r>
          </w:p>
        </w:tc>
        <w:tc>
          <w:tcPr>
            <w:tcW w:w="1337" w:type="dxa"/>
            <w:shd w:val="clear" w:color="auto" w:fill="1795D2" w:themeFill="accent1"/>
            <w:tcMar>
              <w:top w:w="0" w:type="dxa"/>
              <w:left w:w="108" w:type="dxa"/>
              <w:bottom w:w="0" w:type="dxa"/>
              <w:right w:w="108" w:type="dxa"/>
            </w:tcMar>
            <w:vAlign w:val="center"/>
            <w:hideMark/>
          </w:tcPr>
          <w:p w14:paraId="7992C116" w14:textId="77777777" w:rsidR="004C7089" w:rsidRPr="004C7089" w:rsidRDefault="004C7089" w:rsidP="00AA73A1">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Intermediate</w:t>
            </w:r>
            <w:r w:rsidRPr="004C7089">
              <w:rPr>
                <w:rFonts w:ascii="Calibri" w:eastAsia="Calibri" w:hAnsi="Calibri" w:cs="Calibri"/>
                <w:b/>
                <w:bCs/>
                <w:color w:val="FFFFFF"/>
                <w:sz w:val="18"/>
                <w:szCs w:val="18"/>
                <w:vertAlign w:val="superscript"/>
              </w:rPr>
              <w:t>(</w:t>
            </w:r>
            <w:r w:rsidR="00AA73A1">
              <w:rPr>
                <w:rFonts w:ascii="Calibri" w:eastAsia="Calibri" w:hAnsi="Calibri" w:cs="Calibri"/>
                <w:b/>
                <w:bCs/>
                <w:color w:val="FFFFFF"/>
                <w:sz w:val="18"/>
                <w:szCs w:val="18"/>
                <w:vertAlign w:val="superscript"/>
              </w:rPr>
              <w:t>c</w:t>
            </w:r>
            <w:r w:rsidRPr="004C7089">
              <w:rPr>
                <w:rFonts w:ascii="Calibri" w:eastAsia="Calibri" w:hAnsi="Calibri" w:cs="Calibri"/>
                <w:b/>
                <w:bCs/>
                <w:color w:val="FFFFFF"/>
                <w:sz w:val="18"/>
                <w:szCs w:val="18"/>
                <w:vertAlign w:val="superscript"/>
              </w:rPr>
              <w:t>)</w:t>
            </w:r>
          </w:p>
        </w:tc>
        <w:tc>
          <w:tcPr>
            <w:tcW w:w="1109" w:type="dxa"/>
            <w:shd w:val="clear" w:color="auto" w:fill="1795D2" w:themeFill="accent1"/>
            <w:tcMar>
              <w:top w:w="0" w:type="dxa"/>
              <w:left w:w="108" w:type="dxa"/>
              <w:bottom w:w="0" w:type="dxa"/>
              <w:right w:w="108" w:type="dxa"/>
            </w:tcMar>
            <w:vAlign w:val="center"/>
            <w:hideMark/>
          </w:tcPr>
          <w:p w14:paraId="0E065BF0" w14:textId="77777777" w:rsidR="004C7089" w:rsidRPr="004C7089" w:rsidRDefault="004C7089" w:rsidP="001E0519">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Peaking</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d</w:t>
            </w:r>
            <w:r w:rsidRPr="004C7089">
              <w:rPr>
                <w:rFonts w:ascii="Calibri" w:eastAsia="Calibri" w:hAnsi="Calibri" w:cs="Calibri"/>
                <w:b/>
                <w:bCs/>
                <w:color w:val="FFFFFF"/>
                <w:sz w:val="18"/>
                <w:szCs w:val="18"/>
                <w:vertAlign w:val="superscript"/>
              </w:rPr>
              <w:t>)</w:t>
            </w:r>
          </w:p>
        </w:tc>
        <w:tc>
          <w:tcPr>
            <w:tcW w:w="1577" w:type="dxa"/>
            <w:gridSpan w:val="2"/>
            <w:shd w:val="clear" w:color="auto" w:fill="1795D2" w:themeFill="accent1"/>
            <w:tcMar>
              <w:top w:w="0" w:type="dxa"/>
              <w:left w:w="108" w:type="dxa"/>
              <w:bottom w:w="0" w:type="dxa"/>
              <w:right w:w="108" w:type="dxa"/>
            </w:tcMar>
            <w:vAlign w:val="center"/>
            <w:hideMark/>
          </w:tcPr>
          <w:p w14:paraId="2501ABE1" w14:textId="77777777" w:rsidR="004C7089" w:rsidRPr="004C7089" w:rsidRDefault="004C7089" w:rsidP="00041505">
            <w:pPr>
              <w:keepNext/>
              <w:keepLines/>
              <w:spacing w:after="0" w:line="240" w:lineRule="auto"/>
              <w:jc w:val="center"/>
              <w:rPr>
                <w:rFonts w:ascii="Calibri" w:eastAsia="Calibri" w:hAnsi="Calibri" w:cs="Calibri"/>
                <w:b/>
                <w:bCs/>
                <w:color w:val="FFFFFF"/>
                <w:sz w:val="18"/>
                <w:szCs w:val="18"/>
              </w:rPr>
            </w:pPr>
            <w:r w:rsidRPr="004C7089">
              <w:rPr>
                <w:rFonts w:ascii="Calibri" w:eastAsia="Calibri" w:hAnsi="Calibri" w:cs="Calibri"/>
                <w:b/>
                <w:bCs/>
                <w:color w:val="FFFFFF"/>
                <w:sz w:val="18"/>
                <w:szCs w:val="18"/>
              </w:rPr>
              <w:t xml:space="preserve">Variable </w:t>
            </w:r>
            <w:r w:rsidR="009E6989">
              <w:rPr>
                <w:rFonts w:ascii="Calibri" w:eastAsia="Calibri" w:hAnsi="Calibri" w:cs="Calibri"/>
                <w:b/>
                <w:bCs/>
                <w:color w:val="FFFFFF"/>
                <w:sz w:val="18"/>
                <w:szCs w:val="18"/>
              </w:rPr>
              <w:t>Energy</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e</w:t>
            </w:r>
            <w:r w:rsidRPr="004C7089">
              <w:rPr>
                <w:rFonts w:ascii="Calibri" w:eastAsia="Calibri" w:hAnsi="Calibri" w:cs="Calibri"/>
                <w:b/>
                <w:bCs/>
                <w:color w:val="FFFFFF"/>
                <w:sz w:val="18"/>
                <w:szCs w:val="18"/>
                <w:vertAlign w:val="superscript"/>
              </w:rPr>
              <w:t>)</w:t>
            </w:r>
          </w:p>
        </w:tc>
      </w:tr>
      <w:tr w:rsidR="004C7089" w:rsidRPr="004C7089" w14:paraId="0887069D" w14:textId="77777777" w:rsidTr="00041505">
        <w:trPr>
          <w:trHeight w:val="270"/>
          <w:jc w:val="center"/>
        </w:trPr>
        <w:tc>
          <w:tcPr>
            <w:tcW w:w="6117" w:type="dxa"/>
            <w:gridSpan w:val="6"/>
            <w:shd w:val="clear" w:color="auto" w:fill="9AD6F4" w:themeFill="accent1" w:themeFillTint="66"/>
            <w:tcMar>
              <w:top w:w="0" w:type="dxa"/>
              <w:left w:w="108" w:type="dxa"/>
              <w:bottom w:w="0" w:type="dxa"/>
              <w:right w:w="108" w:type="dxa"/>
            </w:tcMar>
            <w:vAlign w:val="center"/>
          </w:tcPr>
          <w:p w14:paraId="3F7BB978" w14:textId="77777777" w:rsidR="004C7089" w:rsidRPr="004C7089" w:rsidRDefault="004C7089" w:rsidP="004C7089">
            <w:pPr>
              <w:keepNext/>
              <w:keepLines/>
              <w:spacing w:after="0" w:line="240" w:lineRule="auto"/>
              <w:jc w:val="center"/>
              <w:rPr>
                <w:rFonts w:ascii="Calibri" w:eastAsia="Calibri" w:hAnsi="Calibri" w:cs="Calibri"/>
                <w:b/>
                <w:sz w:val="18"/>
                <w:szCs w:val="18"/>
              </w:rPr>
            </w:pPr>
            <w:r w:rsidRPr="004C7089">
              <w:rPr>
                <w:rFonts w:ascii="Calibri" w:eastAsia="Calibri" w:hAnsi="Calibri" w:cs="Calibri"/>
                <w:b/>
                <w:sz w:val="18"/>
                <w:szCs w:val="18"/>
              </w:rPr>
              <w:t>Summer</w:t>
            </w:r>
          </w:p>
        </w:tc>
      </w:tr>
      <w:tr w:rsidR="004C7089" w:rsidRPr="004C7089" w14:paraId="1405F536" w14:textId="77777777" w:rsidTr="00041505">
        <w:trPr>
          <w:trHeight w:val="270"/>
          <w:jc w:val="center"/>
        </w:trPr>
        <w:tc>
          <w:tcPr>
            <w:tcW w:w="1060" w:type="dxa"/>
            <w:tcMar>
              <w:top w:w="0" w:type="dxa"/>
              <w:left w:w="108" w:type="dxa"/>
              <w:bottom w:w="0" w:type="dxa"/>
              <w:right w:w="108" w:type="dxa"/>
            </w:tcMar>
            <w:vAlign w:val="center"/>
            <w:hideMark/>
          </w:tcPr>
          <w:p w14:paraId="3F157C98"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CT</w:t>
            </w:r>
          </w:p>
        </w:tc>
        <w:tc>
          <w:tcPr>
            <w:tcW w:w="1034" w:type="dxa"/>
            <w:tcMar>
              <w:top w:w="0" w:type="dxa"/>
              <w:left w:w="108" w:type="dxa"/>
              <w:bottom w:w="0" w:type="dxa"/>
              <w:right w:w="108" w:type="dxa"/>
            </w:tcMar>
            <w:vAlign w:val="center"/>
            <w:hideMark/>
          </w:tcPr>
          <w:p w14:paraId="3659989A"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4,307</w:t>
            </w:r>
          </w:p>
        </w:tc>
        <w:tc>
          <w:tcPr>
            <w:tcW w:w="1337" w:type="dxa"/>
            <w:tcMar>
              <w:top w:w="0" w:type="dxa"/>
              <w:left w:w="108" w:type="dxa"/>
              <w:bottom w:w="0" w:type="dxa"/>
              <w:right w:w="108" w:type="dxa"/>
            </w:tcMar>
            <w:vAlign w:val="center"/>
            <w:hideMark/>
          </w:tcPr>
          <w:p w14:paraId="26402D6E"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3,761</w:t>
            </w:r>
          </w:p>
        </w:tc>
        <w:tc>
          <w:tcPr>
            <w:tcW w:w="1109" w:type="dxa"/>
            <w:tcMar>
              <w:top w:w="0" w:type="dxa"/>
              <w:left w:w="108" w:type="dxa"/>
              <w:bottom w:w="0" w:type="dxa"/>
              <w:right w:w="108" w:type="dxa"/>
            </w:tcMar>
            <w:vAlign w:val="center"/>
            <w:hideMark/>
          </w:tcPr>
          <w:p w14:paraId="071B9481"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1,570</w:t>
            </w:r>
          </w:p>
        </w:tc>
        <w:tc>
          <w:tcPr>
            <w:tcW w:w="1577" w:type="dxa"/>
            <w:gridSpan w:val="2"/>
            <w:tcMar>
              <w:top w:w="0" w:type="dxa"/>
              <w:left w:w="108" w:type="dxa"/>
              <w:bottom w:w="0" w:type="dxa"/>
              <w:right w:w="108" w:type="dxa"/>
            </w:tcMar>
            <w:vAlign w:val="center"/>
            <w:hideMark/>
          </w:tcPr>
          <w:p w14:paraId="481CCD8A"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1</w:t>
            </w:r>
          </w:p>
        </w:tc>
      </w:tr>
      <w:tr w:rsidR="004C7089" w:rsidRPr="004C7089" w14:paraId="611D0234" w14:textId="77777777"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14:paraId="439CD66F"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ME</w:t>
            </w:r>
          </w:p>
        </w:tc>
        <w:tc>
          <w:tcPr>
            <w:tcW w:w="1034" w:type="dxa"/>
            <w:shd w:val="clear" w:color="auto" w:fill="CCEAF9" w:themeFill="accent1" w:themeFillTint="33"/>
            <w:tcMar>
              <w:top w:w="0" w:type="dxa"/>
              <w:left w:w="108" w:type="dxa"/>
              <w:bottom w:w="0" w:type="dxa"/>
              <w:right w:w="108" w:type="dxa"/>
            </w:tcMar>
            <w:vAlign w:val="center"/>
            <w:hideMark/>
          </w:tcPr>
          <w:p w14:paraId="72DB348A"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1,285</w:t>
            </w:r>
          </w:p>
        </w:tc>
        <w:tc>
          <w:tcPr>
            <w:tcW w:w="1337" w:type="dxa"/>
            <w:shd w:val="clear" w:color="auto" w:fill="CCEAF9" w:themeFill="accent1" w:themeFillTint="33"/>
            <w:tcMar>
              <w:top w:w="0" w:type="dxa"/>
              <w:left w:w="108" w:type="dxa"/>
              <w:bottom w:w="0" w:type="dxa"/>
              <w:right w:w="108" w:type="dxa"/>
            </w:tcMar>
            <w:vAlign w:val="center"/>
            <w:hideMark/>
          </w:tcPr>
          <w:p w14:paraId="5E7B98A1"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14:paraId="469B3420"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169</w:t>
            </w:r>
          </w:p>
        </w:tc>
        <w:tc>
          <w:tcPr>
            <w:tcW w:w="1577" w:type="dxa"/>
            <w:gridSpan w:val="2"/>
            <w:shd w:val="clear" w:color="auto" w:fill="CCEAF9" w:themeFill="accent1" w:themeFillTint="33"/>
            <w:tcMar>
              <w:top w:w="0" w:type="dxa"/>
              <w:left w:w="108" w:type="dxa"/>
              <w:bottom w:w="0" w:type="dxa"/>
              <w:right w:w="108" w:type="dxa"/>
            </w:tcMar>
            <w:vAlign w:val="center"/>
            <w:hideMark/>
          </w:tcPr>
          <w:p w14:paraId="4B2B8F15"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173</w:t>
            </w:r>
          </w:p>
        </w:tc>
      </w:tr>
      <w:tr w:rsidR="004C7089" w:rsidRPr="004C7089" w14:paraId="3C05D667" w14:textId="77777777" w:rsidTr="00041505">
        <w:trPr>
          <w:trHeight w:val="270"/>
          <w:jc w:val="center"/>
        </w:trPr>
        <w:tc>
          <w:tcPr>
            <w:tcW w:w="1060" w:type="dxa"/>
            <w:tcMar>
              <w:top w:w="0" w:type="dxa"/>
              <w:left w:w="108" w:type="dxa"/>
              <w:bottom w:w="0" w:type="dxa"/>
              <w:right w:w="108" w:type="dxa"/>
            </w:tcMar>
            <w:vAlign w:val="center"/>
            <w:hideMark/>
          </w:tcPr>
          <w:p w14:paraId="30EA5C1C"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 xml:space="preserve">NEMA </w:t>
            </w:r>
          </w:p>
        </w:tc>
        <w:tc>
          <w:tcPr>
            <w:tcW w:w="1034" w:type="dxa"/>
            <w:tcMar>
              <w:top w:w="0" w:type="dxa"/>
              <w:left w:w="108" w:type="dxa"/>
              <w:bottom w:w="0" w:type="dxa"/>
              <w:right w:w="108" w:type="dxa"/>
            </w:tcMar>
            <w:vAlign w:val="center"/>
            <w:hideMark/>
          </w:tcPr>
          <w:p w14:paraId="29DC6222"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674</w:t>
            </w:r>
          </w:p>
        </w:tc>
        <w:tc>
          <w:tcPr>
            <w:tcW w:w="1337" w:type="dxa"/>
            <w:tcMar>
              <w:top w:w="0" w:type="dxa"/>
              <w:left w:w="108" w:type="dxa"/>
              <w:bottom w:w="0" w:type="dxa"/>
              <w:right w:w="108" w:type="dxa"/>
            </w:tcMar>
            <w:vAlign w:val="center"/>
            <w:hideMark/>
          </w:tcPr>
          <w:p w14:paraId="06AD8287"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2,353</w:t>
            </w:r>
          </w:p>
        </w:tc>
        <w:tc>
          <w:tcPr>
            <w:tcW w:w="1109" w:type="dxa"/>
            <w:tcMar>
              <w:top w:w="0" w:type="dxa"/>
              <w:left w:w="108" w:type="dxa"/>
              <w:bottom w:w="0" w:type="dxa"/>
              <w:right w:w="108" w:type="dxa"/>
            </w:tcMar>
            <w:vAlign w:val="center"/>
            <w:hideMark/>
          </w:tcPr>
          <w:p w14:paraId="49753628"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277</w:t>
            </w:r>
          </w:p>
        </w:tc>
        <w:tc>
          <w:tcPr>
            <w:tcW w:w="1577" w:type="dxa"/>
            <w:gridSpan w:val="2"/>
            <w:tcMar>
              <w:top w:w="0" w:type="dxa"/>
              <w:left w:w="108" w:type="dxa"/>
              <w:bottom w:w="0" w:type="dxa"/>
              <w:right w:w="108" w:type="dxa"/>
            </w:tcMar>
            <w:vAlign w:val="center"/>
            <w:hideMark/>
          </w:tcPr>
          <w:p w14:paraId="30AB7074"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31</w:t>
            </w:r>
          </w:p>
        </w:tc>
      </w:tr>
      <w:tr w:rsidR="004C7089" w:rsidRPr="004C7089" w14:paraId="7E31D745" w14:textId="77777777"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14:paraId="46FEF31A"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NH</w:t>
            </w:r>
          </w:p>
        </w:tc>
        <w:tc>
          <w:tcPr>
            <w:tcW w:w="1034" w:type="dxa"/>
            <w:shd w:val="clear" w:color="auto" w:fill="CCEAF9" w:themeFill="accent1" w:themeFillTint="33"/>
            <w:tcMar>
              <w:top w:w="0" w:type="dxa"/>
              <w:left w:w="108" w:type="dxa"/>
              <w:bottom w:w="0" w:type="dxa"/>
              <w:right w:w="108" w:type="dxa"/>
            </w:tcMar>
            <w:vAlign w:val="center"/>
            <w:hideMark/>
          </w:tcPr>
          <w:p w14:paraId="3DC10370"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2,868</w:t>
            </w:r>
          </w:p>
        </w:tc>
        <w:tc>
          <w:tcPr>
            <w:tcW w:w="1337" w:type="dxa"/>
            <w:shd w:val="clear" w:color="auto" w:fill="CCEAF9" w:themeFill="accent1" w:themeFillTint="33"/>
            <w:tcMar>
              <w:top w:w="0" w:type="dxa"/>
              <w:left w:w="108" w:type="dxa"/>
              <w:bottom w:w="0" w:type="dxa"/>
              <w:right w:w="108" w:type="dxa"/>
            </w:tcMar>
            <w:vAlign w:val="center"/>
            <w:hideMark/>
          </w:tcPr>
          <w:p w14:paraId="30ADB51B"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1,24</w:t>
            </w:r>
            <w:r w:rsidR="00215CD6">
              <w:rPr>
                <w:rFonts w:ascii="Calibri" w:eastAsia="Calibri" w:hAnsi="Calibri" w:cs="Calibri"/>
                <w:sz w:val="18"/>
                <w:szCs w:val="18"/>
              </w:rPr>
              <w:t>0</w:t>
            </w:r>
          </w:p>
        </w:tc>
        <w:tc>
          <w:tcPr>
            <w:tcW w:w="1109" w:type="dxa"/>
            <w:shd w:val="clear" w:color="auto" w:fill="CCEAF9" w:themeFill="accent1" w:themeFillTint="33"/>
            <w:tcMar>
              <w:top w:w="0" w:type="dxa"/>
              <w:left w:w="108" w:type="dxa"/>
              <w:bottom w:w="0" w:type="dxa"/>
              <w:right w:w="108" w:type="dxa"/>
            </w:tcMar>
            <w:vAlign w:val="center"/>
            <w:hideMark/>
          </w:tcPr>
          <w:p w14:paraId="1309A959"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81</w:t>
            </w:r>
          </w:p>
        </w:tc>
        <w:tc>
          <w:tcPr>
            <w:tcW w:w="1577" w:type="dxa"/>
            <w:gridSpan w:val="2"/>
            <w:shd w:val="clear" w:color="auto" w:fill="CCEAF9" w:themeFill="accent1" w:themeFillTint="33"/>
            <w:tcMar>
              <w:top w:w="0" w:type="dxa"/>
              <w:left w:w="108" w:type="dxa"/>
              <w:bottom w:w="0" w:type="dxa"/>
              <w:right w:w="108" w:type="dxa"/>
            </w:tcMar>
            <w:vAlign w:val="center"/>
            <w:hideMark/>
          </w:tcPr>
          <w:p w14:paraId="74B27B51"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52</w:t>
            </w:r>
          </w:p>
        </w:tc>
      </w:tr>
      <w:tr w:rsidR="004C7089" w:rsidRPr="004C7089" w14:paraId="51860DF8" w14:textId="77777777" w:rsidTr="00041505">
        <w:trPr>
          <w:trHeight w:val="270"/>
          <w:jc w:val="center"/>
        </w:trPr>
        <w:tc>
          <w:tcPr>
            <w:tcW w:w="1060" w:type="dxa"/>
            <w:tcMar>
              <w:top w:w="0" w:type="dxa"/>
              <w:left w:w="108" w:type="dxa"/>
              <w:bottom w:w="0" w:type="dxa"/>
              <w:right w:w="108" w:type="dxa"/>
            </w:tcMar>
            <w:vAlign w:val="center"/>
            <w:hideMark/>
          </w:tcPr>
          <w:p w14:paraId="591C7437"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RI</w:t>
            </w:r>
          </w:p>
        </w:tc>
        <w:tc>
          <w:tcPr>
            <w:tcW w:w="1034" w:type="dxa"/>
            <w:tcMar>
              <w:top w:w="0" w:type="dxa"/>
              <w:left w:w="108" w:type="dxa"/>
              <w:bottom w:w="0" w:type="dxa"/>
              <w:right w:w="108" w:type="dxa"/>
            </w:tcMar>
            <w:vAlign w:val="center"/>
            <w:hideMark/>
          </w:tcPr>
          <w:p w14:paraId="33A34F74"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w:t>
            </w:r>
            <w:r w:rsidR="00215CD6">
              <w:rPr>
                <w:rFonts w:ascii="Calibri" w:eastAsia="Calibri" w:hAnsi="Calibri" w:cs="Calibri"/>
                <w:sz w:val="18"/>
                <w:szCs w:val="18"/>
              </w:rPr>
              <w:t>6</w:t>
            </w:r>
          </w:p>
        </w:tc>
        <w:tc>
          <w:tcPr>
            <w:tcW w:w="1337" w:type="dxa"/>
            <w:tcMar>
              <w:top w:w="0" w:type="dxa"/>
              <w:left w:w="108" w:type="dxa"/>
              <w:bottom w:w="0" w:type="dxa"/>
              <w:right w:w="108" w:type="dxa"/>
            </w:tcMar>
            <w:vAlign w:val="center"/>
            <w:hideMark/>
          </w:tcPr>
          <w:p w14:paraId="1B2BD715"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1,889</w:t>
            </w:r>
          </w:p>
        </w:tc>
        <w:tc>
          <w:tcPr>
            <w:tcW w:w="1109" w:type="dxa"/>
            <w:tcMar>
              <w:top w:w="0" w:type="dxa"/>
              <w:left w:w="108" w:type="dxa"/>
              <w:bottom w:w="0" w:type="dxa"/>
              <w:right w:w="108" w:type="dxa"/>
            </w:tcMar>
            <w:vAlign w:val="center"/>
            <w:hideMark/>
          </w:tcPr>
          <w:p w14:paraId="7BE6EE1B"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577" w:type="dxa"/>
            <w:gridSpan w:val="2"/>
            <w:tcMar>
              <w:top w:w="0" w:type="dxa"/>
              <w:left w:w="108" w:type="dxa"/>
              <w:bottom w:w="0" w:type="dxa"/>
              <w:right w:w="108" w:type="dxa"/>
            </w:tcMar>
            <w:vAlign w:val="center"/>
            <w:hideMark/>
          </w:tcPr>
          <w:p w14:paraId="65498BD3"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46</w:t>
            </w:r>
          </w:p>
        </w:tc>
      </w:tr>
      <w:tr w:rsidR="004C7089" w:rsidRPr="004C7089" w14:paraId="33C5C1E3" w14:textId="77777777"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14:paraId="1ED2C7A6"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SEMA</w:t>
            </w:r>
          </w:p>
        </w:tc>
        <w:tc>
          <w:tcPr>
            <w:tcW w:w="1034" w:type="dxa"/>
            <w:shd w:val="clear" w:color="auto" w:fill="CCEAF9" w:themeFill="accent1" w:themeFillTint="33"/>
            <w:tcMar>
              <w:top w:w="0" w:type="dxa"/>
              <w:left w:w="108" w:type="dxa"/>
              <w:bottom w:w="0" w:type="dxa"/>
              <w:right w:w="108" w:type="dxa"/>
            </w:tcMar>
            <w:vAlign w:val="center"/>
            <w:hideMark/>
          </w:tcPr>
          <w:p w14:paraId="1741FC01"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1,222</w:t>
            </w:r>
          </w:p>
        </w:tc>
        <w:tc>
          <w:tcPr>
            <w:tcW w:w="1337" w:type="dxa"/>
            <w:shd w:val="clear" w:color="auto" w:fill="CCEAF9" w:themeFill="accent1" w:themeFillTint="33"/>
            <w:tcMar>
              <w:top w:w="0" w:type="dxa"/>
              <w:left w:w="108" w:type="dxa"/>
              <w:bottom w:w="0" w:type="dxa"/>
              <w:right w:w="108" w:type="dxa"/>
            </w:tcMar>
            <w:vAlign w:val="center"/>
            <w:hideMark/>
          </w:tcPr>
          <w:p w14:paraId="596D7DE4"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2,585</w:t>
            </w:r>
          </w:p>
        </w:tc>
        <w:tc>
          <w:tcPr>
            <w:tcW w:w="1109" w:type="dxa"/>
            <w:shd w:val="clear" w:color="auto" w:fill="CCEAF9" w:themeFill="accent1" w:themeFillTint="33"/>
            <w:tcMar>
              <w:top w:w="0" w:type="dxa"/>
              <w:left w:w="108" w:type="dxa"/>
              <w:bottom w:w="0" w:type="dxa"/>
              <w:right w:w="108" w:type="dxa"/>
            </w:tcMar>
            <w:vAlign w:val="center"/>
            <w:hideMark/>
          </w:tcPr>
          <w:p w14:paraId="58837143"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714</w:t>
            </w:r>
          </w:p>
        </w:tc>
        <w:tc>
          <w:tcPr>
            <w:tcW w:w="1577" w:type="dxa"/>
            <w:gridSpan w:val="2"/>
            <w:shd w:val="clear" w:color="auto" w:fill="CCEAF9" w:themeFill="accent1" w:themeFillTint="33"/>
            <w:tcMar>
              <w:top w:w="0" w:type="dxa"/>
              <w:left w:w="108" w:type="dxa"/>
              <w:bottom w:w="0" w:type="dxa"/>
              <w:right w:w="108" w:type="dxa"/>
            </w:tcMar>
            <w:vAlign w:val="center"/>
            <w:hideMark/>
          </w:tcPr>
          <w:p w14:paraId="459D0496"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152</w:t>
            </w:r>
          </w:p>
        </w:tc>
      </w:tr>
      <w:tr w:rsidR="004C7089" w:rsidRPr="004C7089" w14:paraId="64191B43" w14:textId="77777777" w:rsidTr="00041505">
        <w:trPr>
          <w:trHeight w:val="270"/>
          <w:jc w:val="center"/>
        </w:trPr>
        <w:tc>
          <w:tcPr>
            <w:tcW w:w="1060" w:type="dxa"/>
            <w:tcMar>
              <w:top w:w="0" w:type="dxa"/>
              <w:left w:w="108" w:type="dxa"/>
              <w:bottom w:w="0" w:type="dxa"/>
              <w:right w:w="108" w:type="dxa"/>
            </w:tcMar>
            <w:vAlign w:val="center"/>
            <w:hideMark/>
          </w:tcPr>
          <w:p w14:paraId="44AC01AC"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VT</w:t>
            </w:r>
          </w:p>
        </w:tc>
        <w:tc>
          <w:tcPr>
            <w:tcW w:w="1034" w:type="dxa"/>
            <w:tcMar>
              <w:top w:w="0" w:type="dxa"/>
              <w:left w:w="115" w:type="dxa"/>
              <w:bottom w:w="0" w:type="dxa"/>
              <w:right w:w="115" w:type="dxa"/>
            </w:tcMar>
            <w:vAlign w:val="center"/>
            <w:hideMark/>
          </w:tcPr>
          <w:p w14:paraId="15C90605"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101</w:t>
            </w:r>
          </w:p>
        </w:tc>
        <w:tc>
          <w:tcPr>
            <w:tcW w:w="1337" w:type="dxa"/>
            <w:tcMar>
              <w:top w:w="0" w:type="dxa"/>
              <w:left w:w="108" w:type="dxa"/>
              <w:bottom w:w="0" w:type="dxa"/>
              <w:right w:w="108" w:type="dxa"/>
            </w:tcMar>
            <w:vAlign w:val="center"/>
            <w:hideMark/>
          </w:tcPr>
          <w:p w14:paraId="5BF89BD2"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0</w:t>
            </w:r>
          </w:p>
        </w:tc>
        <w:tc>
          <w:tcPr>
            <w:tcW w:w="1109" w:type="dxa"/>
            <w:tcMar>
              <w:top w:w="0" w:type="dxa"/>
              <w:left w:w="108" w:type="dxa"/>
              <w:bottom w:w="0" w:type="dxa"/>
              <w:right w:w="108" w:type="dxa"/>
            </w:tcMar>
            <w:vAlign w:val="center"/>
            <w:hideMark/>
          </w:tcPr>
          <w:p w14:paraId="6B7EB55B"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132</w:t>
            </w:r>
          </w:p>
        </w:tc>
        <w:tc>
          <w:tcPr>
            <w:tcW w:w="1577" w:type="dxa"/>
            <w:gridSpan w:val="2"/>
            <w:tcMar>
              <w:top w:w="0" w:type="dxa"/>
              <w:left w:w="108" w:type="dxa"/>
              <w:bottom w:w="0" w:type="dxa"/>
              <w:right w:w="108" w:type="dxa"/>
            </w:tcMar>
            <w:vAlign w:val="center"/>
            <w:hideMark/>
          </w:tcPr>
          <w:p w14:paraId="77005DBD"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w:t>
            </w:r>
          </w:p>
        </w:tc>
      </w:tr>
      <w:tr w:rsidR="004C7089" w:rsidRPr="004C7089" w14:paraId="5E7B927F" w14:textId="77777777" w:rsidTr="00041505">
        <w:trPr>
          <w:trHeight w:val="270"/>
          <w:jc w:val="center"/>
        </w:trPr>
        <w:tc>
          <w:tcPr>
            <w:tcW w:w="1060" w:type="dxa"/>
            <w:shd w:val="clear" w:color="auto" w:fill="CCEAF9" w:themeFill="accent1" w:themeFillTint="33"/>
            <w:tcMar>
              <w:top w:w="0" w:type="dxa"/>
              <w:left w:w="108" w:type="dxa"/>
              <w:bottom w:w="0" w:type="dxa"/>
              <w:right w:w="108" w:type="dxa"/>
            </w:tcMar>
            <w:vAlign w:val="center"/>
            <w:hideMark/>
          </w:tcPr>
          <w:p w14:paraId="3237C011" w14:textId="77777777" w:rsidR="004C7089" w:rsidRPr="004C7089" w:rsidRDefault="004C7089" w:rsidP="004C7089">
            <w:pPr>
              <w:keepNext/>
              <w:keepLines/>
              <w:spacing w:after="0" w:line="240" w:lineRule="auto"/>
              <w:rPr>
                <w:rFonts w:ascii="Calibri" w:eastAsia="Calibri" w:hAnsi="Calibri" w:cs="Calibri"/>
                <w:b/>
                <w:bCs/>
                <w:color w:val="000000"/>
                <w:sz w:val="18"/>
                <w:szCs w:val="18"/>
              </w:rPr>
            </w:pPr>
            <w:r w:rsidRPr="004C7089">
              <w:rPr>
                <w:rFonts w:ascii="Calibri" w:eastAsia="Calibri" w:hAnsi="Calibri" w:cs="Calibri"/>
                <w:b/>
                <w:bCs/>
                <w:color w:val="000000"/>
                <w:sz w:val="18"/>
                <w:szCs w:val="18"/>
              </w:rPr>
              <w:t>WCMA</w:t>
            </w:r>
          </w:p>
        </w:tc>
        <w:tc>
          <w:tcPr>
            <w:tcW w:w="1034" w:type="dxa"/>
            <w:shd w:val="clear" w:color="auto" w:fill="CCEAF9" w:themeFill="accent1" w:themeFillTint="33"/>
            <w:tcMar>
              <w:top w:w="0" w:type="dxa"/>
              <w:left w:w="108" w:type="dxa"/>
              <w:bottom w:w="0" w:type="dxa"/>
              <w:right w:w="108" w:type="dxa"/>
            </w:tcMar>
            <w:vAlign w:val="center"/>
            <w:hideMark/>
          </w:tcPr>
          <w:p w14:paraId="1FD02724"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286</w:t>
            </w:r>
          </w:p>
        </w:tc>
        <w:tc>
          <w:tcPr>
            <w:tcW w:w="1337" w:type="dxa"/>
            <w:shd w:val="clear" w:color="auto" w:fill="CCEAF9" w:themeFill="accent1" w:themeFillTint="33"/>
            <w:tcMar>
              <w:top w:w="0" w:type="dxa"/>
              <w:left w:w="108" w:type="dxa"/>
              <w:bottom w:w="0" w:type="dxa"/>
              <w:right w:w="108" w:type="dxa"/>
            </w:tcMar>
            <w:vAlign w:val="center"/>
            <w:hideMark/>
          </w:tcPr>
          <w:p w14:paraId="0F7A5730"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1,440</w:t>
            </w:r>
          </w:p>
        </w:tc>
        <w:tc>
          <w:tcPr>
            <w:tcW w:w="1109" w:type="dxa"/>
            <w:shd w:val="clear" w:color="auto" w:fill="CCEAF9" w:themeFill="accent1" w:themeFillTint="33"/>
            <w:tcMar>
              <w:top w:w="0" w:type="dxa"/>
              <w:left w:w="108" w:type="dxa"/>
              <w:bottom w:w="0" w:type="dxa"/>
              <w:right w:w="108" w:type="dxa"/>
            </w:tcMar>
            <w:vAlign w:val="center"/>
            <w:hideMark/>
          </w:tcPr>
          <w:p w14:paraId="636F8E5F"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2,056</w:t>
            </w:r>
          </w:p>
        </w:tc>
        <w:tc>
          <w:tcPr>
            <w:tcW w:w="1577" w:type="dxa"/>
            <w:gridSpan w:val="2"/>
            <w:shd w:val="clear" w:color="auto" w:fill="CCEAF9" w:themeFill="accent1" w:themeFillTint="33"/>
            <w:tcMar>
              <w:top w:w="0" w:type="dxa"/>
              <w:left w:w="108" w:type="dxa"/>
              <w:bottom w:w="0" w:type="dxa"/>
              <w:right w:w="108" w:type="dxa"/>
            </w:tcMar>
            <w:vAlign w:val="center"/>
            <w:hideMark/>
          </w:tcPr>
          <w:p w14:paraId="49B5CCB8" w14:textId="77777777" w:rsidR="004C7089" w:rsidRPr="004C7089" w:rsidRDefault="004C7089" w:rsidP="004C7089">
            <w:pPr>
              <w:keepNext/>
              <w:keepLines/>
              <w:spacing w:after="0" w:line="240" w:lineRule="auto"/>
              <w:jc w:val="right"/>
              <w:rPr>
                <w:rFonts w:ascii="Calibri" w:eastAsia="Calibri" w:hAnsi="Calibri" w:cs="Calibri"/>
                <w:sz w:val="18"/>
                <w:szCs w:val="18"/>
              </w:rPr>
            </w:pPr>
            <w:r w:rsidRPr="004C7089">
              <w:rPr>
                <w:rFonts w:ascii="Calibri" w:eastAsia="Calibri" w:hAnsi="Calibri" w:cs="Calibri"/>
                <w:sz w:val="18"/>
                <w:szCs w:val="18"/>
              </w:rPr>
              <w:t>261</w:t>
            </w:r>
          </w:p>
        </w:tc>
      </w:tr>
      <w:tr w:rsidR="004C7089" w:rsidRPr="004C7089" w14:paraId="377AE592" w14:textId="77777777" w:rsidTr="00041505">
        <w:trPr>
          <w:trHeight w:val="300"/>
          <w:jc w:val="center"/>
        </w:trPr>
        <w:tc>
          <w:tcPr>
            <w:tcW w:w="1060" w:type="dxa"/>
            <w:shd w:val="clear" w:color="auto" w:fill="1795D2" w:themeFill="accent1"/>
            <w:tcMar>
              <w:top w:w="0" w:type="dxa"/>
              <w:left w:w="108" w:type="dxa"/>
              <w:bottom w:w="0" w:type="dxa"/>
              <w:right w:w="108" w:type="dxa"/>
            </w:tcMar>
            <w:vAlign w:val="center"/>
            <w:hideMark/>
          </w:tcPr>
          <w:p w14:paraId="45B0024E" w14:textId="77777777" w:rsidR="004C7089" w:rsidRPr="004C7089" w:rsidRDefault="004C7089" w:rsidP="001E0519">
            <w:pPr>
              <w:keepNext/>
              <w:keepLines/>
              <w:spacing w:after="0" w:line="240" w:lineRule="auto"/>
              <w:rPr>
                <w:rFonts w:ascii="Calibri" w:eastAsia="Calibri" w:hAnsi="Calibri" w:cs="Calibri"/>
                <w:b/>
                <w:bCs/>
                <w:color w:val="FFFFFF"/>
                <w:sz w:val="18"/>
                <w:szCs w:val="18"/>
              </w:rPr>
            </w:pPr>
            <w:r w:rsidRPr="004C7089">
              <w:rPr>
                <w:rFonts w:ascii="Calibri" w:eastAsia="Calibri" w:hAnsi="Calibri" w:cs="Calibri"/>
                <w:b/>
                <w:bCs/>
                <w:color w:val="FFFFFF"/>
                <w:sz w:val="18"/>
                <w:szCs w:val="18"/>
              </w:rPr>
              <w:t>Total</w:t>
            </w:r>
            <w:r w:rsidRPr="004C7089">
              <w:rPr>
                <w:rFonts w:ascii="Calibri" w:eastAsia="Calibri" w:hAnsi="Calibri" w:cs="Calibri"/>
                <w:b/>
                <w:bCs/>
                <w:color w:val="FFFFFF"/>
                <w:sz w:val="18"/>
                <w:szCs w:val="18"/>
                <w:vertAlign w:val="superscript"/>
              </w:rPr>
              <w:t>(</w:t>
            </w:r>
            <w:r w:rsidR="001E0519">
              <w:rPr>
                <w:rFonts w:ascii="Calibri" w:eastAsia="Calibri" w:hAnsi="Calibri" w:cs="Calibri"/>
                <w:b/>
                <w:bCs/>
                <w:color w:val="FFFFFF"/>
                <w:sz w:val="18"/>
                <w:szCs w:val="18"/>
                <w:vertAlign w:val="superscript"/>
              </w:rPr>
              <w:t>f</w:t>
            </w:r>
            <w:r w:rsidRPr="004C7089">
              <w:rPr>
                <w:rFonts w:ascii="Calibri" w:eastAsia="Calibri" w:hAnsi="Calibri" w:cs="Calibri"/>
                <w:b/>
                <w:bCs/>
                <w:color w:val="FFFFFF"/>
                <w:sz w:val="18"/>
                <w:szCs w:val="18"/>
                <w:vertAlign w:val="superscript"/>
              </w:rPr>
              <w:t>)</w:t>
            </w:r>
          </w:p>
        </w:tc>
        <w:tc>
          <w:tcPr>
            <w:tcW w:w="1034" w:type="dxa"/>
            <w:shd w:val="clear" w:color="auto" w:fill="1795D2" w:themeFill="accent1"/>
            <w:tcMar>
              <w:top w:w="0" w:type="dxa"/>
              <w:left w:w="108" w:type="dxa"/>
              <w:bottom w:w="0" w:type="dxa"/>
              <w:right w:w="108" w:type="dxa"/>
            </w:tcMar>
            <w:vAlign w:val="center"/>
            <w:hideMark/>
          </w:tcPr>
          <w:p w14:paraId="0C5540F5"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10,770</w:t>
            </w:r>
          </w:p>
        </w:tc>
        <w:tc>
          <w:tcPr>
            <w:tcW w:w="1337" w:type="dxa"/>
            <w:shd w:val="clear" w:color="auto" w:fill="1795D2" w:themeFill="accent1"/>
            <w:tcMar>
              <w:top w:w="0" w:type="dxa"/>
              <w:left w:w="108" w:type="dxa"/>
              <w:bottom w:w="0" w:type="dxa"/>
              <w:right w:w="108" w:type="dxa"/>
            </w:tcMar>
            <w:vAlign w:val="center"/>
            <w:hideMark/>
          </w:tcPr>
          <w:p w14:paraId="3DA9A995"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14,709</w:t>
            </w:r>
          </w:p>
        </w:tc>
        <w:tc>
          <w:tcPr>
            <w:tcW w:w="1109" w:type="dxa"/>
            <w:shd w:val="clear" w:color="auto" w:fill="1795D2" w:themeFill="accent1"/>
            <w:tcMar>
              <w:top w:w="0" w:type="dxa"/>
              <w:left w:w="108" w:type="dxa"/>
              <w:bottom w:w="0" w:type="dxa"/>
              <w:right w:w="108" w:type="dxa"/>
            </w:tcMar>
            <w:vAlign w:val="center"/>
            <w:hideMark/>
          </w:tcPr>
          <w:p w14:paraId="30DB83E9"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5,000</w:t>
            </w:r>
          </w:p>
        </w:tc>
        <w:tc>
          <w:tcPr>
            <w:tcW w:w="1577" w:type="dxa"/>
            <w:gridSpan w:val="2"/>
            <w:shd w:val="clear" w:color="auto" w:fill="1795D2" w:themeFill="accent1"/>
            <w:tcMar>
              <w:top w:w="0" w:type="dxa"/>
              <w:left w:w="108" w:type="dxa"/>
              <w:bottom w:w="0" w:type="dxa"/>
              <w:right w:w="108" w:type="dxa"/>
            </w:tcMar>
            <w:vAlign w:val="center"/>
            <w:hideMark/>
          </w:tcPr>
          <w:p w14:paraId="70603FC2"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cs="Calibri"/>
                <w:b/>
                <w:color w:val="FFFFFF" w:themeColor="background1"/>
                <w:sz w:val="18"/>
                <w:szCs w:val="18"/>
              </w:rPr>
              <w:t>763</w:t>
            </w:r>
          </w:p>
        </w:tc>
      </w:tr>
      <w:tr w:rsidR="004C7089" w:rsidRPr="004C7089" w14:paraId="426FFA00" w14:textId="77777777" w:rsidTr="00041505">
        <w:trPr>
          <w:trHeight w:val="300"/>
          <w:jc w:val="center"/>
        </w:trPr>
        <w:tc>
          <w:tcPr>
            <w:tcW w:w="6117" w:type="dxa"/>
            <w:gridSpan w:val="6"/>
            <w:shd w:val="clear" w:color="auto" w:fill="9AD6F4" w:themeFill="accent1" w:themeFillTint="66"/>
            <w:tcMar>
              <w:top w:w="0" w:type="dxa"/>
              <w:left w:w="108" w:type="dxa"/>
              <w:bottom w:w="0" w:type="dxa"/>
              <w:right w:w="108" w:type="dxa"/>
            </w:tcMar>
            <w:vAlign w:val="center"/>
          </w:tcPr>
          <w:p w14:paraId="00C5E1B1" w14:textId="77777777" w:rsidR="004C7089" w:rsidRPr="004C7089" w:rsidRDefault="004C7089" w:rsidP="004C7089">
            <w:pPr>
              <w:keepNext/>
              <w:keepLines/>
              <w:spacing w:after="0" w:line="240" w:lineRule="auto"/>
              <w:jc w:val="center"/>
              <w:rPr>
                <w:rFonts w:ascii="Calibri" w:eastAsia="Calibri" w:hAnsi="Calibri" w:cs="Calibri"/>
                <w:b/>
                <w:color w:val="000000"/>
                <w:sz w:val="18"/>
                <w:szCs w:val="18"/>
              </w:rPr>
            </w:pPr>
            <w:r w:rsidRPr="004C7089">
              <w:rPr>
                <w:rFonts w:ascii="Calibri" w:eastAsia="Calibri" w:hAnsi="Calibri" w:cs="Calibri"/>
                <w:b/>
                <w:color w:val="000000"/>
                <w:sz w:val="18"/>
                <w:szCs w:val="18"/>
              </w:rPr>
              <w:t>Winter</w:t>
            </w:r>
          </w:p>
        </w:tc>
      </w:tr>
      <w:tr w:rsidR="004C7089" w:rsidRPr="004C7089" w14:paraId="0D43CFC8" w14:textId="77777777" w:rsidTr="00041505">
        <w:trPr>
          <w:trHeight w:val="300"/>
          <w:jc w:val="center"/>
        </w:trPr>
        <w:tc>
          <w:tcPr>
            <w:tcW w:w="1060" w:type="dxa"/>
            <w:tcMar>
              <w:top w:w="0" w:type="dxa"/>
              <w:left w:w="108" w:type="dxa"/>
              <w:bottom w:w="0" w:type="dxa"/>
              <w:right w:w="108" w:type="dxa"/>
            </w:tcMar>
            <w:vAlign w:val="center"/>
          </w:tcPr>
          <w:p w14:paraId="5CD69C67"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CT</w:t>
            </w:r>
          </w:p>
        </w:tc>
        <w:tc>
          <w:tcPr>
            <w:tcW w:w="1034" w:type="dxa"/>
            <w:tcMar>
              <w:right w:w="115" w:type="dxa"/>
            </w:tcMar>
            <w:vAlign w:val="center"/>
          </w:tcPr>
          <w:p w14:paraId="303B0EE2"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4,434</w:t>
            </w:r>
          </w:p>
        </w:tc>
        <w:tc>
          <w:tcPr>
            <w:tcW w:w="1337" w:type="dxa"/>
            <w:tcMar>
              <w:right w:w="115" w:type="dxa"/>
            </w:tcMar>
            <w:vAlign w:val="center"/>
          </w:tcPr>
          <w:p w14:paraId="64B6CA6B"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3,594</w:t>
            </w:r>
          </w:p>
        </w:tc>
        <w:tc>
          <w:tcPr>
            <w:tcW w:w="1177" w:type="dxa"/>
            <w:gridSpan w:val="2"/>
            <w:tcMar>
              <w:right w:w="115" w:type="dxa"/>
            </w:tcMar>
            <w:vAlign w:val="center"/>
          </w:tcPr>
          <w:p w14:paraId="53804E4D"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1,808</w:t>
            </w:r>
          </w:p>
        </w:tc>
        <w:tc>
          <w:tcPr>
            <w:tcW w:w="1509" w:type="dxa"/>
            <w:tcMar>
              <w:right w:w="115" w:type="dxa"/>
            </w:tcMar>
            <w:vAlign w:val="center"/>
          </w:tcPr>
          <w:p w14:paraId="7C48BB3B"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23</w:t>
            </w:r>
          </w:p>
        </w:tc>
      </w:tr>
      <w:tr w:rsidR="004C7089" w:rsidRPr="004C7089" w14:paraId="0FCEB3EB" w14:textId="77777777"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14:paraId="7D86DD2E"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ME</w:t>
            </w:r>
          </w:p>
        </w:tc>
        <w:tc>
          <w:tcPr>
            <w:tcW w:w="1034" w:type="dxa"/>
            <w:shd w:val="clear" w:color="auto" w:fill="CCEAF9" w:themeFill="accent1" w:themeFillTint="33"/>
            <w:tcMar>
              <w:right w:w="115" w:type="dxa"/>
            </w:tcMar>
            <w:vAlign w:val="center"/>
          </w:tcPr>
          <w:p w14:paraId="39E03063"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1,432</w:t>
            </w:r>
          </w:p>
        </w:tc>
        <w:tc>
          <w:tcPr>
            <w:tcW w:w="1337" w:type="dxa"/>
            <w:shd w:val="clear" w:color="auto" w:fill="CCEAF9" w:themeFill="accent1" w:themeFillTint="33"/>
            <w:tcMar>
              <w:right w:w="115" w:type="dxa"/>
            </w:tcMar>
            <w:vAlign w:val="center"/>
          </w:tcPr>
          <w:p w14:paraId="68AD1769"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1,605</w:t>
            </w:r>
          </w:p>
        </w:tc>
        <w:tc>
          <w:tcPr>
            <w:tcW w:w="1177" w:type="dxa"/>
            <w:gridSpan w:val="2"/>
            <w:shd w:val="clear" w:color="auto" w:fill="CCEAF9" w:themeFill="accent1" w:themeFillTint="33"/>
            <w:tcMar>
              <w:right w:w="115" w:type="dxa"/>
            </w:tcMar>
            <w:vAlign w:val="center"/>
          </w:tcPr>
          <w:p w14:paraId="536801FE"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3</w:t>
            </w:r>
          </w:p>
        </w:tc>
        <w:tc>
          <w:tcPr>
            <w:tcW w:w="1509" w:type="dxa"/>
            <w:shd w:val="clear" w:color="auto" w:fill="CCEAF9" w:themeFill="accent1" w:themeFillTint="33"/>
            <w:tcMar>
              <w:right w:w="115" w:type="dxa"/>
            </w:tcMar>
            <w:vAlign w:val="center"/>
          </w:tcPr>
          <w:p w14:paraId="582147DC"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454</w:t>
            </w:r>
          </w:p>
        </w:tc>
      </w:tr>
      <w:tr w:rsidR="004C7089" w:rsidRPr="004C7089" w14:paraId="7BB9B716" w14:textId="77777777" w:rsidTr="00041505">
        <w:trPr>
          <w:trHeight w:val="300"/>
          <w:jc w:val="center"/>
        </w:trPr>
        <w:tc>
          <w:tcPr>
            <w:tcW w:w="1060" w:type="dxa"/>
            <w:tcMar>
              <w:top w:w="0" w:type="dxa"/>
              <w:left w:w="108" w:type="dxa"/>
              <w:bottom w:w="0" w:type="dxa"/>
              <w:right w:w="108" w:type="dxa"/>
            </w:tcMar>
            <w:vAlign w:val="center"/>
          </w:tcPr>
          <w:p w14:paraId="07D8EE8E"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 xml:space="preserve">NEMA </w:t>
            </w:r>
          </w:p>
        </w:tc>
        <w:tc>
          <w:tcPr>
            <w:tcW w:w="1034" w:type="dxa"/>
            <w:tcMar>
              <w:right w:w="115" w:type="dxa"/>
            </w:tcMar>
            <w:vAlign w:val="center"/>
          </w:tcPr>
          <w:p w14:paraId="28446932"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662</w:t>
            </w:r>
          </w:p>
        </w:tc>
        <w:tc>
          <w:tcPr>
            <w:tcW w:w="1337" w:type="dxa"/>
            <w:tcMar>
              <w:right w:w="115" w:type="dxa"/>
            </w:tcMar>
            <w:vAlign w:val="center"/>
          </w:tcPr>
          <w:p w14:paraId="63847210"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2,683</w:t>
            </w:r>
          </w:p>
        </w:tc>
        <w:tc>
          <w:tcPr>
            <w:tcW w:w="1177" w:type="dxa"/>
            <w:gridSpan w:val="2"/>
            <w:tcMar>
              <w:right w:w="115" w:type="dxa"/>
            </w:tcMar>
            <w:vAlign w:val="center"/>
          </w:tcPr>
          <w:p w14:paraId="6B18B3EA"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374</w:t>
            </w:r>
          </w:p>
        </w:tc>
        <w:tc>
          <w:tcPr>
            <w:tcW w:w="1509" w:type="dxa"/>
            <w:tcMar>
              <w:right w:w="115" w:type="dxa"/>
            </w:tcMar>
            <w:vAlign w:val="center"/>
          </w:tcPr>
          <w:p w14:paraId="2DBB0BA0"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w:t>
            </w:r>
          </w:p>
        </w:tc>
      </w:tr>
      <w:tr w:rsidR="004C7089" w:rsidRPr="004C7089" w14:paraId="5DCEC7A5" w14:textId="77777777"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14:paraId="1EB1CF84"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NH</w:t>
            </w:r>
          </w:p>
        </w:tc>
        <w:tc>
          <w:tcPr>
            <w:tcW w:w="1034" w:type="dxa"/>
            <w:shd w:val="clear" w:color="auto" w:fill="CCEAF9" w:themeFill="accent1" w:themeFillTint="33"/>
            <w:tcMar>
              <w:right w:w="115" w:type="dxa"/>
            </w:tcMar>
            <w:vAlign w:val="center"/>
          </w:tcPr>
          <w:p w14:paraId="2672ACA2"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2,895</w:t>
            </w:r>
          </w:p>
        </w:tc>
        <w:tc>
          <w:tcPr>
            <w:tcW w:w="1337" w:type="dxa"/>
            <w:shd w:val="clear" w:color="auto" w:fill="CCEAF9" w:themeFill="accent1" w:themeFillTint="33"/>
            <w:tcMar>
              <w:right w:w="115" w:type="dxa"/>
            </w:tcMar>
            <w:vAlign w:val="center"/>
          </w:tcPr>
          <w:p w14:paraId="185586BD"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1,371</w:t>
            </w:r>
          </w:p>
        </w:tc>
        <w:tc>
          <w:tcPr>
            <w:tcW w:w="1177" w:type="dxa"/>
            <w:gridSpan w:val="2"/>
            <w:shd w:val="clear" w:color="auto" w:fill="CCEAF9" w:themeFill="accent1" w:themeFillTint="33"/>
            <w:tcMar>
              <w:right w:w="115" w:type="dxa"/>
            </w:tcMar>
            <w:vAlign w:val="center"/>
          </w:tcPr>
          <w:p w14:paraId="241EC9DE"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14:paraId="4C330EE2"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119</w:t>
            </w:r>
          </w:p>
        </w:tc>
      </w:tr>
      <w:tr w:rsidR="004C7089" w:rsidRPr="004C7089" w14:paraId="03BEE7CF" w14:textId="77777777" w:rsidTr="00041505">
        <w:trPr>
          <w:trHeight w:val="300"/>
          <w:jc w:val="center"/>
        </w:trPr>
        <w:tc>
          <w:tcPr>
            <w:tcW w:w="1060" w:type="dxa"/>
            <w:tcMar>
              <w:top w:w="0" w:type="dxa"/>
              <w:left w:w="108" w:type="dxa"/>
              <w:bottom w:w="0" w:type="dxa"/>
              <w:right w:w="108" w:type="dxa"/>
            </w:tcMar>
            <w:vAlign w:val="center"/>
          </w:tcPr>
          <w:p w14:paraId="60CDF316"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RI</w:t>
            </w:r>
          </w:p>
        </w:tc>
        <w:tc>
          <w:tcPr>
            <w:tcW w:w="1034" w:type="dxa"/>
            <w:tcMar>
              <w:right w:w="115" w:type="dxa"/>
            </w:tcMar>
            <w:vAlign w:val="center"/>
          </w:tcPr>
          <w:p w14:paraId="57F36D48"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25</w:t>
            </w:r>
          </w:p>
        </w:tc>
        <w:tc>
          <w:tcPr>
            <w:tcW w:w="1337" w:type="dxa"/>
            <w:tcMar>
              <w:right w:w="115" w:type="dxa"/>
            </w:tcMar>
            <w:vAlign w:val="center"/>
          </w:tcPr>
          <w:p w14:paraId="30B43847"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2,121</w:t>
            </w:r>
          </w:p>
        </w:tc>
        <w:tc>
          <w:tcPr>
            <w:tcW w:w="1177" w:type="dxa"/>
            <w:gridSpan w:val="2"/>
            <w:tcMar>
              <w:right w:w="115" w:type="dxa"/>
            </w:tcMar>
            <w:vAlign w:val="center"/>
          </w:tcPr>
          <w:p w14:paraId="0CDFBC76"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509" w:type="dxa"/>
            <w:tcMar>
              <w:right w:w="115" w:type="dxa"/>
            </w:tcMar>
            <w:vAlign w:val="center"/>
          </w:tcPr>
          <w:p w14:paraId="7E4DA4F9"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24</w:t>
            </w:r>
          </w:p>
        </w:tc>
      </w:tr>
      <w:tr w:rsidR="004C7089" w:rsidRPr="004C7089" w14:paraId="14DB7625" w14:textId="77777777"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14:paraId="4DCFB3B6"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SEMA</w:t>
            </w:r>
          </w:p>
        </w:tc>
        <w:tc>
          <w:tcPr>
            <w:tcW w:w="1034" w:type="dxa"/>
            <w:shd w:val="clear" w:color="auto" w:fill="CCEAF9" w:themeFill="accent1" w:themeFillTint="33"/>
            <w:tcMar>
              <w:right w:w="115" w:type="dxa"/>
            </w:tcMar>
            <w:vAlign w:val="center"/>
          </w:tcPr>
          <w:p w14:paraId="342E19D8"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1,893</w:t>
            </w:r>
          </w:p>
        </w:tc>
        <w:tc>
          <w:tcPr>
            <w:tcW w:w="1337" w:type="dxa"/>
            <w:shd w:val="clear" w:color="auto" w:fill="CCEAF9" w:themeFill="accent1" w:themeFillTint="33"/>
            <w:tcMar>
              <w:right w:w="115" w:type="dxa"/>
            </w:tcMar>
            <w:vAlign w:val="center"/>
          </w:tcPr>
          <w:p w14:paraId="67A24D4E"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2,909</w:t>
            </w:r>
          </w:p>
        </w:tc>
        <w:tc>
          <w:tcPr>
            <w:tcW w:w="1177" w:type="dxa"/>
            <w:gridSpan w:val="2"/>
            <w:shd w:val="clear" w:color="auto" w:fill="CCEAF9" w:themeFill="accent1" w:themeFillTint="33"/>
            <w:tcMar>
              <w:right w:w="115" w:type="dxa"/>
            </w:tcMar>
            <w:vAlign w:val="center"/>
          </w:tcPr>
          <w:p w14:paraId="587CA15F"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w:t>
            </w:r>
            <w:r w:rsidR="00215CD6">
              <w:rPr>
                <w:rFonts w:ascii="Calibri" w:eastAsia="Calibri" w:hAnsi="Calibri"/>
                <w:sz w:val="18"/>
                <w:szCs w:val="18"/>
              </w:rPr>
              <w:t>1</w:t>
            </w:r>
          </w:p>
        </w:tc>
        <w:tc>
          <w:tcPr>
            <w:tcW w:w="1509" w:type="dxa"/>
            <w:shd w:val="clear" w:color="auto" w:fill="CCEAF9" w:themeFill="accent1" w:themeFillTint="33"/>
            <w:tcMar>
              <w:right w:w="115" w:type="dxa"/>
            </w:tcMar>
            <w:vAlign w:val="center"/>
          </w:tcPr>
          <w:p w14:paraId="404792E7"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6</w:t>
            </w:r>
          </w:p>
        </w:tc>
      </w:tr>
      <w:tr w:rsidR="004C7089" w:rsidRPr="004C7089" w14:paraId="0AE9FC41" w14:textId="77777777" w:rsidTr="00041505">
        <w:trPr>
          <w:trHeight w:val="300"/>
          <w:jc w:val="center"/>
        </w:trPr>
        <w:tc>
          <w:tcPr>
            <w:tcW w:w="1060" w:type="dxa"/>
            <w:tcMar>
              <w:top w:w="0" w:type="dxa"/>
              <w:left w:w="108" w:type="dxa"/>
              <w:bottom w:w="0" w:type="dxa"/>
              <w:right w:w="108" w:type="dxa"/>
            </w:tcMar>
            <w:vAlign w:val="center"/>
          </w:tcPr>
          <w:p w14:paraId="42503532"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VT</w:t>
            </w:r>
          </w:p>
        </w:tc>
        <w:tc>
          <w:tcPr>
            <w:tcW w:w="1034" w:type="dxa"/>
            <w:tcMar>
              <w:right w:w="115" w:type="dxa"/>
            </w:tcMar>
            <w:vAlign w:val="center"/>
          </w:tcPr>
          <w:p w14:paraId="1A158B25"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103</w:t>
            </w:r>
          </w:p>
        </w:tc>
        <w:tc>
          <w:tcPr>
            <w:tcW w:w="1337" w:type="dxa"/>
            <w:tcMar>
              <w:right w:w="115" w:type="dxa"/>
            </w:tcMar>
            <w:vAlign w:val="center"/>
          </w:tcPr>
          <w:p w14:paraId="4787C4F6"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0</w:t>
            </w:r>
          </w:p>
        </w:tc>
        <w:tc>
          <w:tcPr>
            <w:tcW w:w="1177" w:type="dxa"/>
            <w:gridSpan w:val="2"/>
            <w:tcMar>
              <w:right w:w="115" w:type="dxa"/>
            </w:tcMar>
            <w:vAlign w:val="center"/>
          </w:tcPr>
          <w:p w14:paraId="3E9BE5E3"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w:t>
            </w:r>
            <w:r w:rsidR="00215CD6">
              <w:rPr>
                <w:rFonts w:ascii="Calibri" w:eastAsia="Calibri" w:hAnsi="Calibri"/>
                <w:sz w:val="18"/>
                <w:szCs w:val="18"/>
              </w:rPr>
              <w:t>7</w:t>
            </w:r>
          </w:p>
        </w:tc>
        <w:tc>
          <w:tcPr>
            <w:tcW w:w="1509" w:type="dxa"/>
            <w:tcMar>
              <w:right w:w="115" w:type="dxa"/>
            </w:tcMar>
            <w:vAlign w:val="center"/>
          </w:tcPr>
          <w:p w14:paraId="7DCF0B1B"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96</w:t>
            </w:r>
          </w:p>
        </w:tc>
      </w:tr>
      <w:tr w:rsidR="004C7089" w:rsidRPr="004C7089" w14:paraId="5C0432EC" w14:textId="77777777" w:rsidTr="00041505">
        <w:trPr>
          <w:trHeight w:val="300"/>
          <w:jc w:val="center"/>
        </w:trPr>
        <w:tc>
          <w:tcPr>
            <w:tcW w:w="1060" w:type="dxa"/>
            <w:shd w:val="clear" w:color="auto" w:fill="CCEAF9" w:themeFill="accent1" w:themeFillTint="33"/>
            <w:tcMar>
              <w:top w:w="0" w:type="dxa"/>
              <w:left w:w="108" w:type="dxa"/>
              <w:bottom w:w="0" w:type="dxa"/>
              <w:right w:w="108" w:type="dxa"/>
            </w:tcMar>
            <w:vAlign w:val="center"/>
          </w:tcPr>
          <w:p w14:paraId="4D7EFD63" w14:textId="77777777" w:rsidR="004C7089" w:rsidRPr="004C7089" w:rsidRDefault="004C7089" w:rsidP="004C7089">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000000"/>
                <w:sz w:val="18"/>
                <w:szCs w:val="18"/>
              </w:rPr>
              <w:t>WCMA</w:t>
            </w:r>
          </w:p>
        </w:tc>
        <w:tc>
          <w:tcPr>
            <w:tcW w:w="1034" w:type="dxa"/>
            <w:shd w:val="clear" w:color="auto" w:fill="CCEAF9" w:themeFill="accent1" w:themeFillTint="33"/>
            <w:tcMar>
              <w:right w:w="115" w:type="dxa"/>
            </w:tcMar>
            <w:vAlign w:val="center"/>
          </w:tcPr>
          <w:p w14:paraId="1BCBAC83"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280</w:t>
            </w:r>
          </w:p>
        </w:tc>
        <w:tc>
          <w:tcPr>
            <w:tcW w:w="1337" w:type="dxa"/>
            <w:shd w:val="clear" w:color="auto" w:fill="CCEAF9" w:themeFill="accent1" w:themeFillTint="33"/>
            <w:tcMar>
              <w:right w:w="115" w:type="dxa"/>
            </w:tcMar>
            <w:vAlign w:val="center"/>
          </w:tcPr>
          <w:p w14:paraId="6FA5E67E"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1,609</w:t>
            </w:r>
          </w:p>
        </w:tc>
        <w:tc>
          <w:tcPr>
            <w:tcW w:w="1177" w:type="dxa"/>
            <w:gridSpan w:val="2"/>
            <w:shd w:val="clear" w:color="auto" w:fill="CCEAF9" w:themeFill="accent1" w:themeFillTint="33"/>
            <w:tcMar>
              <w:right w:w="115" w:type="dxa"/>
            </w:tcMar>
            <w:vAlign w:val="center"/>
          </w:tcPr>
          <w:p w14:paraId="4A8865DC"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2,126</w:t>
            </w:r>
          </w:p>
        </w:tc>
        <w:tc>
          <w:tcPr>
            <w:tcW w:w="1509" w:type="dxa"/>
            <w:shd w:val="clear" w:color="auto" w:fill="CCEAF9" w:themeFill="accent1" w:themeFillTint="33"/>
            <w:tcMar>
              <w:right w:w="115" w:type="dxa"/>
            </w:tcMar>
            <w:vAlign w:val="center"/>
          </w:tcPr>
          <w:p w14:paraId="6DB88CF3" w14:textId="77777777" w:rsidR="004C7089" w:rsidRPr="004C7089" w:rsidRDefault="004C7089" w:rsidP="004C7089">
            <w:pPr>
              <w:keepNext/>
              <w:keepLines/>
              <w:spacing w:after="0" w:line="240" w:lineRule="auto"/>
              <w:jc w:val="right"/>
              <w:rPr>
                <w:rFonts w:ascii="Calibri" w:eastAsia="Calibri" w:hAnsi="Calibri" w:cs="Calibri"/>
                <w:b/>
                <w:color w:val="000000"/>
                <w:sz w:val="18"/>
                <w:szCs w:val="18"/>
              </w:rPr>
            </w:pPr>
            <w:r w:rsidRPr="004C7089">
              <w:rPr>
                <w:rFonts w:ascii="Calibri" w:eastAsia="Calibri" w:hAnsi="Calibri"/>
                <w:sz w:val="18"/>
                <w:szCs w:val="18"/>
              </w:rPr>
              <w:t>97</w:t>
            </w:r>
          </w:p>
        </w:tc>
      </w:tr>
      <w:tr w:rsidR="004C7089" w:rsidRPr="004C7089" w14:paraId="580D77C1" w14:textId="77777777" w:rsidTr="00041505">
        <w:trPr>
          <w:trHeight w:val="300"/>
          <w:jc w:val="center"/>
        </w:trPr>
        <w:tc>
          <w:tcPr>
            <w:tcW w:w="1060" w:type="dxa"/>
            <w:shd w:val="clear" w:color="auto" w:fill="1795D2" w:themeFill="accent1"/>
            <w:tcMar>
              <w:top w:w="0" w:type="dxa"/>
              <w:left w:w="108" w:type="dxa"/>
              <w:bottom w:w="0" w:type="dxa"/>
              <w:right w:w="108" w:type="dxa"/>
            </w:tcMar>
            <w:vAlign w:val="center"/>
          </w:tcPr>
          <w:p w14:paraId="28227043" w14:textId="77777777" w:rsidR="004C7089" w:rsidRPr="004C7089" w:rsidRDefault="004C7089" w:rsidP="00AA73A1">
            <w:pPr>
              <w:keepNext/>
              <w:keepLines/>
              <w:spacing w:after="0" w:line="240" w:lineRule="auto"/>
              <w:rPr>
                <w:rFonts w:ascii="Calibri" w:eastAsia="Calibri" w:hAnsi="Calibri" w:cs="Calibri"/>
                <w:b/>
                <w:color w:val="000000"/>
                <w:sz w:val="18"/>
                <w:szCs w:val="18"/>
              </w:rPr>
            </w:pPr>
            <w:r w:rsidRPr="004C7089">
              <w:rPr>
                <w:rFonts w:ascii="Calibri" w:eastAsia="Calibri" w:hAnsi="Calibri"/>
                <w:b/>
                <w:bCs/>
                <w:color w:val="FFFFFF"/>
                <w:sz w:val="18"/>
                <w:szCs w:val="18"/>
              </w:rPr>
              <w:t>Total</w:t>
            </w:r>
            <w:r w:rsidRPr="004C7089">
              <w:rPr>
                <w:rFonts w:ascii="Calibri" w:eastAsia="Calibri" w:hAnsi="Calibri"/>
                <w:b/>
                <w:bCs/>
                <w:color w:val="FFFFFF"/>
                <w:sz w:val="18"/>
                <w:szCs w:val="18"/>
                <w:vertAlign w:val="superscript"/>
              </w:rPr>
              <w:t>(</w:t>
            </w:r>
            <w:r w:rsidR="00AA73A1">
              <w:rPr>
                <w:rFonts w:ascii="Calibri" w:eastAsia="Calibri" w:hAnsi="Calibri"/>
                <w:b/>
                <w:bCs/>
                <w:color w:val="FFFFFF"/>
                <w:sz w:val="18"/>
                <w:szCs w:val="18"/>
                <w:vertAlign w:val="superscript"/>
              </w:rPr>
              <w:t>f</w:t>
            </w:r>
            <w:r w:rsidRPr="004C7089">
              <w:rPr>
                <w:rFonts w:ascii="Calibri" w:eastAsia="Calibri" w:hAnsi="Calibri"/>
                <w:b/>
                <w:bCs/>
                <w:color w:val="FFFFFF"/>
                <w:sz w:val="18"/>
                <w:szCs w:val="18"/>
                <w:vertAlign w:val="superscript"/>
              </w:rPr>
              <w:t>)</w:t>
            </w:r>
          </w:p>
        </w:tc>
        <w:tc>
          <w:tcPr>
            <w:tcW w:w="1034" w:type="dxa"/>
            <w:shd w:val="clear" w:color="auto" w:fill="1795D2" w:themeFill="accent1"/>
            <w:tcMar>
              <w:right w:w="115" w:type="dxa"/>
            </w:tcMar>
            <w:vAlign w:val="center"/>
          </w:tcPr>
          <w:p w14:paraId="4C397CBA"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11,725</w:t>
            </w:r>
          </w:p>
        </w:tc>
        <w:tc>
          <w:tcPr>
            <w:tcW w:w="1337" w:type="dxa"/>
            <w:shd w:val="clear" w:color="auto" w:fill="1795D2" w:themeFill="accent1"/>
            <w:tcMar>
              <w:right w:w="115" w:type="dxa"/>
            </w:tcMar>
            <w:vAlign w:val="center"/>
          </w:tcPr>
          <w:p w14:paraId="5472C2DC"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15,892</w:t>
            </w:r>
          </w:p>
        </w:tc>
        <w:tc>
          <w:tcPr>
            <w:tcW w:w="1177" w:type="dxa"/>
            <w:gridSpan w:val="2"/>
            <w:shd w:val="clear" w:color="auto" w:fill="1795D2" w:themeFill="accent1"/>
            <w:tcMar>
              <w:right w:w="115" w:type="dxa"/>
            </w:tcMar>
            <w:vAlign w:val="center"/>
          </w:tcPr>
          <w:p w14:paraId="51AA6336"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5,001</w:t>
            </w:r>
          </w:p>
        </w:tc>
        <w:tc>
          <w:tcPr>
            <w:tcW w:w="1509" w:type="dxa"/>
            <w:shd w:val="clear" w:color="auto" w:fill="1795D2" w:themeFill="accent1"/>
            <w:tcMar>
              <w:right w:w="115" w:type="dxa"/>
            </w:tcMar>
            <w:vAlign w:val="center"/>
          </w:tcPr>
          <w:p w14:paraId="10AD0109" w14:textId="77777777" w:rsidR="004C7089" w:rsidRPr="004C7089" w:rsidRDefault="004C7089" w:rsidP="004C7089">
            <w:pPr>
              <w:keepNext/>
              <w:keepLines/>
              <w:spacing w:after="0" w:line="240" w:lineRule="auto"/>
              <w:jc w:val="right"/>
              <w:rPr>
                <w:rFonts w:ascii="Calibri" w:eastAsia="Calibri" w:hAnsi="Calibri" w:cs="Calibri"/>
                <w:b/>
                <w:color w:val="FFFFFF" w:themeColor="background1"/>
                <w:sz w:val="18"/>
                <w:szCs w:val="18"/>
              </w:rPr>
            </w:pPr>
            <w:r w:rsidRPr="004C7089">
              <w:rPr>
                <w:rFonts w:ascii="Calibri" w:eastAsia="Calibri" w:hAnsi="Calibri"/>
                <w:b/>
                <w:color w:val="FFFFFF" w:themeColor="background1"/>
                <w:sz w:val="18"/>
                <w:szCs w:val="18"/>
              </w:rPr>
              <w:t>820</w:t>
            </w:r>
          </w:p>
        </w:tc>
      </w:tr>
    </w:tbl>
    <w:p w14:paraId="17B81DE1" w14:textId="77777777" w:rsidR="001E0519" w:rsidRDefault="004C7089" w:rsidP="00ED4198">
      <w:pPr>
        <w:keepNext/>
        <w:keepLines/>
        <w:tabs>
          <w:tab w:val="left" w:pos="8010"/>
        </w:tabs>
        <w:spacing w:before="120"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 xml:space="preserve">(a) </w:t>
      </w:r>
      <w:r w:rsidR="00ED4198">
        <w:rPr>
          <w:rFonts w:asciiTheme="minorHAnsi" w:hAnsiTheme="minorHAnsi"/>
          <w:sz w:val="16"/>
          <w:szCs w:val="16"/>
        </w:rPr>
        <w:tab/>
      </w:r>
      <w:r w:rsidR="001E0519">
        <w:rPr>
          <w:rFonts w:asciiTheme="minorHAnsi" w:hAnsiTheme="minorHAnsi"/>
          <w:sz w:val="16"/>
          <w:szCs w:val="16"/>
        </w:rPr>
        <w:t>The values shown are seasonal claimed capability based on the 2019 CELT Report.</w:t>
      </w:r>
    </w:p>
    <w:p w14:paraId="0D5EF065" w14:textId="77777777" w:rsidR="004C7089" w:rsidRPr="004C7089" w:rsidDel="001B3935" w:rsidRDefault="001E0519" w:rsidP="00ED4198">
      <w:pPr>
        <w:keepNext/>
        <w:keepLines/>
        <w:tabs>
          <w:tab w:val="left" w:pos="8010"/>
        </w:tabs>
        <w:spacing w:before="120" w:after="80" w:line="240" w:lineRule="auto"/>
        <w:ind w:left="1710" w:right="1350" w:hanging="270"/>
        <w:rPr>
          <w:rFonts w:asciiTheme="minorHAnsi" w:hAnsiTheme="minorHAnsi"/>
          <w:sz w:val="16"/>
          <w:szCs w:val="16"/>
        </w:rPr>
      </w:pPr>
      <w:r w:rsidRPr="00AD27C5">
        <w:rPr>
          <w:rFonts w:asciiTheme="minorHAnsi" w:hAnsiTheme="minorHAnsi"/>
          <w:sz w:val="16"/>
          <w:szCs w:val="16"/>
        </w:rPr>
        <w:t>(b)</w:t>
      </w:r>
      <w:r w:rsidR="00AD27C5">
        <w:rPr>
          <w:rFonts w:asciiTheme="minorHAnsi" w:hAnsiTheme="minorHAnsi"/>
          <w:sz w:val="16"/>
          <w:szCs w:val="16"/>
        </w:rPr>
        <w:t xml:space="preserve"> </w:t>
      </w:r>
      <w:r w:rsidR="00ED4198">
        <w:rPr>
          <w:rFonts w:asciiTheme="minorHAnsi" w:hAnsiTheme="minorHAnsi"/>
          <w:sz w:val="16"/>
          <w:szCs w:val="16"/>
        </w:rPr>
        <w:tab/>
      </w:r>
      <w:r w:rsidR="004C7089" w:rsidRPr="004C7089" w:rsidDel="001B3935">
        <w:rPr>
          <w:rFonts w:asciiTheme="minorHAnsi" w:hAnsiTheme="minorHAnsi"/>
          <w:i/>
          <w:sz w:val="16"/>
          <w:szCs w:val="16"/>
        </w:rPr>
        <w:t xml:space="preserve">Baseload </w:t>
      </w:r>
      <w:r w:rsidR="004C7089" w:rsidRPr="004C7089">
        <w:rPr>
          <w:rFonts w:asciiTheme="minorHAnsi" w:hAnsiTheme="minorHAnsi"/>
          <w:i/>
          <w:sz w:val="16"/>
          <w:szCs w:val="16"/>
        </w:rPr>
        <w:t>generator</w:t>
      </w:r>
      <w:r w:rsidR="004C7089" w:rsidRPr="004C7089" w:rsidDel="001B3935">
        <w:rPr>
          <w:rFonts w:asciiTheme="minorHAnsi" w:hAnsiTheme="minorHAnsi"/>
          <w:i/>
          <w:sz w:val="16"/>
          <w:szCs w:val="16"/>
        </w:rPr>
        <w:t>s</w:t>
      </w:r>
      <w:r w:rsidR="004C7089" w:rsidRPr="004C7089" w:rsidDel="001B3935">
        <w:rPr>
          <w:rFonts w:asciiTheme="minorHAnsi" w:hAnsiTheme="minorHAnsi"/>
          <w:sz w:val="16"/>
          <w:szCs w:val="16"/>
        </w:rPr>
        <w:t xml:space="preserve"> are assumed to run for long continuous hours at a constant output and have little flexibility. For operating classification purposes, bio/refuse, coal, fuel cell, pondage hydro, weekly hydro, nuclear, and thermal steam generators are assumed in the baseload category.</w:t>
      </w:r>
    </w:p>
    <w:p w14:paraId="0E391A40" w14:textId="77777777"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c</w:t>
      </w:r>
      <w:r w:rsidRPr="004C7089" w:rsidDel="001B3935">
        <w:rPr>
          <w:rFonts w:asciiTheme="minorHAnsi" w:hAnsiTheme="minorHAnsi"/>
          <w:sz w:val="16"/>
          <w:szCs w:val="16"/>
        </w:rPr>
        <w:t>)</w:t>
      </w:r>
      <w:r w:rsidRPr="004C7089">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 xml:space="preserve">Intermediate </w:t>
      </w:r>
      <w:r w:rsidRPr="004C7089">
        <w:rPr>
          <w:rFonts w:asciiTheme="minorHAnsi" w:hAnsiTheme="minorHAnsi"/>
          <w:i/>
          <w:sz w:val="16"/>
          <w:szCs w:val="16"/>
        </w:rPr>
        <w:t>generator</w:t>
      </w:r>
      <w:r w:rsidRPr="004C7089" w:rsidDel="001B3935">
        <w:rPr>
          <w:rFonts w:asciiTheme="minorHAnsi" w:hAnsiTheme="minorHAnsi"/>
          <w:i/>
          <w:sz w:val="16"/>
          <w:szCs w:val="16"/>
        </w:rPr>
        <w:t xml:space="preserve">s </w:t>
      </w:r>
      <w:r w:rsidRPr="004C7089" w:rsidDel="001B3935">
        <w:rPr>
          <w:rFonts w:asciiTheme="minorHAnsi" w:hAnsiTheme="minorHAnsi"/>
          <w:sz w:val="16"/>
          <w:szCs w:val="16"/>
        </w:rPr>
        <w:t xml:space="preserve">have the ability to dispatch flexibly and can follow variations in the system load. Combined-cycle generators are assumed in the intermediate category. </w:t>
      </w:r>
    </w:p>
    <w:p w14:paraId="3FB0CEA2" w14:textId="77777777" w:rsidR="004C7089" w:rsidRPr="00FF5F0E"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4C7089" w:rsidDel="001B3935">
        <w:rPr>
          <w:rFonts w:asciiTheme="minorHAnsi" w:hAnsiTheme="minorHAnsi"/>
          <w:sz w:val="16"/>
          <w:szCs w:val="16"/>
        </w:rPr>
        <w:t>(</w:t>
      </w:r>
      <w:r w:rsidR="001E0519">
        <w:rPr>
          <w:rFonts w:asciiTheme="minorHAnsi" w:hAnsiTheme="minorHAnsi"/>
          <w:sz w:val="16"/>
          <w:szCs w:val="16"/>
        </w:rPr>
        <w:t>d</w:t>
      </w:r>
      <w:r w:rsidRPr="004C7089" w:rsidDel="001B3935">
        <w:rPr>
          <w:rFonts w:asciiTheme="minorHAnsi" w:hAnsiTheme="minorHAnsi"/>
          <w:sz w:val="16"/>
          <w:szCs w:val="16"/>
        </w:rPr>
        <w:t>)</w:t>
      </w:r>
      <w:r w:rsidR="00AD27C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i/>
          <w:sz w:val="16"/>
          <w:szCs w:val="16"/>
        </w:rPr>
        <w:t>Peaking generators</w:t>
      </w:r>
      <w:r w:rsidRPr="004C7089" w:rsidDel="001B3935">
        <w:rPr>
          <w:rFonts w:asciiTheme="minorHAnsi" w:hAnsiTheme="minorHAnsi"/>
          <w:sz w:val="16"/>
          <w:szCs w:val="16"/>
        </w:rPr>
        <w:t xml:space="preserve"> can be dispatched to meet peak demand for relatively short </w:t>
      </w:r>
      <w:r w:rsidRPr="00FF5F0E" w:rsidDel="001B3935">
        <w:rPr>
          <w:rFonts w:asciiTheme="minorHAnsi" w:hAnsiTheme="minorHAnsi"/>
          <w:sz w:val="16"/>
          <w:szCs w:val="16"/>
        </w:rPr>
        <w:t xml:space="preserve">periods. Internal combustion, gas turbine, </w:t>
      </w:r>
      <w:r w:rsidRPr="00FF5F0E">
        <w:rPr>
          <w:rFonts w:asciiTheme="minorHAnsi" w:hAnsiTheme="minorHAnsi"/>
          <w:sz w:val="16"/>
          <w:szCs w:val="16"/>
        </w:rPr>
        <w:t xml:space="preserve">and </w:t>
      </w:r>
      <w:r w:rsidRPr="00FF5F0E" w:rsidDel="001B3935">
        <w:rPr>
          <w:rFonts w:asciiTheme="minorHAnsi" w:hAnsiTheme="minorHAnsi"/>
          <w:sz w:val="16"/>
          <w:szCs w:val="16"/>
        </w:rPr>
        <w:t>pumped-storage generators</w:t>
      </w:r>
      <w:r w:rsidRPr="00FF5F0E">
        <w:rPr>
          <w:rFonts w:asciiTheme="minorHAnsi" w:hAnsiTheme="minorHAnsi"/>
          <w:sz w:val="16"/>
          <w:szCs w:val="16"/>
        </w:rPr>
        <w:t>,</w:t>
      </w:r>
      <w:r w:rsidRPr="00FF5F0E" w:rsidDel="001B3935">
        <w:rPr>
          <w:rFonts w:asciiTheme="minorHAnsi" w:hAnsiTheme="minorHAnsi"/>
          <w:sz w:val="16"/>
          <w:szCs w:val="16"/>
        </w:rPr>
        <w:t xml:space="preserve"> </w:t>
      </w:r>
      <w:r w:rsidRPr="00FF5F0E">
        <w:rPr>
          <w:rFonts w:asciiTheme="minorHAnsi" w:hAnsiTheme="minorHAnsi"/>
          <w:sz w:val="16"/>
          <w:szCs w:val="16"/>
        </w:rPr>
        <w:t xml:space="preserve">as well as battery storage facilities, </w:t>
      </w:r>
      <w:r w:rsidRPr="00FF5F0E" w:rsidDel="001B3935">
        <w:rPr>
          <w:rFonts w:asciiTheme="minorHAnsi" w:hAnsiTheme="minorHAnsi"/>
          <w:sz w:val="16"/>
          <w:szCs w:val="16"/>
        </w:rPr>
        <w:t xml:space="preserve">are assumed in the peaking category. </w:t>
      </w:r>
    </w:p>
    <w:p w14:paraId="7CF3FE54" w14:textId="281197A0" w:rsidR="004C7089" w:rsidRPr="004C7089" w:rsidDel="001B3935" w:rsidRDefault="004C7089" w:rsidP="00ED4198">
      <w:pPr>
        <w:keepNext/>
        <w:keepLines/>
        <w:tabs>
          <w:tab w:val="left" w:pos="8010"/>
        </w:tabs>
        <w:spacing w:after="80" w:line="240" w:lineRule="auto"/>
        <w:ind w:left="1710" w:right="1350" w:hanging="270"/>
        <w:rPr>
          <w:rFonts w:asciiTheme="minorHAnsi" w:hAnsiTheme="minorHAnsi"/>
          <w:sz w:val="16"/>
          <w:szCs w:val="16"/>
        </w:rPr>
      </w:pPr>
      <w:r w:rsidRPr="00ED4198" w:rsidDel="001B3935">
        <w:rPr>
          <w:rFonts w:asciiTheme="minorHAnsi" w:hAnsiTheme="minorHAnsi"/>
          <w:sz w:val="16"/>
          <w:szCs w:val="16"/>
        </w:rPr>
        <w:t>(</w:t>
      </w:r>
      <w:r w:rsidR="001E0519" w:rsidRPr="00ED4198">
        <w:rPr>
          <w:rFonts w:asciiTheme="minorHAnsi" w:hAnsiTheme="minorHAnsi"/>
          <w:sz w:val="16"/>
          <w:szCs w:val="16"/>
        </w:rPr>
        <w:t>e</w:t>
      </w:r>
      <w:r w:rsidRPr="00ED4198" w:rsidDel="001B3935">
        <w:rPr>
          <w:rFonts w:asciiTheme="minorHAnsi" w:hAnsiTheme="minorHAnsi"/>
          <w:sz w:val="16"/>
          <w:szCs w:val="16"/>
        </w:rPr>
        <w:t>)</w:t>
      </w:r>
      <w:r w:rsidRPr="00ED4198">
        <w:rPr>
          <w:rFonts w:asciiTheme="minorHAnsi" w:hAnsiTheme="minorHAnsi"/>
          <w:sz w:val="16"/>
          <w:szCs w:val="16"/>
        </w:rPr>
        <w:t xml:space="preserve"> </w:t>
      </w:r>
      <w:r w:rsidR="00ED4198">
        <w:rPr>
          <w:rFonts w:asciiTheme="minorHAnsi" w:hAnsiTheme="minorHAnsi"/>
          <w:sz w:val="16"/>
          <w:szCs w:val="16"/>
        </w:rPr>
        <w:tab/>
      </w:r>
      <w:r w:rsidR="00AA73A1" w:rsidRPr="00ED4198">
        <w:rPr>
          <w:rFonts w:asciiTheme="minorHAnsi" w:hAnsiTheme="minorHAnsi"/>
          <w:i/>
          <w:sz w:val="16"/>
          <w:szCs w:val="16"/>
        </w:rPr>
        <w:t>V</w:t>
      </w:r>
      <w:r w:rsidRPr="00ED4198">
        <w:rPr>
          <w:rFonts w:asciiTheme="minorHAnsi" w:hAnsiTheme="minorHAnsi"/>
          <w:i/>
          <w:sz w:val="16"/>
          <w:szCs w:val="16"/>
        </w:rPr>
        <w:t>ariable</w:t>
      </w:r>
      <w:r w:rsidRPr="00ED4198" w:rsidDel="001B3935">
        <w:rPr>
          <w:rFonts w:asciiTheme="minorHAnsi" w:hAnsiTheme="minorHAnsi"/>
          <w:i/>
          <w:sz w:val="16"/>
          <w:szCs w:val="16"/>
        </w:rPr>
        <w:t xml:space="preserve"> </w:t>
      </w:r>
      <w:r w:rsidR="009E6989" w:rsidRPr="00ED4198">
        <w:rPr>
          <w:rFonts w:asciiTheme="minorHAnsi" w:hAnsiTheme="minorHAnsi"/>
          <w:i/>
          <w:sz w:val="16"/>
          <w:szCs w:val="16"/>
        </w:rPr>
        <w:t xml:space="preserve">energy </w:t>
      </w:r>
      <w:r w:rsidRPr="00ED4198">
        <w:rPr>
          <w:rFonts w:asciiTheme="minorHAnsi" w:hAnsiTheme="minorHAnsi"/>
          <w:i/>
          <w:sz w:val="16"/>
          <w:szCs w:val="16"/>
        </w:rPr>
        <w:t>resources</w:t>
      </w:r>
      <w:r w:rsidR="009227D8" w:rsidRPr="00ED4198">
        <w:rPr>
          <w:rFonts w:asciiTheme="minorHAnsi" w:hAnsiTheme="minorHAnsi"/>
          <w:sz w:val="16"/>
          <w:szCs w:val="16"/>
        </w:rPr>
        <w:t xml:space="preserve">, such as wind and PV, </w:t>
      </w:r>
      <w:r w:rsidRPr="00ED4198" w:rsidDel="001B3935">
        <w:rPr>
          <w:rFonts w:asciiTheme="minorHAnsi" w:hAnsiTheme="minorHAnsi"/>
          <w:sz w:val="16"/>
          <w:szCs w:val="16"/>
        </w:rPr>
        <w:t>produce energy subject to variations in “fuel” determined by weather</w:t>
      </w:r>
      <w:r w:rsidR="00AA73A1" w:rsidRPr="00ED4198">
        <w:rPr>
          <w:rFonts w:asciiTheme="minorHAnsi" w:hAnsiTheme="minorHAnsi"/>
          <w:sz w:val="16"/>
          <w:szCs w:val="16"/>
        </w:rPr>
        <w:t xml:space="preserve"> and, additionally for PV, the time of day</w:t>
      </w:r>
      <w:r w:rsidRPr="00ED4198" w:rsidDel="001B3935">
        <w:rPr>
          <w:rFonts w:asciiTheme="minorHAnsi" w:hAnsiTheme="minorHAnsi"/>
          <w:sz w:val="16"/>
          <w:szCs w:val="16"/>
        </w:rPr>
        <w:t xml:space="preserve"> </w:t>
      </w:r>
      <w:r w:rsidRPr="00ED4198">
        <w:rPr>
          <w:rFonts w:asciiTheme="minorHAnsi" w:hAnsiTheme="minorHAnsi"/>
          <w:sz w:val="16"/>
          <w:szCs w:val="16"/>
        </w:rPr>
        <w:t>(</w:t>
      </w:r>
      <w:r w:rsidR="006B613D" w:rsidRPr="00ED4198">
        <w:rPr>
          <w:rFonts w:asciiTheme="minorHAnsi" w:hAnsiTheme="minorHAnsi"/>
          <w:sz w:val="16"/>
          <w:szCs w:val="16"/>
        </w:rPr>
        <w:t>s</w:t>
      </w:r>
      <w:r w:rsidRPr="00ED4198">
        <w:rPr>
          <w:rFonts w:asciiTheme="minorHAnsi" w:hAnsiTheme="minorHAnsi"/>
          <w:sz w:val="16"/>
          <w:szCs w:val="16"/>
        </w:rPr>
        <w:t xml:space="preserve">ee Section </w:t>
      </w:r>
      <w:r w:rsidR="00AD27C5" w:rsidRPr="00ED4198">
        <w:rPr>
          <w:rFonts w:asciiTheme="minorHAnsi" w:hAnsiTheme="minorHAnsi"/>
          <w:sz w:val="16"/>
          <w:szCs w:val="16"/>
        </w:rPr>
        <w:fldChar w:fldCharType="begin"/>
      </w:r>
      <w:r w:rsidR="00AD27C5" w:rsidRPr="00ED4198">
        <w:rPr>
          <w:rFonts w:asciiTheme="minorHAnsi" w:hAnsiTheme="minorHAnsi"/>
          <w:sz w:val="16"/>
          <w:szCs w:val="16"/>
        </w:rPr>
        <w:instrText xml:space="preserve"> REF _Ref11834922 \r \h </w:instrText>
      </w:r>
      <w:r w:rsidR="009E6989" w:rsidRPr="00ED4198">
        <w:rPr>
          <w:rFonts w:asciiTheme="minorHAnsi" w:hAnsiTheme="minorHAnsi"/>
          <w:sz w:val="16"/>
          <w:szCs w:val="16"/>
        </w:rPr>
        <w:instrText xml:space="preserve"> \* MERGEFORMAT </w:instrText>
      </w:r>
      <w:r w:rsidR="00AD27C5" w:rsidRPr="00ED4198">
        <w:rPr>
          <w:rFonts w:asciiTheme="minorHAnsi" w:hAnsiTheme="minorHAnsi"/>
          <w:sz w:val="16"/>
          <w:szCs w:val="16"/>
        </w:rPr>
      </w:r>
      <w:r w:rsidR="00AD27C5" w:rsidRPr="00ED4198">
        <w:rPr>
          <w:rFonts w:asciiTheme="minorHAnsi" w:hAnsiTheme="minorHAnsi"/>
          <w:sz w:val="16"/>
          <w:szCs w:val="16"/>
        </w:rPr>
        <w:fldChar w:fldCharType="separate"/>
      </w:r>
      <w:r w:rsidR="005D0B73">
        <w:rPr>
          <w:rFonts w:asciiTheme="minorHAnsi" w:hAnsiTheme="minorHAnsi"/>
          <w:sz w:val="16"/>
          <w:szCs w:val="16"/>
        </w:rPr>
        <w:t>9.2</w:t>
      </w:r>
      <w:r w:rsidR="00AD27C5" w:rsidRPr="00ED4198">
        <w:rPr>
          <w:rFonts w:asciiTheme="minorHAnsi" w:hAnsiTheme="minorHAnsi"/>
          <w:sz w:val="16"/>
          <w:szCs w:val="16"/>
        </w:rPr>
        <w:fldChar w:fldCharType="end"/>
      </w:r>
      <w:r w:rsidRPr="00ED4198">
        <w:rPr>
          <w:rFonts w:asciiTheme="minorHAnsi" w:hAnsiTheme="minorHAnsi"/>
          <w:sz w:val="16"/>
          <w:szCs w:val="16"/>
        </w:rPr>
        <w:t>)</w:t>
      </w:r>
      <w:r w:rsidR="006B613D" w:rsidRPr="00FF5F0E">
        <w:rPr>
          <w:rFonts w:asciiTheme="minorHAnsi" w:hAnsiTheme="minorHAnsi"/>
          <w:sz w:val="16"/>
          <w:szCs w:val="16"/>
        </w:rPr>
        <w:t>.</w:t>
      </w:r>
    </w:p>
    <w:p w14:paraId="3770E8C8" w14:textId="77777777" w:rsidR="004C7089" w:rsidRPr="004C7089" w:rsidDel="001B3935" w:rsidRDefault="004C7089" w:rsidP="00ED4198">
      <w:pPr>
        <w:tabs>
          <w:tab w:val="left" w:pos="8010"/>
        </w:tabs>
        <w:spacing w:line="240" w:lineRule="auto"/>
        <w:ind w:left="1710" w:right="1350" w:hanging="270"/>
        <w:rPr>
          <w:rFonts w:asciiTheme="minorHAnsi" w:hAnsiTheme="minorHAnsi" w:cs="Arial"/>
          <w:bCs/>
          <w:sz w:val="16"/>
          <w:szCs w:val="16"/>
        </w:rPr>
      </w:pPr>
      <w:r w:rsidRPr="004C7089" w:rsidDel="001B3935">
        <w:rPr>
          <w:rFonts w:asciiTheme="minorHAnsi" w:hAnsiTheme="minorHAnsi"/>
          <w:sz w:val="16"/>
          <w:szCs w:val="16"/>
        </w:rPr>
        <w:t>(</w:t>
      </w:r>
      <w:r w:rsidR="001E0519">
        <w:rPr>
          <w:rFonts w:asciiTheme="minorHAnsi" w:hAnsiTheme="minorHAnsi"/>
          <w:sz w:val="16"/>
          <w:szCs w:val="16"/>
        </w:rPr>
        <w:t>f</w:t>
      </w:r>
      <w:r w:rsidRPr="004C7089" w:rsidDel="001B3935">
        <w:rPr>
          <w:rFonts w:asciiTheme="minorHAnsi" w:hAnsiTheme="minorHAnsi"/>
          <w:sz w:val="16"/>
          <w:szCs w:val="16"/>
        </w:rPr>
        <w:t xml:space="preserve">) </w:t>
      </w:r>
      <w:r w:rsidR="00ED4198">
        <w:rPr>
          <w:rFonts w:asciiTheme="minorHAnsi" w:hAnsiTheme="minorHAnsi"/>
          <w:sz w:val="16"/>
          <w:szCs w:val="16"/>
        </w:rPr>
        <w:tab/>
      </w:r>
      <w:r w:rsidRPr="004C7089" w:rsidDel="001B3935">
        <w:rPr>
          <w:rFonts w:asciiTheme="minorHAnsi" w:hAnsiTheme="minorHAnsi"/>
          <w:sz w:val="16"/>
          <w:szCs w:val="16"/>
        </w:rPr>
        <w:t>Totals may not</w:t>
      </w:r>
      <w:r w:rsidRPr="004C7089" w:rsidDel="001B3935">
        <w:rPr>
          <w:rFonts w:asciiTheme="minorHAnsi" w:hAnsiTheme="minorHAnsi" w:cs="Arial"/>
          <w:bCs/>
          <w:sz w:val="16"/>
          <w:szCs w:val="16"/>
        </w:rPr>
        <w:t xml:space="preserve"> equal the sum </w:t>
      </w:r>
      <w:r w:rsidRPr="004C7089">
        <w:rPr>
          <w:rFonts w:asciiTheme="minorHAnsi" w:hAnsiTheme="minorHAnsi" w:cs="Arial"/>
          <w:bCs/>
          <w:sz w:val="16"/>
          <w:szCs w:val="16"/>
        </w:rPr>
        <w:t>due to</w:t>
      </w:r>
      <w:r w:rsidRPr="004C7089" w:rsidDel="001B3935">
        <w:rPr>
          <w:rFonts w:asciiTheme="minorHAnsi" w:hAnsiTheme="minorHAnsi" w:cs="Arial"/>
          <w:bCs/>
          <w:sz w:val="16"/>
          <w:szCs w:val="16"/>
        </w:rPr>
        <w:t xml:space="preserve"> rounding. </w:t>
      </w:r>
    </w:p>
    <w:p w14:paraId="019F1BB3" w14:textId="77777777" w:rsidR="004C7089" w:rsidRPr="004C7089" w:rsidRDefault="004C7089" w:rsidP="000F5064">
      <w:pPr>
        <w:pStyle w:val="Heading3"/>
      </w:pPr>
      <w:bookmarkStart w:id="560" w:name="_Ref329080869"/>
      <w:bookmarkStart w:id="561" w:name="_Toc334601038"/>
      <w:bookmarkStart w:id="562" w:name="_Toc365441002"/>
      <w:bookmarkStart w:id="563" w:name="_Toc396807632"/>
      <w:bookmarkStart w:id="564" w:name="_Toc429063405"/>
      <w:bookmarkStart w:id="565" w:name="_Toc490323037"/>
      <w:bookmarkStart w:id="566" w:name="_Ref11668385"/>
      <w:bookmarkStart w:id="567" w:name="_Toc12795179"/>
      <w:bookmarkStart w:id="568" w:name="_Toc481053271"/>
      <w:bookmarkStart w:id="569" w:name="_Ref10720535"/>
      <w:r w:rsidRPr="004C7089">
        <w:lastRenderedPageBreak/>
        <w:t>ISO Interconnection Request Queue</w:t>
      </w:r>
      <w:bookmarkEnd w:id="560"/>
      <w:bookmarkEnd w:id="561"/>
      <w:bookmarkEnd w:id="562"/>
      <w:bookmarkEnd w:id="563"/>
      <w:bookmarkEnd w:id="564"/>
      <w:bookmarkEnd w:id="565"/>
      <w:r w:rsidRPr="004C7089">
        <w:t xml:space="preserve"> and Clustering Interconnection</w:t>
      </w:r>
      <w:bookmarkEnd w:id="566"/>
      <w:bookmarkEnd w:id="567"/>
      <w:r w:rsidRPr="004C7089">
        <w:t xml:space="preserve"> </w:t>
      </w:r>
      <w:bookmarkEnd w:id="568"/>
      <w:bookmarkEnd w:id="569"/>
    </w:p>
    <w:p w14:paraId="4FF649BD" w14:textId="77777777" w:rsidR="004C7089" w:rsidRPr="004C7089" w:rsidRDefault="004C7089" w:rsidP="005658C2">
      <w:pPr>
        <w:keepNext/>
        <w:keepLines/>
      </w:pPr>
      <w:r w:rsidRPr="004C7089">
        <w:t xml:space="preserve">This section presents information on the resources in the ISO Interconnection </w:t>
      </w:r>
      <w:r w:rsidR="00AD27C5">
        <w:t xml:space="preserve">Request </w:t>
      </w:r>
      <w:r w:rsidRPr="004C7089">
        <w:t>Queue and describes the new interconnection process that clusters resources for considering multiple requests in the same study and allocating the costs of significant upgrades among the cluster participants.</w:t>
      </w:r>
    </w:p>
    <w:p w14:paraId="3677BBD7" w14:textId="77777777" w:rsidR="004C7089" w:rsidRPr="007D7056" w:rsidRDefault="004C7089" w:rsidP="004C7089">
      <w:pPr>
        <w:pStyle w:val="Heading4"/>
      </w:pPr>
      <w:bookmarkStart w:id="570" w:name="_Ref12110918"/>
      <w:r w:rsidRPr="007D7056">
        <w:t xml:space="preserve">Interconnection Requests and </w:t>
      </w:r>
      <w:r w:rsidRPr="007C7C94">
        <w:t>Generating Resources</w:t>
      </w:r>
      <w:r w:rsidRPr="007D7056">
        <w:t xml:space="preserve"> in the Interconnection Queue</w:t>
      </w:r>
      <w:bookmarkEnd w:id="570"/>
    </w:p>
    <w:p w14:paraId="2A6E06CA" w14:textId="23FEC4AD" w:rsidR="004C7089" w:rsidRPr="004C7089" w:rsidRDefault="004C7089" w:rsidP="004C7089">
      <w:r w:rsidRPr="004C7089">
        <w:t>The interconnection requests in the ISO’s interconnection queue reflect the region’s interest in building new generation capacity.</w:t>
      </w:r>
      <w:r w:rsidRPr="004C7089">
        <w:rPr>
          <w:vertAlign w:val="superscript"/>
        </w:rPr>
        <w:footnoteReference w:id="124"/>
      </w:r>
      <w:r w:rsidRPr="004C7089">
        <w:t xml:space="preserve"> </w:t>
      </w:r>
      <w:r w:rsidR="001E0519" w:rsidRPr="001E0519">
        <w:fldChar w:fldCharType="begin"/>
      </w:r>
      <w:r w:rsidR="001E0519" w:rsidRPr="001E0519">
        <w:instrText xml:space="preserve"> REF _Ref11055181 \h  \* MERGEFORMAT </w:instrText>
      </w:r>
      <w:r w:rsidR="001E0519" w:rsidRPr="001E051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3</w:t>
      </w:r>
      <w:r w:rsidR="001E0519" w:rsidRPr="001E0519">
        <w:fldChar w:fldCharType="end"/>
      </w:r>
      <w:r w:rsidR="001E0519" w:rsidRPr="001E0519">
        <w:t xml:space="preserve"> </w:t>
      </w:r>
      <w:r w:rsidRPr="004C7089">
        <w:t xml:space="preserve">shows the capacity of the withdrawn, active, and commercial generation-interconnection requests in the queue by load zone as of April 1, 2019. As shown, over 19,000 MW of projects spread throughout New England have requested interconnection study. The top five load zones with the most project proposals are SEMA at approximately 7,400 MW, followed by CT (3,700 MW), ME (3,200 MW), RI (2,500 MW), and WCMA (1,100 MW). </w:t>
      </w:r>
    </w:p>
    <w:p w14:paraId="5A074B7F" w14:textId="77777777" w:rsidR="004C7089" w:rsidRPr="004C7089" w:rsidRDefault="004C7089" w:rsidP="004C7089">
      <w:pPr>
        <w:tabs>
          <w:tab w:val="left" w:pos="90"/>
          <w:tab w:val="left" w:pos="9720"/>
        </w:tabs>
        <w:spacing w:after="0" w:line="240" w:lineRule="auto"/>
        <w:ind w:right="-274"/>
        <w:rPr>
          <w:rFonts w:asciiTheme="minorHAnsi" w:eastAsia="Times New Roman" w:hAnsiTheme="minorHAnsi"/>
          <w:b/>
          <w:sz w:val="16"/>
          <w:szCs w:val="16"/>
        </w:rPr>
      </w:pPr>
      <w:r w:rsidRPr="004C7089">
        <w:rPr>
          <w:noProof/>
        </w:rPr>
        <w:drawing>
          <wp:inline distT="0" distB="0" distL="0" distR="0" wp14:anchorId="69D69326" wp14:editId="67D80A2B">
            <wp:extent cx="5715000" cy="2624455"/>
            <wp:effectExtent l="19050" t="19050" r="1905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624455"/>
                    </a:xfrm>
                    <a:prstGeom prst="rect">
                      <a:avLst/>
                    </a:prstGeom>
                    <a:noFill/>
                    <a:ln>
                      <a:solidFill>
                        <a:srgbClr val="002060"/>
                      </a:solidFill>
                    </a:ln>
                  </pic:spPr>
                </pic:pic>
              </a:graphicData>
            </a:graphic>
          </wp:inline>
        </w:drawing>
      </w:r>
    </w:p>
    <w:p w14:paraId="64E8385A" w14:textId="08F373AB" w:rsidR="004C7089" w:rsidRPr="004C7089" w:rsidRDefault="004C7089" w:rsidP="004C7089">
      <w:pPr>
        <w:keepNext/>
        <w:keepLines/>
        <w:spacing w:before="120" w:after="80" w:line="240" w:lineRule="auto"/>
        <w:ind w:right="-446"/>
        <w:rPr>
          <w:rFonts w:ascii="Calibri" w:hAnsi="Calibri"/>
          <w:b/>
          <w:bCs/>
          <w:szCs w:val="18"/>
        </w:rPr>
      </w:pPr>
      <w:bookmarkStart w:id="571" w:name="_Ref11055181"/>
      <w:bookmarkStart w:id="572" w:name="_Toc17709750"/>
      <w:r w:rsidRPr="004C7089">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4</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3</w:t>
      </w:r>
      <w:r w:rsidR="008E7223">
        <w:rPr>
          <w:rFonts w:ascii="Calibri" w:hAnsi="Calibri"/>
          <w:b/>
          <w:bCs/>
          <w:szCs w:val="18"/>
        </w:rPr>
        <w:fldChar w:fldCharType="end"/>
      </w:r>
      <w:bookmarkEnd w:id="571"/>
      <w:r w:rsidRPr="004C7089">
        <w:rPr>
          <w:rFonts w:ascii="Calibri" w:hAnsi="Calibri"/>
          <w:b/>
          <w:bCs/>
          <w:szCs w:val="18"/>
        </w:rPr>
        <w:t>: Capacity of generation-interconnection requests by load zone, November 1997 to April 2019 (MW).</w:t>
      </w:r>
      <w:bookmarkEnd w:id="572"/>
    </w:p>
    <w:p w14:paraId="3BC6C025" w14:textId="77777777" w:rsidR="004C7089" w:rsidRPr="004C7089" w:rsidRDefault="004C7089" w:rsidP="004C7089">
      <w:pPr>
        <w:tabs>
          <w:tab w:val="left" w:pos="90"/>
          <w:tab w:val="left" w:pos="9720"/>
        </w:tabs>
        <w:spacing w:line="240" w:lineRule="auto"/>
        <w:ind w:right="-274"/>
        <w:rPr>
          <w:rFonts w:asciiTheme="minorHAnsi" w:eastAsia="Times New Roman" w:hAnsiTheme="minorHAnsi"/>
          <w:sz w:val="16"/>
          <w:szCs w:val="16"/>
        </w:rPr>
      </w:pPr>
      <w:r w:rsidRPr="004C7089">
        <w:rPr>
          <w:rFonts w:asciiTheme="minorHAnsi" w:eastAsia="Times New Roman" w:hAnsiTheme="minorHAnsi"/>
          <w:b/>
          <w:sz w:val="16"/>
          <w:szCs w:val="16"/>
        </w:rPr>
        <w:t>Notes:</w:t>
      </w:r>
      <w:r w:rsidRPr="004C7089">
        <w:rPr>
          <w:rFonts w:asciiTheme="minorHAnsi" w:eastAsia="Times New Roman" w:hAnsiTheme="minorHAnsi"/>
          <w:sz w:val="16"/>
          <w:szCs w:val="16"/>
        </w:rPr>
        <w:t xml:space="preserve"> All capacities are based on the projects in the ISO interconnection queue as of April 1, 2019, that would interconnect with the ISO system. Projects involving only transmission or that did not increase an existing generator’s capacity were excluded. Projects with more than one listing in the queue, representing different interconnection configurations, were counted only once.</w:t>
      </w:r>
    </w:p>
    <w:p w14:paraId="52C6110D" w14:textId="25213401" w:rsidR="004C7089" w:rsidRPr="004C7089" w:rsidRDefault="004C7089" w:rsidP="004C7089">
      <w:bookmarkStart w:id="573" w:name="_Ref230869634"/>
      <w:bookmarkStart w:id="574" w:name="_Ref235272106"/>
      <w:bookmarkStart w:id="575" w:name="_Toc239157189"/>
      <w:bookmarkStart w:id="576" w:name="_Toc271552375"/>
      <w:bookmarkStart w:id="577" w:name="_Toc303086729"/>
      <w:r w:rsidRPr="004C7089">
        <w:t>Since the first publication of the queue in November 1997, 142 generating projects (17,671 MW) out of 616 total generator applications (totaling 102,634 MW) have become commercial.</w:t>
      </w:r>
      <w:r w:rsidRPr="004C7089">
        <w:rPr>
          <w:vertAlign w:val="superscript"/>
        </w:rPr>
        <w:footnoteReference w:id="125"/>
      </w:r>
      <w:r w:rsidRPr="004C7089">
        <w:t xml:space="preserve"> Since the queue’s inception, 297 proposed projects totaling approximately 65,916 MW have been withdrawn, reflecting a megawatt attrition rate of 64%. The 177 active projects in the queue total 19,047 MW. </w:t>
      </w:r>
      <w:r w:rsidRPr="004C7089">
        <w:fldChar w:fldCharType="begin"/>
      </w:r>
      <w:r w:rsidRPr="004C7089">
        <w:instrText xml:space="preserve"> REF _Ref8393146 \h  \* MERGEFORMAT </w:instrText>
      </w:r>
      <w:r w:rsidRPr="004C708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4</w:t>
      </w:r>
      <w:r w:rsidRPr="004C7089">
        <w:fldChar w:fldCharType="end"/>
      </w:r>
      <w:r w:rsidRPr="004C7089">
        <w:t xml:space="preserve"> shows the resources in the queue, by state and fuel type, as of April 1, 2019. </w:t>
      </w:r>
      <w:r w:rsidRPr="004C7089">
        <w:fldChar w:fldCharType="begin"/>
      </w:r>
      <w:r w:rsidRPr="004C7089">
        <w:instrText xml:space="preserve"> REF _Ref8393152 \h  \* MERGEFORMAT </w:instrText>
      </w:r>
      <w:r w:rsidRPr="004C7089">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5</w:t>
      </w:r>
      <w:r w:rsidRPr="004C7089">
        <w:fldChar w:fldCharType="end"/>
      </w:r>
      <w:r w:rsidRPr="004C7089">
        <w:t xml:space="preserve"> shows the total megawatts of the same resources by fuel type in each load zone.</w:t>
      </w:r>
    </w:p>
    <w:bookmarkEnd w:id="573"/>
    <w:bookmarkEnd w:id="574"/>
    <w:bookmarkEnd w:id="575"/>
    <w:bookmarkEnd w:id="576"/>
    <w:bookmarkEnd w:id="577"/>
    <w:p w14:paraId="69738C7B" w14:textId="5D8F51E2" w:rsidR="006F616A" w:rsidRPr="004C7089" w:rsidRDefault="006F616A" w:rsidP="006F616A">
      <w:pPr>
        <w:spacing w:after="0" w:line="240" w:lineRule="auto"/>
        <w:ind w:right="806"/>
        <w:rPr>
          <w:rFonts w:asciiTheme="minorHAnsi" w:eastAsia="Times New Roman" w:hAnsiTheme="minorHAnsi" w:cs="Arial"/>
          <w:b/>
          <w:sz w:val="16"/>
          <w:szCs w:val="16"/>
        </w:rPr>
      </w:pPr>
      <w:r>
        <w:rPr>
          <w:noProof/>
        </w:rPr>
        <w:lastRenderedPageBreak/>
        <w:drawing>
          <wp:inline distT="0" distB="0" distL="0" distR="0" wp14:anchorId="5E453B45" wp14:editId="3BC78F14">
            <wp:extent cx="5766513" cy="2857500"/>
            <wp:effectExtent l="19050" t="19050" r="2476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4909"/>
                    <a:stretch/>
                  </pic:blipFill>
                  <pic:spPr bwMode="auto">
                    <a:xfrm>
                      <a:off x="0" y="0"/>
                      <a:ext cx="5783029" cy="2865684"/>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14:paraId="07624BEE" w14:textId="5BC056C7" w:rsidR="004C7089" w:rsidRPr="004C7089" w:rsidRDefault="004C7089" w:rsidP="0048529A">
      <w:pPr>
        <w:keepNext/>
        <w:keepLines/>
        <w:spacing w:before="120" w:after="80" w:line="240" w:lineRule="auto"/>
        <w:ind w:right="-187"/>
        <w:rPr>
          <w:rFonts w:ascii="Calibri" w:hAnsi="Calibri"/>
          <w:b/>
          <w:bCs/>
          <w:szCs w:val="18"/>
        </w:rPr>
      </w:pPr>
      <w:bookmarkStart w:id="578" w:name="_Ref12115009"/>
      <w:bookmarkStart w:id="579" w:name="_Ref8393146"/>
      <w:bookmarkStart w:id="580" w:name="_Toc17709751"/>
      <w:r w:rsidRPr="004C7089">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4</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4</w:t>
      </w:r>
      <w:r w:rsidR="008E7223">
        <w:rPr>
          <w:rFonts w:ascii="Calibri" w:hAnsi="Calibri"/>
          <w:b/>
          <w:bCs/>
          <w:szCs w:val="18"/>
        </w:rPr>
        <w:fldChar w:fldCharType="end"/>
      </w:r>
      <w:bookmarkEnd w:id="578"/>
      <w:bookmarkEnd w:id="579"/>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ctive in the ISO interconnection queue, by state and fuel type, as of April 1, 2019</w:t>
      </w:r>
      <w:r w:rsidR="00916738">
        <w:rPr>
          <w:rFonts w:ascii="Calibri" w:hAnsi="Calibri"/>
          <w:b/>
          <w:bCs/>
          <w:szCs w:val="18"/>
        </w:rPr>
        <w:br/>
      </w:r>
      <w:r w:rsidRPr="004C7089">
        <w:rPr>
          <w:rFonts w:ascii="Calibri" w:hAnsi="Calibri"/>
          <w:b/>
          <w:bCs/>
          <w:szCs w:val="18"/>
        </w:rPr>
        <w:t>(MW and %).</w:t>
      </w:r>
      <w:bookmarkEnd w:id="580"/>
    </w:p>
    <w:p w14:paraId="61079F42" w14:textId="77777777" w:rsidR="004C7089" w:rsidRPr="004C7089" w:rsidRDefault="004C7089" w:rsidP="004C7089">
      <w:pPr>
        <w:spacing w:line="240" w:lineRule="auto"/>
        <w:ind w:right="-187"/>
        <w:rPr>
          <w:rFonts w:eastAsia="Times New Roman"/>
        </w:rPr>
      </w:pPr>
      <w:r w:rsidRPr="004C7089">
        <w:rPr>
          <w:rFonts w:asciiTheme="minorHAnsi" w:eastAsia="Times New Roman" w:hAnsiTheme="minorHAnsi" w:cs="Arial"/>
          <w:b/>
          <w:sz w:val="16"/>
          <w:szCs w:val="16"/>
        </w:rPr>
        <w:t>Notes:</w:t>
      </w:r>
      <w:r w:rsidRPr="004C7089">
        <w:rPr>
          <w:rFonts w:asciiTheme="minorHAnsi" w:eastAsia="Times New Roman" w:hAnsiTheme="minorHAnsi" w:cs="Arial"/>
          <w:sz w:val="16"/>
          <w:szCs w:val="16"/>
        </w:rPr>
        <w:t xml:space="preserve"> The “Other Renewables” category includes 37 MW wood, 78 MW fuel cell, and 2 MW municipal solid waste. The totals for all categories reflect all queue projects that would interconnect with the system and not all projects in New England.</w:t>
      </w:r>
      <w:r w:rsidRPr="004C7089">
        <w:rPr>
          <w:rFonts w:eastAsia="Times New Roman"/>
          <w:b/>
        </w:rPr>
        <w:t xml:space="preserve"> </w:t>
      </w:r>
    </w:p>
    <w:p w14:paraId="7C7590D9" w14:textId="77777777" w:rsidR="00916738" w:rsidRPr="004C7089" w:rsidRDefault="00916738" w:rsidP="005658C2">
      <w:pPr>
        <w:spacing w:after="0" w:line="240" w:lineRule="auto"/>
        <w:jc w:val="center"/>
      </w:pPr>
      <w:r w:rsidRPr="00916738">
        <w:rPr>
          <w:noProof/>
        </w:rPr>
        <w:drawing>
          <wp:inline distT="0" distB="0" distL="0" distR="0" wp14:anchorId="588F407E" wp14:editId="492E1EB8">
            <wp:extent cx="5659640" cy="3197880"/>
            <wp:effectExtent l="19050" t="19050" r="17780"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2035" cy="3199233"/>
                    </a:xfrm>
                    <a:prstGeom prst="rect">
                      <a:avLst/>
                    </a:prstGeom>
                    <a:noFill/>
                    <a:ln w="3175">
                      <a:solidFill>
                        <a:srgbClr val="000000"/>
                      </a:solidFill>
                    </a:ln>
                  </pic:spPr>
                </pic:pic>
              </a:graphicData>
            </a:graphic>
          </wp:inline>
        </w:drawing>
      </w:r>
    </w:p>
    <w:p w14:paraId="4542C7EC" w14:textId="69002D8E" w:rsidR="004C7089" w:rsidRPr="004C7089" w:rsidRDefault="004C7089" w:rsidP="00916738">
      <w:pPr>
        <w:keepLines/>
        <w:spacing w:before="120" w:line="240" w:lineRule="auto"/>
        <w:ind w:left="90"/>
        <w:rPr>
          <w:rFonts w:ascii="Calibri" w:hAnsi="Calibri"/>
          <w:b/>
          <w:bCs/>
          <w:szCs w:val="18"/>
        </w:rPr>
      </w:pPr>
      <w:bookmarkStart w:id="581" w:name="_Ref8393152"/>
      <w:bookmarkStart w:id="582" w:name="_Toc17709752"/>
      <w:r w:rsidRPr="004C7089">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4</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5</w:t>
      </w:r>
      <w:r w:rsidR="008E7223">
        <w:rPr>
          <w:rFonts w:ascii="Calibri" w:hAnsi="Calibri"/>
          <w:b/>
          <w:bCs/>
          <w:szCs w:val="18"/>
        </w:rPr>
        <w:fldChar w:fldCharType="end"/>
      </w:r>
      <w:bookmarkEnd w:id="581"/>
      <w:r w:rsidRPr="004C7089">
        <w:rPr>
          <w:rFonts w:ascii="Calibri" w:hAnsi="Calibri"/>
          <w:b/>
          <w:bCs/>
          <w:szCs w:val="18"/>
        </w:rPr>
        <w:t xml:space="preserve">: Resources </w:t>
      </w:r>
      <w:r w:rsidR="00916738">
        <w:rPr>
          <w:rFonts w:ascii="Calibri" w:hAnsi="Calibri"/>
          <w:b/>
          <w:bCs/>
          <w:szCs w:val="18"/>
        </w:rPr>
        <w:t>a</w:t>
      </w:r>
      <w:r w:rsidRPr="004C7089">
        <w:rPr>
          <w:rFonts w:ascii="Calibri" w:hAnsi="Calibri"/>
          <w:b/>
          <w:bCs/>
          <w:szCs w:val="18"/>
        </w:rPr>
        <w:t xml:space="preserve">ctive in the ISO interconnection queue, by fuel type in each </w:t>
      </w:r>
      <w:r w:rsidR="002263E3">
        <w:rPr>
          <w:rFonts w:ascii="Calibri" w:hAnsi="Calibri"/>
          <w:b/>
          <w:bCs/>
          <w:szCs w:val="18"/>
        </w:rPr>
        <w:t>load zone</w:t>
      </w:r>
      <w:r w:rsidRPr="004C7089">
        <w:rPr>
          <w:rFonts w:ascii="Calibri" w:hAnsi="Calibri"/>
          <w:b/>
          <w:bCs/>
          <w:szCs w:val="18"/>
        </w:rPr>
        <w:t>, as of April 1, 2019 (MW).</w:t>
      </w:r>
      <w:bookmarkEnd w:id="582"/>
    </w:p>
    <w:p w14:paraId="2DFC8293" w14:textId="77777777" w:rsidR="004C7089" w:rsidRPr="004C7089" w:rsidRDefault="004C7089" w:rsidP="004C7089">
      <w:pPr>
        <w:pStyle w:val="Heading4"/>
      </w:pPr>
      <w:bookmarkStart w:id="583" w:name="_Ref11870792"/>
      <w:r w:rsidRPr="004C7089">
        <w:t>Clustering Interconnection Process</w:t>
      </w:r>
      <w:bookmarkEnd w:id="583"/>
    </w:p>
    <w:p w14:paraId="4B2A1313" w14:textId="50CB0D03" w:rsidR="004C7089" w:rsidRPr="00C71F4F" w:rsidRDefault="004C7089" w:rsidP="004C7089">
      <w:r w:rsidRPr="00E70725">
        <w:t xml:space="preserve">The New England states have increased targets for renewable energy (see Section </w:t>
      </w:r>
      <w:r w:rsidR="00E70725" w:rsidRPr="00E70725">
        <w:fldChar w:fldCharType="begin"/>
      </w:r>
      <w:r w:rsidR="00E70725" w:rsidRPr="00E70725">
        <w:instrText xml:space="preserve"> REF _Ref11055351 \r \h </w:instrText>
      </w:r>
      <w:r w:rsidR="00E70725">
        <w:instrText xml:space="preserve"> \* MERGEFORMAT </w:instrText>
      </w:r>
      <w:r w:rsidR="00E70725" w:rsidRPr="00E70725">
        <w:fldChar w:fldCharType="separate"/>
      </w:r>
      <w:r w:rsidR="005D0B73">
        <w:t>9.1</w:t>
      </w:r>
      <w:r w:rsidR="00E70725" w:rsidRPr="00E70725">
        <w:fldChar w:fldCharType="end"/>
      </w:r>
      <w:r w:rsidRPr="00E70725">
        <w:t>), which has</w:t>
      </w:r>
      <w:r w:rsidRPr="004C7089">
        <w:t xml:space="preserve"> resulted in an influx of generator interconnection requests. The processing of the interconnection </w:t>
      </w:r>
      <w:r w:rsidRPr="004C7089">
        <w:lastRenderedPageBreak/>
        <w:t xml:space="preserve">requests in New England has progressed in a timely manner and in accordance with the tariff deadlines. However, the interconnection of resources located in Maine have </w:t>
      </w:r>
      <w:r w:rsidRPr="00C71F4F">
        <w:t xml:space="preserve">experienced a </w:t>
      </w:r>
      <w:r w:rsidRPr="005658C2">
        <w:t>backlog (</w:t>
      </w:r>
      <w:r w:rsidRPr="00C71F4F">
        <w:t>mostly wind interconnection requests).</w:t>
      </w:r>
    </w:p>
    <w:p w14:paraId="282A994B" w14:textId="76E56401" w:rsidR="004C7089" w:rsidRPr="004C7089" w:rsidRDefault="004C7089" w:rsidP="004C7089">
      <w:r w:rsidRPr="00C71F4F">
        <w:t xml:space="preserve">To </w:t>
      </w:r>
      <w:r w:rsidR="00C43502" w:rsidRPr="00C71F4F">
        <w:t xml:space="preserve">reduce the time to conduct system impact studies and </w:t>
      </w:r>
      <w:r w:rsidR="00042D44" w:rsidRPr="00C71F4F">
        <w:t xml:space="preserve">address the interconnection queue </w:t>
      </w:r>
      <w:r w:rsidR="00042D44" w:rsidRPr="005658C2">
        <w:t>backlog</w:t>
      </w:r>
      <w:r w:rsidRPr="005658C2">
        <w:t>,</w:t>
      </w:r>
      <w:r w:rsidRPr="00C71F4F">
        <w:t xml:space="preserve"> particularly for generators in weak areas of the system, such as Maine, the ISO is working with stakeholders to improve the interconnection process. An example of a recent improvement</w:t>
      </w:r>
      <w:r w:rsidRPr="004C7089">
        <w:t xml:space="preserve"> is the development of a </w:t>
      </w:r>
      <w:r w:rsidRPr="004C7089">
        <w:rPr>
          <w:i/>
        </w:rPr>
        <w:t>cluster study approach</w:t>
      </w:r>
      <w:r w:rsidRPr="004C7089">
        <w:t>, which provides the means for considering multiple requests in the same study and allocating the costs of significant upgrades among the cluster participants.</w:t>
      </w:r>
      <w:r w:rsidRPr="004C7089">
        <w:rPr>
          <w:vertAlign w:val="superscript"/>
        </w:rPr>
        <w:footnoteReference w:id="126"/>
      </w:r>
      <w:r w:rsidRPr="004C7089">
        <w:t xml:space="preserve"> The goal is to reduce the time taken to complete system impact studies for </w:t>
      </w:r>
      <w:r w:rsidR="00A247BD">
        <w:t xml:space="preserve">any combination of </w:t>
      </w:r>
      <w:r w:rsidRPr="00ED4198">
        <w:t xml:space="preserve">new </w:t>
      </w:r>
      <w:r w:rsidR="00CE493C" w:rsidRPr="0056449C">
        <w:t xml:space="preserve">resources </w:t>
      </w:r>
      <w:r w:rsidR="00A247BD" w:rsidRPr="00ED4198">
        <w:t>and elective transmission upgrades</w:t>
      </w:r>
      <w:r w:rsidRPr="00ED4198">
        <w:t xml:space="preserve">. The initiative also seeks to address the curtailment and system operations performance issues for </w:t>
      </w:r>
      <w:r w:rsidR="00CE493C" w:rsidRPr="00ED4198">
        <w:t>IBRs</w:t>
      </w:r>
      <w:r w:rsidRPr="00ED4198">
        <w:t xml:space="preserve"> (see Section </w:t>
      </w:r>
      <w:r w:rsidR="0019786C" w:rsidRPr="00D02A11">
        <w:fldChar w:fldCharType="begin"/>
      </w:r>
      <w:r w:rsidR="0019786C" w:rsidRPr="00ED4198">
        <w:instrText xml:space="preserve"> REF _Ref11843457 \r \h  \* MERGEFORMAT </w:instrText>
      </w:r>
      <w:r w:rsidR="0019786C" w:rsidRPr="00D02A11">
        <w:fldChar w:fldCharType="separate"/>
      </w:r>
      <w:r w:rsidR="005D0B73">
        <w:t>9.2</w:t>
      </w:r>
      <w:r w:rsidR="0019786C" w:rsidRPr="00D02A11">
        <w:fldChar w:fldCharType="end"/>
      </w:r>
      <w:r w:rsidRPr="00ED4198">
        <w:t>) and to m</w:t>
      </w:r>
      <w:r w:rsidRPr="004C7089">
        <w:t xml:space="preserve">eet the modeling and performance requirements that new NERC standards are introducing. </w:t>
      </w:r>
    </w:p>
    <w:p w14:paraId="0547A07A" w14:textId="77777777" w:rsidR="004C7089" w:rsidRPr="004C7089" w:rsidRDefault="004C7089" w:rsidP="004C7089">
      <w:r w:rsidRPr="004C7089">
        <w:t xml:space="preserve">In March of 2018, the ISO published the first </w:t>
      </w:r>
      <w:r w:rsidRPr="004C7089">
        <w:rPr>
          <w:i/>
        </w:rPr>
        <w:t>Maine Resource Integration Study</w:t>
      </w:r>
      <w:r w:rsidRPr="004C7089">
        <w:t xml:space="preserve"> (MRIS) to identify the transmission upgrades necessary to enable the interconnection of proposed new resources in northern and western Maine.</w:t>
      </w:r>
      <w:r w:rsidRPr="004C7089">
        <w:rPr>
          <w:vertAlign w:val="superscript"/>
        </w:rPr>
        <w:footnoteReference w:id="127"/>
      </w:r>
      <w:r w:rsidRPr="004C7089">
        <w:t xml:space="preserve"> This MRIS was conducted pursuant to Attachment K of the ISO’s </w:t>
      </w:r>
      <w:r w:rsidRPr="004C7089">
        <w:rPr>
          <w:i/>
        </w:rPr>
        <w:t xml:space="preserve">Open Access Transmission </w:t>
      </w:r>
      <w:r w:rsidRPr="0019786C">
        <w:rPr>
          <w:i/>
        </w:rPr>
        <w:t>Tariff</w:t>
      </w:r>
      <w:r w:rsidRPr="0019786C">
        <w:t xml:space="preserve"> (OATT), i</w:t>
      </w:r>
      <w:r w:rsidRPr="004C7089">
        <w:t xml:space="preserve">n consultation with the PAC. </w:t>
      </w:r>
    </w:p>
    <w:p w14:paraId="27E40DB6" w14:textId="77777777" w:rsidR="004C7089" w:rsidRPr="004C7089" w:rsidRDefault="004C7089" w:rsidP="004C7089">
      <w:r w:rsidRPr="004C7089">
        <w:t>This study was conducted in parallel with the development of an approach to clustering interconnection requests in the ISO-administered interconnection queue, which FERC approved on October 31, 2017.</w:t>
      </w:r>
      <w:r w:rsidRPr="004C7089">
        <w:rPr>
          <w:vertAlign w:val="superscript"/>
        </w:rPr>
        <w:footnoteReference w:id="128"/>
      </w:r>
      <w:r w:rsidRPr="004C7089">
        <w:t xml:space="preserve"> The clustering approach reflected in the FERC-approved rules uses a two-phased study methodology in certain circumstances to expedite the </w:t>
      </w:r>
      <w:r w:rsidRPr="0019786C">
        <w:t xml:space="preserve">consideration of two or more interconnection requests and allocate interconnection upgrade costs among interconnection customers </w:t>
      </w:r>
      <w:r w:rsidRPr="005658C2">
        <w:t>(ICs)</w:t>
      </w:r>
      <w:r w:rsidRPr="00851352">
        <w:t xml:space="preserve"> o</w:t>
      </w:r>
      <w:r w:rsidRPr="004C7089">
        <w:t xml:space="preserve">n a cluster basis. </w:t>
      </w:r>
    </w:p>
    <w:p w14:paraId="72EECB17" w14:textId="77777777" w:rsidR="004C7089" w:rsidRPr="004C7089" w:rsidRDefault="004C7089" w:rsidP="004C7089">
      <w:r w:rsidRPr="004C7089">
        <w:t xml:space="preserve">The first phase of the clustering process involves conducting a transmission planning study, performed under the Regional System Planning Process pursuant to the OATT, Attachment K (Section 15.4), to identify the transmission infrastructure and associated system upgrades necessary to enable the interconnection of potentially all the proposed resources in the interconnection queue. This infrastructure is called a cluster-enabling transmission upgrade (CETU), and the study is referred to a Cluster-Enabling Transmission Upgrade Regional Planning Study (CRPS). </w:t>
      </w:r>
    </w:p>
    <w:p w14:paraId="4DF2389A" w14:textId="77777777" w:rsidR="004C7089" w:rsidRPr="004C7089" w:rsidRDefault="004C7089" w:rsidP="004C7089">
      <w:r w:rsidRPr="004C7089">
        <w:t xml:space="preserve">The second phase consists of conducting a Cluster-Interconnection System Impact Study (CSIS) pursuant to the interconnection procedures and a Cluster-Interconnection Facilities Study (CFAC). These studies must identify the specific facilities required to interconnect the resources that elect to move toward interconnection and meet the associated second-phase entry requirements. Consistent with </w:t>
      </w:r>
      <w:r w:rsidR="00E31005">
        <w:t xml:space="preserve">Attachment K, </w:t>
      </w:r>
      <w:r w:rsidRPr="004C7089">
        <w:t>Section 2.4 (d), the posting of the final CRPS report on the ISO website triggered the entry deadline for the CSIS (cluster entry deadline). Six projects met the cluster entry requirements and are proceeding through the system impact study phase.</w:t>
      </w:r>
    </w:p>
    <w:p w14:paraId="6072408A" w14:textId="77777777" w:rsidR="004C7089" w:rsidRPr="00307E4B" w:rsidRDefault="004C7089" w:rsidP="004C7089">
      <w:r w:rsidRPr="004C7089">
        <w:lastRenderedPageBreak/>
        <w:t>The MRIS constituted the first Cluster-Enabling Transmission Upgrade Regional Planning Study and forms the basis for the first Cluster-Interconnection System Impact Study to be conducted in accordance with the OATT, Schedule 22, Section 4.2.3; Schedule 23, Section 1.5.3.3; and Schedule 25, Section 4.2</w:t>
      </w:r>
      <w:r w:rsidRPr="00851352">
        <w:t>.3.</w:t>
      </w:r>
      <w:r w:rsidRPr="005658C2">
        <w:rPr>
          <w:vertAlign w:val="superscript"/>
        </w:rPr>
        <w:footnoteReference w:id="129"/>
      </w:r>
      <w:r w:rsidRPr="004C7089">
        <w:t xml:space="preserve"> The MRIS identified the interconnection requests, by queue position, eligible to be included in the second-phase study, the transmission upgrades (i.e., CETUs and associated system upgrades) required to </w:t>
      </w:r>
      <w:r w:rsidRPr="00307E4B">
        <w:t xml:space="preserve">enable interconnection, and the cost allocation for eligible projects that elect to proceed to the second phase of the clustering process. </w:t>
      </w:r>
    </w:p>
    <w:p w14:paraId="1A22CABF" w14:textId="77777777" w:rsidR="004C7089" w:rsidRDefault="004C7089" w:rsidP="004C7089">
      <w:r w:rsidRPr="00307E4B">
        <w:t xml:space="preserve">In June 2018, the ISO initiated a </w:t>
      </w:r>
      <w:r w:rsidRPr="00307E4B">
        <w:rPr>
          <w:i/>
        </w:rPr>
        <w:t>Second Maine Resource Integration Study</w:t>
      </w:r>
      <w:r w:rsidRPr="00307E4B">
        <w:t xml:space="preserve"> to identify the transmission upgrades necessary to enable the interconnection of yet further proposed new resources in northern and western Maine. The second MRIS will evaluate the use of </w:t>
      </w:r>
      <w:r w:rsidR="00E31005" w:rsidRPr="00307E4B">
        <w:t>high-voltage direct-current (</w:t>
      </w:r>
      <w:r w:rsidRPr="00307E4B">
        <w:t>HVDC</w:t>
      </w:r>
      <w:r w:rsidR="00E31005" w:rsidRPr="00307E4B">
        <w:t>)</w:t>
      </w:r>
      <w:r w:rsidRPr="00307E4B">
        <w:t xml:space="preserve"> connections to interconnect the additional resources.</w:t>
      </w:r>
      <w:r w:rsidR="00E70725" w:rsidRPr="00307E4B">
        <w:rPr>
          <w:rStyle w:val="FootnoteReference"/>
        </w:rPr>
        <w:footnoteReference w:id="130"/>
      </w:r>
      <w:r w:rsidR="00307E4B" w:rsidRPr="00307E4B">
        <w:t xml:space="preserve"> The ISO anticipates completing this second cluster study by the fourth quarter of 2019.</w:t>
      </w:r>
    </w:p>
    <w:p w14:paraId="43C8C858" w14:textId="77777777" w:rsidR="003D5345" w:rsidRPr="00053B4F" w:rsidRDefault="003D5345" w:rsidP="003D5345">
      <w:pPr>
        <w:pStyle w:val="Heading4"/>
      </w:pPr>
      <w:bookmarkStart w:id="584" w:name="_Ref8901715"/>
      <w:r w:rsidRPr="00053B4F">
        <w:t>Reform of Generator Interconnection Procedures and Agreements</w:t>
      </w:r>
      <w:r w:rsidR="00FF264B">
        <w:t>—</w:t>
      </w:r>
      <w:r w:rsidRPr="00053B4F">
        <w:t>FERC Order No. 845/845-A</w:t>
      </w:r>
      <w:bookmarkEnd w:id="584"/>
    </w:p>
    <w:p w14:paraId="08BAB256" w14:textId="77777777" w:rsidR="003D5345" w:rsidRPr="00053B4F" w:rsidRDefault="003D5345" w:rsidP="003D5345">
      <w:r w:rsidRPr="00053B4F">
        <w:t>On April 19, 2018, FERC issued Order No. 845, its final rule on Reform of Generator Interconnection Procedures and Agreements.</w:t>
      </w:r>
      <w:r w:rsidRPr="00053B4F">
        <w:rPr>
          <w:rStyle w:val="FootnoteReference"/>
        </w:rPr>
        <w:footnoteReference w:id="131"/>
      </w:r>
      <w:r w:rsidRPr="00053B4F">
        <w:t xml:space="preserve"> The rule concludes that interconnection reforms are necessary to facilitate entry of new generation into the market and to avoid harmful effects on competition and potentially unjust and unreasonable rates for customers. It also revises the pro forma Large Generator Interconnection Procedures (LGIP) and Large Generator Interconnection Agreement (LGIA) (both contained in Schedule 22 of the </w:t>
      </w:r>
      <w:r w:rsidR="00C93137">
        <w:t>OATT</w:t>
      </w:r>
      <w:r w:rsidRPr="00053B4F">
        <w:t xml:space="preserve">) to implement 10 specific reforms. The reforms are intended to improve certainty for interconnection customers, promote more informed interconnection decisions, and enhance the interconnection process. </w:t>
      </w:r>
    </w:p>
    <w:p w14:paraId="7D5842F6" w14:textId="77777777" w:rsidR="003D5345" w:rsidRPr="00053B4F" w:rsidRDefault="003D5345" w:rsidP="003D5345">
      <w:r w:rsidRPr="00053B4F">
        <w:t>On February 21, 2019, FERC issued Order No. 845-A, to provide additional clarity to its order.</w:t>
      </w:r>
      <w:r w:rsidRPr="00053B4F">
        <w:rPr>
          <w:rStyle w:val="FootnoteReference"/>
        </w:rPr>
        <w:footnoteReference w:id="132"/>
      </w:r>
      <w:r w:rsidRPr="00053B4F">
        <w:t xml:space="preserve"> Noteworthy changes that affect interconnections to the New England transmission system are as follows:</w:t>
      </w:r>
    </w:p>
    <w:p w14:paraId="3E0DE0A3" w14:textId="77777777" w:rsidR="003D5345" w:rsidRPr="00053B4F" w:rsidRDefault="003D5345" w:rsidP="003D5345">
      <w:pPr>
        <w:pStyle w:val="ListParagraph"/>
        <w:numPr>
          <w:ilvl w:val="0"/>
          <w:numId w:val="728"/>
        </w:numPr>
      </w:pPr>
      <w:r w:rsidRPr="00053B4F">
        <w:t xml:space="preserve">Removes the limitation that interconnection customers may only exercise the option to build a transmission provider’s interconnection facilities and stand-alone network upgrades in </w:t>
      </w:r>
      <w:r w:rsidRPr="00053B4F">
        <w:lastRenderedPageBreak/>
        <w:t>instances when the transmission provider cannot meet the dates proposed by the interconnection customer</w:t>
      </w:r>
    </w:p>
    <w:p w14:paraId="356F9E10" w14:textId="77777777" w:rsidR="003D5345" w:rsidRPr="00053B4F" w:rsidRDefault="003D5345" w:rsidP="003D5345">
      <w:pPr>
        <w:pStyle w:val="ListParagraph"/>
        <w:numPr>
          <w:ilvl w:val="0"/>
          <w:numId w:val="728"/>
        </w:numPr>
      </w:pPr>
      <w:r w:rsidRPr="00053B4F">
        <w:t xml:space="preserve">Allows interconnection customers to request a level of interconnection service lower than their generating facility capability </w:t>
      </w:r>
    </w:p>
    <w:p w14:paraId="160FA548" w14:textId="77777777" w:rsidR="003D5345" w:rsidRPr="00053B4F" w:rsidRDefault="003D5345" w:rsidP="003D5345">
      <w:pPr>
        <w:pStyle w:val="ListParagraph"/>
        <w:numPr>
          <w:ilvl w:val="0"/>
          <w:numId w:val="728"/>
        </w:numPr>
      </w:pPr>
      <w:r w:rsidRPr="00053B4F">
        <w:t xml:space="preserve">Requires transmission providers to allow for provisional interconnection agreements that provide for the limited operation of a generating facility before completion of the full interconnection process </w:t>
      </w:r>
    </w:p>
    <w:p w14:paraId="714469FC" w14:textId="77777777" w:rsidR="003D5345" w:rsidRPr="00053B4F" w:rsidRDefault="003D5345" w:rsidP="003D5345">
      <w:pPr>
        <w:pStyle w:val="ListParagraph"/>
        <w:numPr>
          <w:ilvl w:val="0"/>
          <w:numId w:val="728"/>
        </w:numPr>
      </w:pPr>
      <w:r w:rsidRPr="00053B4F">
        <w:rPr>
          <w:rFonts w:eastAsiaTheme="minorEastAsia"/>
        </w:rPr>
        <w:t>Revises the definition of “generating facility” to explicitly include electric</w:t>
      </w:r>
      <w:r w:rsidR="00F90873">
        <w:rPr>
          <w:rFonts w:eastAsiaTheme="minorEastAsia"/>
        </w:rPr>
        <w:t>-</w:t>
      </w:r>
      <w:r w:rsidRPr="00053B4F">
        <w:rPr>
          <w:rFonts w:eastAsiaTheme="minorEastAsia"/>
        </w:rPr>
        <w:t>storage resources</w:t>
      </w:r>
    </w:p>
    <w:p w14:paraId="68A2D68A" w14:textId="77777777" w:rsidR="003D5345" w:rsidRPr="00053B4F" w:rsidRDefault="003D5345" w:rsidP="00FF264B">
      <w:pPr>
        <w:pStyle w:val="ListParagraph"/>
        <w:numPr>
          <w:ilvl w:val="0"/>
          <w:numId w:val="728"/>
        </w:numPr>
        <w:spacing w:after="240"/>
      </w:pPr>
      <w:r w:rsidRPr="00053B4F">
        <w:t>Requires transmission providers to create a process for interconnection customers to use surplus interconnection service at existing points of interconnection</w:t>
      </w:r>
    </w:p>
    <w:p w14:paraId="4A0D5ED9" w14:textId="77777777" w:rsidR="003D5345" w:rsidRPr="004C7089" w:rsidRDefault="003D5345" w:rsidP="004C7089">
      <w:r w:rsidRPr="00EE296B">
        <w:t xml:space="preserve">In response to these </w:t>
      </w:r>
      <w:r w:rsidRPr="007C7C94">
        <w:t>o</w:t>
      </w:r>
      <w:r w:rsidRPr="00EE296B">
        <w:t xml:space="preserve">rders, the ISO submitted its compliance filing by the deadline of </w:t>
      </w:r>
      <w:r w:rsidRPr="007C7C94">
        <w:t>May 22, 2019.</w:t>
      </w:r>
      <w:r w:rsidRPr="007C7C94">
        <w:rPr>
          <w:rStyle w:val="FootnoteReference"/>
        </w:rPr>
        <w:footnoteReference w:id="133"/>
      </w:r>
    </w:p>
    <w:p w14:paraId="7DFC8830" w14:textId="77777777" w:rsidR="004C7089" w:rsidRPr="004C7089" w:rsidRDefault="004C7089" w:rsidP="004C7089">
      <w:pPr>
        <w:pStyle w:val="Heading2"/>
      </w:pPr>
      <w:bookmarkStart w:id="585" w:name="_Toc176245009"/>
      <w:bookmarkStart w:id="586" w:name="_Toc481053273"/>
      <w:bookmarkStart w:id="587" w:name="_Toc201669938"/>
      <w:bookmarkStart w:id="588" w:name="_Toc207531837"/>
      <w:bookmarkStart w:id="589" w:name="_Toc239157073"/>
      <w:bookmarkStart w:id="590" w:name="_Toc271632228"/>
      <w:bookmarkStart w:id="591" w:name="_Toc303086386"/>
      <w:bookmarkStart w:id="592" w:name="_Toc334601043"/>
      <w:bookmarkStart w:id="593" w:name="_Toc365441003"/>
      <w:bookmarkStart w:id="594" w:name="_Toc396807633"/>
      <w:bookmarkStart w:id="595" w:name="_Toc429063408"/>
      <w:bookmarkStart w:id="596" w:name="_Toc490323038"/>
      <w:bookmarkStart w:id="597" w:name="_Toc12795180"/>
      <w:r w:rsidRPr="004C7089">
        <w:t>Summa</w:t>
      </w:r>
      <w:bookmarkEnd w:id="585"/>
      <w:r w:rsidRPr="004C7089">
        <w:t>ry</w:t>
      </w:r>
      <w:bookmarkEnd w:id="586"/>
      <w:bookmarkEnd w:id="587"/>
      <w:bookmarkEnd w:id="588"/>
      <w:bookmarkEnd w:id="589"/>
      <w:bookmarkEnd w:id="590"/>
      <w:bookmarkEnd w:id="591"/>
      <w:bookmarkEnd w:id="592"/>
      <w:bookmarkEnd w:id="593"/>
      <w:bookmarkEnd w:id="594"/>
      <w:bookmarkEnd w:id="595"/>
      <w:bookmarkEnd w:id="596"/>
      <w:bookmarkEnd w:id="597"/>
      <w:r w:rsidRPr="004C7089">
        <w:t xml:space="preserve"> </w:t>
      </w:r>
    </w:p>
    <w:p w14:paraId="5C01A614" w14:textId="77777777" w:rsidR="004C7089" w:rsidRPr="004C7089" w:rsidRDefault="004C7089" w:rsidP="004C7089">
      <w:r w:rsidRPr="004C7089">
        <w:t>Sufficient resources are projected for New England through 2028 to meet the resource adequacy planning criterion, assuming no additional retirements and the successful co</w:t>
      </w:r>
      <w:r w:rsidR="007A61AF">
        <w:t>mpletion</w:t>
      </w:r>
      <w:r w:rsidRPr="004C7089">
        <w:t xml:space="preserve"> of all new resources that have cleared the FCM. The planning analysis accounts for new resource additions that have responded to market improvements, state policies, and resource retirements</w:t>
      </w:r>
      <w:r w:rsidR="002B396B">
        <w:t xml:space="preserve">. </w:t>
      </w:r>
      <w:r w:rsidRPr="004C7089" w:rsidDel="00397559">
        <w:t xml:space="preserve">The ISO is committed to procuring adequate demand and supply resources </w:t>
      </w:r>
      <w:r w:rsidRPr="004C7089">
        <w:t xml:space="preserve">through the FCM </w:t>
      </w:r>
      <w:r w:rsidRPr="004C7089" w:rsidDel="00397559">
        <w:t xml:space="preserve">and </w:t>
      </w:r>
      <w:r w:rsidRPr="004C7089">
        <w:t xml:space="preserve">expects </w:t>
      </w:r>
      <w:r w:rsidRPr="004C7089" w:rsidDel="00397559">
        <w:t xml:space="preserve">the region </w:t>
      </w:r>
      <w:r w:rsidRPr="004C7089">
        <w:t>to</w:t>
      </w:r>
      <w:r w:rsidRPr="004C7089" w:rsidDel="00397559">
        <w:t xml:space="preserve"> install adequate resources to meet the physical capacity needs </w:t>
      </w:r>
      <w:r w:rsidRPr="004C7089">
        <w:t xml:space="preserve">that </w:t>
      </w:r>
      <w:r w:rsidRPr="004C7089" w:rsidDel="00397559">
        <w:t xml:space="preserve">the ICRs will </w:t>
      </w:r>
      <w:r w:rsidRPr="004C7089">
        <w:t>define</w:t>
      </w:r>
      <w:r w:rsidRPr="004C7089" w:rsidDel="00397559">
        <w:t xml:space="preserve"> for future years. </w:t>
      </w:r>
    </w:p>
    <w:p w14:paraId="464D24DB" w14:textId="737A80BD" w:rsidR="004C7089" w:rsidRPr="004C7089" w:rsidRDefault="004C7089" w:rsidP="004C7089">
      <w:pPr>
        <w:spacing w:after="200" w:line="276" w:lineRule="auto"/>
      </w:pPr>
      <w:r w:rsidRPr="00867BD9">
        <w:t>To date, resource-adequacy studies show that the most reliable and economic place for developing new</w:t>
      </w:r>
      <w:r w:rsidRPr="004C7089">
        <w:t xml:space="preserve"> resources is in NEMA/Boston and SEMA/RI. This is due to recent and anticipated retirements of aging fossil generation and the projected load growth in these areas. Transmission improvements are underway, and new capacity additions are projected that will help meet the regional and local capacity needs. </w:t>
      </w:r>
    </w:p>
    <w:p w14:paraId="188BCC5D" w14:textId="327FE9CE" w:rsidR="004C7089" w:rsidRPr="004C7089" w:rsidRDefault="004C7089" w:rsidP="004C7089">
      <w:r w:rsidRPr="004C7089">
        <w:t xml:space="preserve">By design, the level of the ICR specified for New England could necessitate the use of specific OP 4 actions because the ICR calculation relies on the load relief these actions provide to meet the system’s resource adequacy planning criterion. Several factors would affect the frequency and extent of OP 4 actions, including the amount of resources procured to meet capacity needs, their availability, and actual system loads. During extremely hot and humid 90/10 summer peak-load conditions, reliance on load and capacity relief to meet system needs could range </w:t>
      </w:r>
      <w:r w:rsidR="006320CB">
        <w:t>from</w:t>
      </w:r>
      <w:r w:rsidRPr="004C7089">
        <w:t xml:space="preserve"> 1,150 MW to 2,500 MW during the study period. </w:t>
      </w:r>
      <w:r w:rsidR="006320CB">
        <w:t>Al</w:t>
      </w:r>
      <w:r w:rsidRPr="004C7089">
        <w:t xml:space="preserve">though New England has adequate installed capacity to meet the winter peak demands, which is 6,000 MW to 7,000 MW lower than the summer peak demands, OP 4 actions may still be necessary during extreme cold weather. This is because the region relies on natural gas to fuel much of its baseload generation, and the </w:t>
      </w:r>
      <w:r w:rsidR="00B35BB4">
        <w:t xml:space="preserve">availability </w:t>
      </w:r>
      <w:r w:rsidRPr="004C7089">
        <w:t xml:space="preserve">of natural gas </w:t>
      </w:r>
      <w:r w:rsidR="00B35BB4">
        <w:t xml:space="preserve">may be limited </w:t>
      </w:r>
      <w:r w:rsidRPr="004C7089">
        <w:t xml:space="preserve">when the weather is cold. </w:t>
      </w:r>
      <w:r w:rsidR="00E70725">
        <w:fldChar w:fldCharType="begin"/>
      </w:r>
      <w:r w:rsidR="00E70725">
        <w:instrText xml:space="preserve"> REF _Ref11055619 \r \h </w:instrText>
      </w:r>
      <w:r w:rsidR="00E70725">
        <w:fldChar w:fldCharType="separate"/>
      </w:r>
      <w:r w:rsidR="005D0B73">
        <w:t>Section 7</w:t>
      </w:r>
      <w:r w:rsidR="00E70725">
        <w:fldChar w:fldCharType="end"/>
      </w:r>
      <w:r w:rsidRPr="004C7089">
        <w:t xml:space="preserve"> discusses the region’s immediate concerns about fuel-security issues, the availability of natural-gas-fired generators to produce energy, and the ISO’s efforts to address these challenges over the long term.</w:t>
      </w:r>
    </w:p>
    <w:p w14:paraId="462BC75A" w14:textId="77777777" w:rsidR="004C7089" w:rsidRPr="004C7089" w:rsidRDefault="004C7089" w:rsidP="009B7BC5">
      <w:pPr>
        <w:tabs>
          <w:tab w:val="left" w:pos="1800"/>
        </w:tabs>
      </w:pPr>
      <w:r w:rsidRPr="004C7089">
        <w:t xml:space="preserve">The region is expected to meet future representative operating-reserve requirements for the system as currently planned. </w:t>
      </w:r>
      <w:r w:rsidR="00FF264B">
        <w:t>F</w:t>
      </w:r>
      <w:r w:rsidRPr="004C7089">
        <w:t xml:space="preserve">ast-start </w:t>
      </w:r>
      <w:r w:rsidR="00FF264B">
        <w:t xml:space="preserve">generating </w:t>
      </w:r>
      <w:r w:rsidRPr="004C7089">
        <w:t>resources with a short lead tim</w:t>
      </w:r>
      <w:r w:rsidRPr="005658C2">
        <w:t>e</w:t>
      </w:r>
      <w:r w:rsidR="006320CB" w:rsidRPr="005658C2">
        <w:t>s</w:t>
      </w:r>
      <w:r w:rsidRPr="005658C2">
        <w:t xml:space="preserve"> fo</w:t>
      </w:r>
      <w:r w:rsidRPr="00851352">
        <w:t>r</w:t>
      </w:r>
      <w:r w:rsidRPr="004C7089">
        <w:t xml:space="preserve"> project construction can satisfy near-term operating-reserve requirements while providing operational flexibility to major load </w:t>
      </w:r>
      <w:r w:rsidRPr="004C7089">
        <w:lastRenderedPageBreak/>
        <w:t xml:space="preserve">pockets and the system overall. Continuing to properly locate and size resources </w:t>
      </w:r>
      <w:r w:rsidR="00B35BB4">
        <w:t>electrically connected to</w:t>
      </w:r>
      <w:r w:rsidR="00FF5F0E">
        <w:t xml:space="preserve"> </w:t>
      </w:r>
      <w:r w:rsidRPr="004C7089">
        <w:t xml:space="preserve">major load pockets to replace the resource retirements would </w:t>
      </w:r>
      <w:r w:rsidR="00C20020">
        <w:t>address</w:t>
      </w:r>
      <w:r w:rsidRPr="004C7089">
        <w:t xml:space="preserve"> the amount of reserves required within the load pocket and reduce the reliance on transmission facilities. Transmission improvements have and can continue to help reduce or eliminate operating</w:t>
      </w:r>
      <w:r w:rsidR="009B7BC5">
        <w:t>-</w:t>
      </w:r>
      <w:r w:rsidRPr="004C7089">
        <w:t xml:space="preserve">reserve needs in the major import areas. </w:t>
      </w:r>
    </w:p>
    <w:p w14:paraId="188BB10C" w14:textId="61A0C07A" w:rsidR="004C7089" w:rsidRPr="004C7089" w:rsidRDefault="004C7089" w:rsidP="004C7089">
      <w:pPr>
        <w:tabs>
          <w:tab w:val="left" w:pos="810"/>
        </w:tabs>
      </w:pPr>
      <w:r w:rsidRPr="004C7089">
        <w:t>Some of the 19,047 MW of resources in the interconnection queue will likely be developed to meet future r</w:t>
      </w:r>
      <w:r w:rsidRPr="00E43148">
        <w:t xml:space="preserve">esource needs. Renewable resources are predominately being built in states with aggressive </w:t>
      </w:r>
      <w:r w:rsidR="00E43148" w:rsidRPr="00E43148">
        <w:t>Renewable Portfolio Standard (</w:t>
      </w:r>
      <w:r w:rsidRPr="00E43148">
        <w:t>RPS</w:t>
      </w:r>
      <w:r w:rsidR="00E43148" w:rsidRPr="00E43148">
        <w:t>)</w:t>
      </w:r>
      <w:r w:rsidRPr="00E43148">
        <w:t xml:space="preserve"> targets, specifically Massachusetts, Connecticut, and Rhode Island, and supported by state requests for proposal, which should help serve load in southern New England</w:t>
      </w:r>
      <w:r w:rsidR="009B7BC5" w:rsidRPr="00E43148">
        <w:t xml:space="preserve"> (refer to </w:t>
      </w:r>
      <w:r w:rsidR="00E43148" w:rsidRPr="00E43148">
        <w:t xml:space="preserve">Section </w:t>
      </w:r>
      <w:r w:rsidR="00E43148" w:rsidRPr="00E43148">
        <w:fldChar w:fldCharType="begin"/>
      </w:r>
      <w:r w:rsidR="00E43148" w:rsidRPr="00E43148">
        <w:instrText xml:space="preserve"> REF _Ref11050681 \r \h </w:instrText>
      </w:r>
      <w:r w:rsidR="00E43148">
        <w:instrText xml:space="preserve"> \* MERGEFORMAT </w:instrText>
      </w:r>
      <w:r w:rsidR="00E43148" w:rsidRPr="00E43148">
        <w:fldChar w:fldCharType="separate"/>
      </w:r>
      <w:r w:rsidR="005D0B73">
        <w:t>8.3</w:t>
      </w:r>
      <w:r w:rsidR="00E43148" w:rsidRPr="00E43148">
        <w:fldChar w:fldCharType="end"/>
      </w:r>
      <w:r w:rsidR="009B7BC5" w:rsidRPr="00E43148">
        <w:t>)</w:t>
      </w:r>
      <w:r w:rsidRPr="00E43148">
        <w:t>.</w:t>
      </w:r>
      <w:r w:rsidRPr="004C7089">
        <w:t xml:space="preserve"> Proposed onshore wind resources are predominantly in northern New England, and offshore </w:t>
      </w:r>
      <w:r w:rsidR="00E70725">
        <w:t xml:space="preserve">wind </w:t>
      </w:r>
      <w:r w:rsidRPr="004C7089">
        <w:t xml:space="preserve">resources are being proposed off the southeastern New England coast. New fast-start generation under construction in the SEMA/RI and NEMA/Boston areas will improve system reliability. However, delays in the construction of these new generators or additional retirements would decrease the amount of regional resources and could adversely affect the ability of the system to meet regional electricity needs. Overall, the </w:t>
      </w:r>
      <w:r w:rsidR="009B7BC5">
        <w:t xml:space="preserve">ISO expects </w:t>
      </w:r>
      <w:r w:rsidRPr="004C7089">
        <w:t>more generating resource additions than retirements</w:t>
      </w:r>
      <w:r w:rsidR="009B7BC5">
        <w:t xml:space="preserve"> in the region</w:t>
      </w:r>
      <w:r w:rsidRPr="004C7089">
        <w:t xml:space="preserve"> and resources </w:t>
      </w:r>
      <w:r w:rsidR="009B7BC5">
        <w:t xml:space="preserve">to </w:t>
      </w:r>
      <w:r w:rsidRPr="004C7089">
        <w:t xml:space="preserve">be </w:t>
      </w:r>
      <w:r w:rsidR="009B7BC5">
        <w:t>sufficient</w:t>
      </w:r>
      <w:r w:rsidRPr="004C7089">
        <w:t xml:space="preserve"> to meet </w:t>
      </w:r>
      <w:r w:rsidR="00052396">
        <w:t xml:space="preserve">the </w:t>
      </w:r>
      <w:r w:rsidRPr="004C7089">
        <w:t>net ICR for the next 10 years.</w:t>
      </w:r>
    </w:p>
    <w:p w14:paraId="4213DBAC" w14:textId="77777777" w:rsidR="004C7089" w:rsidRPr="004C7089" w:rsidRDefault="004C7089" w:rsidP="004C7089">
      <w:pPr>
        <w:tabs>
          <w:tab w:val="left" w:pos="810"/>
        </w:tabs>
      </w:pPr>
      <w:r w:rsidRPr="004C7089">
        <w:t xml:space="preserve">The ISO has improved the interconnection process and now </w:t>
      </w:r>
      <w:r w:rsidR="00B35BB4">
        <w:t>uses</w:t>
      </w:r>
      <w:r w:rsidRPr="004C7089">
        <w:t xml:space="preserve"> a cluster study approach, which provides the means for considering multiple requests in the same study and allocating the costs of significant upgrades among the cluster participants in the interconnection queue. </w:t>
      </w:r>
      <w:r w:rsidRPr="00E70725">
        <w:t xml:space="preserve">To date, the ISO has completed </w:t>
      </w:r>
      <w:r w:rsidR="00E70725" w:rsidRPr="00E70725">
        <w:t>one cluster s</w:t>
      </w:r>
      <w:r w:rsidR="00E70725" w:rsidRPr="00851352">
        <w:t xml:space="preserve">tudy </w:t>
      </w:r>
      <w:r w:rsidR="00E70725" w:rsidRPr="005658C2">
        <w:t>and plans to complete a second by the end of 2019</w:t>
      </w:r>
      <w:r w:rsidR="00E70725" w:rsidRPr="00E70725">
        <w:t xml:space="preserve"> </w:t>
      </w:r>
      <w:r w:rsidRPr="00E70725">
        <w:t>for proposed resources in northern and western Maine.</w:t>
      </w:r>
      <w:r w:rsidRPr="004C7089">
        <w:t xml:space="preserve"> </w:t>
      </w:r>
    </w:p>
    <w:bookmarkEnd w:id="325"/>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526"/>
    <w:bookmarkEnd w:id="527"/>
    <w:bookmarkEnd w:id="528"/>
    <w:bookmarkEnd w:id="529"/>
    <w:p w14:paraId="0EDF25D0" w14:textId="77777777" w:rsidR="00EB271B" w:rsidRDefault="00EB271B" w:rsidP="00B969ED"/>
    <w:p w14:paraId="21BA4540" w14:textId="77777777" w:rsidR="00EB271B" w:rsidRDefault="00EB271B" w:rsidP="00B969ED">
      <w:pPr>
        <w:sectPr w:rsidR="00EB271B" w:rsidSect="001B6B81">
          <w:pgSz w:w="12240" w:h="15840"/>
          <w:pgMar w:top="1440" w:right="1530" w:bottom="1440" w:left="1800" w:header="720" w:footer="720" w:gutter="0"/>
          <w:cols w:space="720"/>
          <w:docGrid w:linePitch="360"/>
        </w:sectPr>
      </w:pPr>
    </w:p>
    <w:p w14:paraId="01FF73EF" w14:textId="77777777" w:rsidR="00B969ED" w:rsidRPr="00B969ED" w:rsidRDefault="00B969ED" w:rsidP="007C7C94">
      <w:pPr>
        <w:pStyle w:val="Heading1"/>
      </w:pPr>
      <w:r w:rsidRPr="00B969ED">
        <w:lastRenderedPageBreak/>
        <w:br/>
      </w:r>
      <w:bookmarkStart w:id="598" w:name="_Ref301345731"/>
      <w:bookmarkStart w:id="599" w:name="_Ref301345744"/>
      <w:bookmarkStart w:id="600" w:name="_Ref301345754"/>
      <w:bookmarkStart w:id="601" w:name="_Ref301345767"/>
      <w:bookmarkStart w:id="602" w:name="_Ref301345780"/>
      <w:bookmarkStart w:id="603" w:name="_Ref301345816"/>
      <w:bookmarkStart w:id="604" w:name="_Ref301345826"/>
      <w:bookmarkStart w:id="605" w:name="_Ref301345837"/>
      <w:bookmarkStart w:id="606" w:name="_Toc303086393"/>
      <w:bookmarkStart w:id="607" w:name="_Toc334601044"/>
      <w:bookmarkStart w:id="608" w:name="_Toc365441004"/>
      <w:bookmarkStart w:id="609" w:name="_Toc396807634"/>
      <w:bookmarkStart w:id="610" w:name="_Toc429063409"/>
      <w:bookmarkStart w:id="611" w:name="_Toc490323039"/>
      <w:bookmarkStart w:id="612" w:name="_Toc12795181"/>
      <w:r w:rsidRPr="00B969ED">
        <w:t>Transmission System Performance Needs Assessments</w:t>
      </w:r>
      <w:r w:rsidR="00C95C96">
        <w:br/>
      </w:r>
      <w:r w:rsidRPr="00B969ED">
        <w:t>and Upgrade Approvals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400F3678" w14:textId="77777777" w:rsidR="00B969ED" w:rsidRPr="00B969ED" w:rsidRDefault="00B969ED" w:rsidP="00B969ED">
      <w:r w:rsidRPr="00B969ED">
        <w:t>Since 2002, the ISO and regional stakeholders have made significant progress developing transmission solutions in New England that address existing and projected transmission system needs. Major transmission projects and other projects help maintain system reliability and enhance the region’s ability to support a robust, competitive wholesale power market by reliably moving power from various internal and external sources to the region’s load centers.</w:t>
      </w:r>
    </w:p>
    <w:p w14:paraId="22A97E9A" w14:textId="394144DC" w:rsidR="00B969ED" w:rsidRPr="00B969ED" w:rsidRDefault="00B969ED" w:rsidP="00B969ED">
      <w:r w:rsidRPr="00B969ED">
        <w:t xml:space="preserve">This section discusses the need for transmission reliability and provides an overview of the New England transmission system, updates on the performance of the system, and the status of several transmission planning studies. The progress of major transmission projects and various types of transmission upgrades in the region as </w:t>
      </w:r>
      <w:r w:rsidRPr="00851352">
        <w:t xml:space="preserve">of </w:t>
      </w:r>
      <w:r w:rsidRPr="005658C2">
        <w:t>June</w:t>
      </w:r>
      <w:r w:rsidRPr="00851352">
        <w:t xml:space="preserve"> 20</w:t>
      </w:r>
      <w:r w:rsidRPr="00B969ED">
        <w:t>19 are also provided.</w:t>
      </w:r>
      <w:r w:rsidRPr="00B969ED">
        <w:rPr>
          <w:vertAlign w:val="superscript"/>
        </w:rPr>
        <w:footnoteReference w:id="134"/>
      </w:r>
      <w:r w:rsidRPr="00B969ED">
        <w:t xml:space="preserve"> The transmission planning studies account for known plans for resource additions and attritions (see </w:t>
      </w:r>
      <w:r w:rsidRPr="00F52C96">
        <w:fldChar w:fldCharType="begin"/>
      </w:r>
      <w:r w:rsidRPr="00F52C96">
        <w:instrText xml:space="preserve"> REF _Ref418680938 \r \h  \* MERGEFORMAT </w:instrText>
      </w:r>
      <w:r w:rsidRPr="00F52C96">
        <w:fldChar w:fldCharType="separate"/>
      </w:r>
      <w:r w:rsidR="005D0B73">
        <w:t>Section 4</w:t>
      </w:r>
      <w:r w:rsidRPr="00F52C96">
        <w:fldChar w:fldCharType="end"/>
      </w:r>
      <w:r w:rsidRPr="00F52C96">
        <w:t>) an</w:t>
      </w:r>
      <w:r w:rsidRPr="00B969ED">
        <w:t xml:space="preserve">d the material effects of the EE forecast and the PV forecast (see </w:t>
      </w:r>
      <w:r w:rsidRPr="00B969ED">
        <w:fldChar w:fldCharType="begin"/>
      </w:r>
      <w:r w:rsidRPr="00B969ED">
        <w:instrText xml:space="preserve"> REF _Ref418357222 \r \h </w:instrText>
      </w:r>
      <w:r w:rsidRPr="00B969ED">
        <w:fldChar w:fldCharType="separate"/>
      </w:r>
      <w:r w:rsidR="005D0B73">
        <w:t>Section 3</w:t>
      </w:r>
      <w:r w:rsidRPr="00B969ED">
        <w:fldChar w:fldCharType="end"/>
      </w:r>
      <w:r w:rsidRPr="00B969ED">
        <w:t>). Previous RSPs, various PAC presentations, and other ISO reports contain information regarding the detailed analyses associated with many of these efforts.</w:t>
      </w:r>
      <w:r w:rsidRPr="00B969ED">
        <w:rPr>
          <w:vertAlign w:val="superscript"/>
        </w:rPr>
        <w:footnoteReference w:id="135"/>
      </w:r>
    </w:p>
    <w:p w14:paraId="5B6A9EBA" w14:textId="77777777" w:rsidR="00B969ED" w:rsidRPr="00B969ED" w:rsidRDefault="00B969ED" w:rsidP="00B969ED">
      <w:r w:rsidRPr="00B969ED">
        <w:t xml:space="preserve">The </w:t>
      </w:r>
      <w:r w:rsidRPr="00B969ED">
        <w:rPr>
          <w:i/>
        </w:rPr>
        <w:t>Transmission Planning Process Guide</w:t>
      </w:r>
      <w:r w:rsidRPr="00B969ED">
        <w:t xml:space="preserve"> details the existing regional system planning process and how transmission planning studies are performed, and the </w:t>
      </w:r>
      <w:r w:rsidRPr="00B969ED">
        <w:rPr>
          <w:i/>
        </w:rPr>
        <w:t>Transmission Planning Technical Guide</w:t>
      </w:r>
      <w:r w:rsidRPr="00B969ED">
        <w:t xml:space="preserve"> references the current standards and details the current criteria and assumptions used in transmission planning studies.</w:t>
      </w:r>
      <w:r w:rsidRPr="00B969ED">
        <w:rPr>
          <w:vertAlign w:val="superscript"/>
        </w:rPr>
        <w:footnoteReference w:id="136"/>
      </w:r>
      <w:r w:rsidRPr="00B969ED">
        <w:t xml:space="preserve"> </w:t>
      </w:r>
    </w:p>
    <w:p w14:paraId="24583C09" w14:textId="77777777" w:rsidR="00B969ED" w:rsidRPr="00B969ED" w:rsidRDefault="00B969ED" w:rsidP="00FB3938">
      <w:pPr>
        <w:pStyle w:val="Heading2"/>
      </w:pPr>
      <w:bookmarkStart w:id="613" w:name="_Toc303086394"/>
      <w:bookmarkStart w:id="614" w:name="_Toc334601045"/>
      <w:bookmarkStart w:id="615" w:name="_Toc365441005"/>
      <w:bookmarkStart w:id="616" w:name="_Toc396807635"/>
      <w:bookmarkStart w:id="617" w:name="_Toc429063410"/>
      <w:bookmarkStart w:id="618" w:name="_Toc490323040"/>
      <w:bookmarkStart w:id="619" w:name="_Toc12795182"/>
      <w:r w:rsidRPr="00B969ED">
        <w:t xml:space="preserve">The Need for Transmission </w:t>
      </w:r>
      <w:bookmarkEnd w:id="613"/>
      <w:bookmarkEnd w:id="614"/>
      <w:bookmarkEnd w:id="615"/>
      <w:bookmarkEnd w:id="616"/>
      <w:bookmarkEnd w:id="617"/>
      <w:r w:rsidRPr="00B969ED">
        <w:t>Reliability</w:t>
      </w:r>
      <w:bookmarkEnd w:id="618"/>
      <w:bookmarkEnd w:id="619"/>
    </w:p>
    <w:p w14:paraId="6803DF69" w14:textId="622D6450" w:rsidR="00B969ED" w:rsidRPr="00B969ED" w:rsidRDefault="00B969ED" w:rsidP="00B969ED">
      <w:r w:rsidRPr="00B969ED">
        <w:t xml:space="preserve">A reliable, well-designed transmission system that provides regional transmission service is essential for complying with mandatory reliability standards </w:t>
      </w:r>
      <w:r w:rsidRPr="00772ADA">
        <w:t xml:space="preserve">(see </w:t>
      </w:r>
      <w:r w:rsidRPr="00942964">
        <w:t xml:space="preserve">Section </w:t>
      </w:r>
      <w:r w:rsidRPr="00942964">
        <w:fldChar w:fldCharType="begin"/>
      </w:r>
      <w:r w:rsidRPr="00942964">
        <w:instrText xml:space="preserve"> REF _Ref365471084 \r \h  \* MERGEFORMAT </w:instrText>
      </w:r>
      <w:r w:rsidRPr="00942964">
        <w:fldChar w:fldCharType="separate"/>
      </w:r>
      <w:r w:rsidR="005D0B73">
        <w:t>2.1.7</w:t>
      </w:r>
      <w:r w:rsidRPr="00942964">
        <w:fldChar w:fldCharType="end"/>
      </w:r>
      <w:r w:rsidRPr="00942964">
        <w:t>)</w:t>
      </w:r>
      <w:r w:rsidRPr="00772ADA">
        <w:t xml:space="preserve"> a</w:t>
      </w:r>
      <w:r w:rsidRPr="00B969ED">
        <w:t xml:space="preserve">nd supporting the secure dispatch and operation of generation that delivers numerous products and services. </w:t>
      </w:r>
      <w:r w:rsidR="00772ADA">
        <w:t xml:space="preserve">Adhering to evolving physical and cybersecurity standards due to the increased reliance on distributed resources and variable energy resources is a priority (see Sections </w:t>
      </w:r>
      <w:r w:rsidR="00942964">
        <w:fldChar w:fldCharType="begin"/>
      </w:r>
      <w:r w:rsidR="00942964">
        <w:instrText xml:space="preserve"> REF _Ref11852051 \r \h </w:instrText>
      </w:r>
      <w:r w:rsidR="00942964">
        <w:fldChar w:fldCharType="separate"/>
      </w:r>
      <w:r w:rsidR="005D0B73">
        <w:t>9.1.2</w:t>
      </w:r>
      <w:r w:rsidR="00942964">
        <w:fldChar w:fldCharType="end"/>
      </w:r>
      <w:r w:rsidR="00772ADA">
        <w:t xml:space="preserve"> and </w:t>
      </w:r>
      <w:r w:rsidR="00942964">
        <w:fldChar w:fldCharType="begin"/>
      </w:r>
      <w:r w:rsidR="00942964">
        <w:instrText xml:space="preserve"> REF _Ref11852062 \r \h </w:instrText>
      </w:r>
      <w:r w:rsidR="00942964">
        <w:fldChar w:fldCharType="separate"/>
      </w:r>
      <w:r w:rsidR="005D0B73">
        <w:t>9.4.2</w:t>
      </w:r>
      <w:r w:rsidR="00942964">
        <w:fldChar w:fldCharType="end"/>
      </w:r>
      <w:r w:rsidR="00772ADA">
        <w:t xml:space="preserve">). </w:t>
      </w:r>
      <w:r w:rsidRPr="00B969ED">
        <w:t>A reliable transmission system plays an important role in the following functions:</w:t>
      </w:r>
    </w:p>
    <w:p w14:paraId="779EBD8C" w14:textId="77777777" w:rsidR="00B969ED" w:rsidRPr="00B969ED" w:rsidRDefault="00B969ED" w:rsidP="00955D2D">
      <w:pPr>
        <w:numPr>
          <w:ilvl w:val="0"/>
          <w:numId w:val="29"/>
        </w:numPr>
        <w:spacing w:after="120"/>
        <w:rPr>
          <w:color w:val="000000"/>
        </w:rPr>
      </w:pPr>
      <w:r w:rsidRPr="00B969ED">
        <w:rPr>
          <w:color w:val="000000"/>
        </w:rPr>
        <w:t xml:space="preserve">Allowing access to capacity resources </w:t>
      </w:r>
    </w:p>
    <w:p w14:paraId="1FDA8E1C" w14:textId="77777777" w:rsidR="00B969ED" w:rsidRPr="00B969ED" w:rsidRDefault="00B969ED" w:rsidP="00955D2D">
      <w:pPr>
        <w:numPr>
          <w:ilvl w:val="0"/>
          <w:numId w:val="29"/>
        </w:numPr>
        <w:spacing w:after="120"/>
        <w:rPr>
          <w:color w:val="000000"/>
        </w:rPr>
      </w:pPr>
      <w:r w:rsidRPr="00B969ED">
        <w:rPr>
          <w:color w:val="000000"/>
        </w:rPr>
        <w:t>Providing immediate contingency response to sudden resource or transmission outages</w:t>
      </w:r>
    </w:p>
    <w:p w14:paraId="1E8A9187" w14:textId="77777777" w:rsidR="00B969ED" w:rsidRPr="00B969ED" w:rsidRDefault="00B969ED" w:rsidP="00955D2D">
      <w:pPr>
        <w:numPr>
          <w:ilvl w:val="0"/>
          <w:numId w:val="29"/>
        </w:numPr>
        <w:spacing w:after="120"/>
        <w:rPr>
          <w:color w:val="000000"/>
        </w:rPr>
      </w:pPr>
      <w:r w:rsidRPr="00B969ED">
        <w:rPr>
          <w:color w:val="000000"/>
        </w:rPr>
        <w:t>Regulating voltage and minimizing voltage fluctuations</w:t>
      </w:r>
    </w:p>
    <w:p w14:paraId="44FDBB37" w14:textId="77777777" w:rsidR="00B969ED" w:rsidRPr="00B969ED" w:rsidRDefault="00B969ED" w:rsidP="00955D2D">
      <w:pPr>
        <w:numPr>
          <w:ilvl w:val="0"/>
          <w:numId w:val="29"/>
        </w:numPr>
        <w:spacing w:after="120"/>
        <w:rPr>
          <w:color w:val="000000"/>
        </w:rPr>
      </w:pPr>
      <w:r w:rsidRPr="00B969ED">
        <w:rPr>
          <w:color w:val="000000"/>
        </w:rPr>
        <w:t>Stabilizing the grid after transient events</w:t>
      </w:r>
    </w:p>
    <w:p w14:paraId="5503F848" w14:textId="77777777" w:rsidR="00B969ED" w:rsidRPr="00B969ED" w:rsidRDefault="00B969ED" w:rsidP="00955D2D">
      <w:pPr>
        <w:numPr>
          <w:ilvl w:val="0"/>
          <w:numId w:val="29"/>
        </w:numPr>
        <w:spacing w:after="120"/>
        <w:rPr>
          <w:color w:val="000000"/>
        </w:rPr>
      </w:pPr>
      <w:r w:rsidRPr="00B969ED">
        <w:rPr>
          <w:color w:val="000000"/>
        </w:rPr>
        <w:t>Facilitating the efficient use of regional supply and demand resources</w:t>
      </w:r>
    </w:p>
    <w:p w14:paraId="1458D10E" w14:textId="77777777" w:rsidR="00B969ED" w:rsidRPr="00B969ED" w:rsidRDefault="00B969ED" w:rsidP="00955D2D">
      <w:pPr>
        <w:numPr>
          <w:ilvl w:val="0"/>
          <w:numId w:val="29"/>
        </w:numPr>
        <w:spacing w:after="120"/>
        <w:rPr>
          <w:color w:val="000000"/>
        </w:rPr>
      </w:pPr>
      <w:r w:rsidRPr="00B969ED">
        <w:rPr>
          <w:color w:val="000000"/>
        </w:rPr>
        <w:t xml:space="preserve">Reducing the amount of reserves necessary for the secure operation of the system </w:t>
      </w:r>
    </w:p>
    <w:p w14:paraId="2E58B2F8" w14:textId="77777777" w:rsidR="00B969ED" w:rsidRPr="00B969ED" w:rsidRDefault="00B969ED" w:rsidP="00955D2D">
      <w:pPr>
        <w:numPr>
          <w:ilvl w:val="0"/>
          <w:numId w:val="29"/>
        </w:numPr>
        <w:spacing w:after="120"/>
        <w:rPr>
          <w:color w:val="000000"/>
        </w:rPr>
      </w:pPr>
      <w:r w:rsidRPr="00B969ED">
        <w:rPr>
          <w:color w:val="000000"/>
        </w:rPr>
        <w:lastRenderedPageBreak/>
        <w:t>Facilitating the scheduling of equipment maintenance</w:t>
      </w:r>
    </w:p>
    <w:p w14:paraId="1BD6A65E" w14:textId="77777777" w:rsidR="00B969ED" w:rsidRPr="00B969ED" w:rsidRDefault="00B969ED" w:rsidP="00955D2D">
      <w:pPr>
        <w:numPr>
          <w:ilvl w:val="0"/>
          <w:numId w:val="29"/>
        </w:numPr>
        <w:spacing w:after="120"/>
      </w:pPr>
      <w:r w:rsidRPr="00B969ED">
        <w:rPr>
          <w:color w:val="000000"/>
        </w:rPr>
        <w:t>Receiving assistance from and providing it to neighboring balancing authority areas, especially during major contingencies affecting reliability, ensuring the reliability of the interconnected system</w:t>
      </w:r>
      <w:bookmarkStart w:id="620" w:name="_Toc303086398"/>
      <w:bookmarkStart w:id="621" w:name="_Ref334019517"/>
      <w:bookmarkStart w:id="622" w:name="_Toc334601049"/>
      <w:bookmarkStart w:id="623" w:name="_Toc365441006"/>
      <w:bookmarkStart w:id="624" w:name="_Toc396807636"/>
    </w:p>
    <w:p w14:paraId="14B92890" w14:textId="77777777" w:rsidR="00B969ED" w:rsidRPr="00B969ED" w:rsidRDefault="00B969ED" w:rsidP="00955D2D">
      <w:pPr>
        <w:numPr>
          <w:ilvl w:val="0"/>
          <w:numId w:val="29"/>
        </w:numPr>
      </w:pPr>
      <w:r w:rsidRPr="00B969ED">
        <w:rPr>
          <w:color w:val="000000"/>
        </w:rPr>
        <w:t>Expediting system restoration after major events</w:t>
      </w:r>
    </w:p>
    <w:p w14:paraId="1E55C992" w14:textId="77777777" w:rsidR="00B969ED" w:rsidRPr="00B969ED" w:rsidRDefault="00B969ED" w:rsidP="00FB3938">
      <w:pPr>
        <w:pStyle w:val="Heading2"/>
      </w:pPr>
      <w:bookmarkStart w:id="625" w:name="_Ref418953108"/>
      <w:bookmarkStart w:id="626" w:name="_Toc429063411"/>
      <w:bookmarkStart w:id="627" w:name="_Toc490323041"/>
      <w:bookmarkStart w:id="628" w:name="_Toc12795183"/>
      <w:bookmarkEnd w:id="620"/>
      <w:bookmarkEnd w:id="621"/>
      <w:bookmarkEnd w:id="622"/>
      <w:bookmarkEnd w:id="623"/>
      <w:bookmarkEnd w:id="624"/>
      <w:r w:rsidRPr="00B969ED">
        <w:t>Overview of New England’s Transmission System</w:t>
      </w:r>
      <w:bookmarkEnd w:id="625"/>
      <w:bookmarkEnd w:id="626"/>
      <w:bookmarkEnd w:id="627"/>
      <w:bookmarkEnd w:id="628"/>
    </w:p>
    <w:p w14:paraId="5C22B4CA" w14:textId="77777777" w:rsidR="00B969ED" w:rsidRPr="00B969ED" w:rsidRDefault="00B969ED" w:rsidP="00B969ED">
      <w:r w:rsidRPr="00B969ED">
        <w:t xml:space="preserve">In New England, the power system provides electricity to diverse areas, ranging from rural agricultural to </w:t>
      </w:r>
      <w:r w:rsidRPr="00BD582F">
        <w:t xml:space="preserve">densely populated cities, and integrates widely dispersed and varied types of power supply resources. </w:t>
      </w:r>
      <w:r w:rsidRPr="005658C2">
        <w:t xml:space="preserve">Geographically, approximately 20% of New England’s peak loads are in the northern states of Maine, New Hampshire, and Vermont, and 80% are in the southern states of Massachusetts, Connecticut, and Rhode Island. </w:t>
      </w:r>
      <w:r w:rsidRPr="00BD582F">
        <w:t>Alt</w:t>
      </w:r>
      <w:r w:rsidRPr="00B969ED">
        <w:t>hough the land area in the northern states is larger than the land area in the southern states, the greater urban development in southern New England creates the relatively larger demand and corresponding transmission density. This means that while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14:paraId="3A7E7F8D" w14:textId="6E691D58" w:rsidR="00B969ED" w:rsidRPr="00B969ED" w:rsidRDefault="00B969ED" w:rsidP="00B969ED">
      <w:r w:rsidRPr="00B969ED">
        <w:t xml:space="preserve">The New England transmission system consists of mostly 115 kV, 230 kV, and 345 kV transmission lines, which are generally longer and fewer in number in northern New England than in the southern states. The region has 13 interconnections with neighboring power systems in the United States and Eastern Canada. Nine interconnections are with New York (NYISO) (two 345 kV ties; one 230 kV tie; one 138 kV tie; three 115 kV ties; one 69 kV tie; and one 330 MW, ±150 kV HVDC tie—the Cross-Sound Cable interconnection). New England and the Maritimes (New Brunswick Power Corporation) are connected through two 345 kV </w:t>
      </w:r>
      <w:r w:rsidR="003013B8">
        <w:t>alternating current (</w:t>
      </w:r>
      <w:r w:rsidRPr="00B969ED">
        <w:t>AC</w:t>
      </w:r>
      <w:r w:rsidR="003013B8">
        <w:t>)</w:t>
      </w:r>
      <w:r w:rsidRPr="00B969ED">
        <w:t xml:space="preserve"> ties.</w:t>
      </w:r>
      <w:r w:rsidRPr="00B969ED">
        <w:rPr>
          <w:vertAlign w:val="superscript"/>
        </w:rPr>
        <w:footnoteReference w:id="137"/>
      </w:r>
      <w:r w:rsidRPr="00B969ED">
        <w:t xml:space="preserve"> New England also has two HVDC interconnections with Québec (Hydro-Québec</w:t>
      </w:r>
      <w:r w:rsidR="001446CF">
        <w:t>; HQ</w:t>
      </w:r>
      <w:r w:rsidRPr="00B969ED">
        <w:t xml:space="preserve">). One is a 120 </w:t>
      </w:r>
      <w:r w:rsidRPr="003013B8">
        <w:t>kV AC</w:t>
      </w:r>
      <w:r w:rsidRPr="00B969ED">
        <w:t xml:space="preserve"> interconnection (Highgate in northern Vermont) with a 225 MW back-to-back converter station, which </w:t>
      </w:r>
      <w:r w:rsidRPr="008563F6">
        <w:t xml:space="preserve">converts alternating current </w:t>
      </w:r>
      <w:r w:rsidRPr="003013B8">
        <w:t xml:space="preserve">to direct current </w:t>
      </w:r>
      <w:r w:rsidR="003013B8">
        <w:t xml:space="preserve">(DC) </w:t>
      </w:r>
      <w:r w:rsidRPr="003013B8">
        <w:t xml:space="preserve">and then back to </w:t>
      </w:r>
      <w:r w:rsidR="003013B8">
        <w:t>AC</w:t>
      </w:r>
      <w:r w:rsidRPr="003013B8">
        <w:t>.</w:t>
      </w:r>
      <w:r w:rsidRPr="008563F6">
        <w:t xml:space="preserve"> The second is a ±450</w:t>
      </w:r>
      <w:r w:rsidRPr="00B969ED">
        <w:t xml:space="preserve"> kV HVDC line with terminal configurations allowing up to 2,</w:t>
      </w:r>
      <w:r w:rsidR="00B9154D" w:rsidRPr="00B969ED">
        <w:t>000</w:t>
      </w:r>
      <w:r w:rsidR="00B9154D">
        <w:t> </w:t>
      </w:r>
      <w:r w:rsidRPr="00B969ED">
        <w:t xml:space="preserve">MW to be delivered at Sandy Pond in Massachusetts (i.e., Phase II). </w:t>
      </w:r>
    </w:p>
    <w:p w14:paraId="21F019B8" w14:textId="77777777" w:rsidR="00B969ED" w:rsidRPr="00B969ED" w:rsidRDefault="00B969ED" w:rsidP="00FB3938">
      <w:pPr>
        <w:pStyle w:val="Heading2"/>
      </w:pPr>
      <w:bookmarkStart w:id="629" w:name="_Ref485807737"/>
      <w:bookmarkStart w:id="630" w:name="_Ref485807747"/>
      <w:bookmarkStart w:id="631" w:name="_Ref485808563"/>
      <w:bookmarkStart w:id="632" w:name="_Ref485808582"/>
      <w:bookmarkStart w:id="633" w:name="_Ref485808627"/>
      <w:bookmarkStart w:id="634" w:name="_Ref485808803"/>
      <w:bookmarkStart w:id="635" w:name="_Toc490323042"/>
      <w:bookmarkStart w:id="636" w:name="_Toc12795184"/>
      <w:r w:rsidRPr="00B969ED">
        <w:t>FERC Order No. 1000 Discussion</w:t>
      </w:r>
      <w:bookmarkEnd w:id="629"/>
      <w:bookmarkEnd w:id="630"/>
      <w:bookmarkEnd w:id="631"/>
      <w:bookmarkEnd w:id="632"/>
      <w:bookmarkEnd w:id="633"/>
      <w:bookmarkEnd w:id="634"/>
      <w:bookmarkEnd w:id="635"/>
      <w:bookmarkEnd w:id="636"/>
      <w:r w:rsidRPr="00B969ED">
        <w:t xml:space="preserve"> </w:t>
      </w:r>
    </w:p>
    <w:p w14:paraId="131764FD" w14:textId="5C251B67" w:rsidR="00B969ED" w:rsidRPr="00B969ED" w:rsidRDefault="00B969ED" w:rsidP="00B969ED">
      <w:r w:rsidRPr="00B969ED">
        <w:t xml:space="preserve">In May 2015, ISO New England implemented changes to the regional and interregional transmission planning process to comply with the directives in FERC Order 1000. The order established new electric transmission planning and cost allocation requirements for public utility transmission providers </w:t>
      </w:r>
      <w:r w:rsidRPr="007D7056">
        <w:t xml:space="preserve">across the country. (Refer to </w:t>
      </w:r>
      <w:r w:rsidRPr="007C7C94">
        <w:t>Sect</w:t>
      </w:r>
      <w:r w:rsidRPr="00BD582F">
        <w:t xml:space="preserve">ion </w:t>
      </w:r>
      <w:r w:rsidRPr="005658C2">
        <w:fldChar w:fldCharType="begin"/>
      </w:r>
      <w:r w:rsidRPr="005658C2">
        <w:instrText xml:space="preserve"> REF _Ref360798959 \r \h  \* MERGEFORMAT </w:instrText>
      </w:r>
      <w:r w:rsidRPr="005658C2">
        <w:fldChar w:fldCharType="separate"/>
      </w:r>
      <w:r w:rsidR="005D0B73">
        <w:t>6.6</w:t>
      </w:r>
      <w:r w:rsidRPr="005658C2">
        <w:fldChar w:fldCharType="end"/>
      </w:r>
      <w:r w:rsidRPr="00BD582F">
        <w:t xml:space="preserve"> for a discus</w:t>
      </w:r>
      <w:r w:rsidRPr="00880512">
        <w:t>sion of interregional aspects of Order 1000.) In</w:t>
      </w:r>
      <w:r w:rsidRPr="00B969ED">
        <w:t xml:space="preserve"> addition, the order’s objectives include the following:</w:t>
      </w:r>
    </w:p>
    <w:p w14:paraId="0389F9C8" w14:textId="77777777" w:rsidR="00B969ED" w:rsidRPr="00B969ED" w:rsidRDefault="00B969ED" w:rsidP="00955D2D">
      <w:pPr>
        <w:numPr>
          <w:ilvl w:val="0"/>
          <w:numId w:val="43"/>
        </w:numPr>
        <w:spacing w:after="120"/>
        <w:rPr>
          <w:rFonts w:eastAsia="Times New Roman"/>
          <w:szCs w:val="24"/>
        </w:rPr>
      </w:pPr>
      <w:r w:rsidRPr="00B969ED">
        <w:rPr>
          <w:rFonts w:eastAsia="Times New Roman"/>
          <w:szCs w:val="24"/>
        </w:rPr>
        <w:t>Introduce competition into the development of regulated transmission solutions by removing arrangements that protect the right of first refusal for incumbent transmission providers</w:t>
      </w:r>
    </w:p>
    <w:p w14:paraId="5F402627" w14:textId="77777777" w:rsidR="00B969ED" w:rsidRPr="00B969ED" w:rsidRDefault="00B969ED" w:rsidP="00955D2D">
      <w:pPr>
        <w:numPr>
          <w:ilvl w:val="0"/>
          <w:numId w:val="43"/>
        </w:numPr>
        <w:ind w:left="763"/>
        <w:rPr>
          <w:rFonts w:eastAsia="Times New Roman"/>
          <w:szCs w:val="24"/>
        </w:rPr>
      </w:pPr>
      <w:r w:rsidRPr="00B969ED">
        <w:rPr>
          <w:rFonts w:eastAsia="Times New Roman"/>
          <w:szCs w:val="24"/>
        </w:rPr>
        <w:lastRenderedPageBreak/>
        <w:t>Create a mechanism for transmission development to address public policies that drive transmission</w:t>
      </w:r>
      <w:r w:rsidRPr="00B969ED">
        <w:rPr>
          <w:rFonts w:eastAsia="Times New Roman"/>
          <w:szCs w:val="24"/>
          <w:vertAlign w:val="superscript"/>
        </w:rPr>
        <w:footnoteReference w:id="138"/>
      </w:r>
    </w:p>
    <w:p w14:paraId="3B047E5C" w14:textId="77777777" w:rsidR="00B969ED" w:rsidRPr="00097A69" w:rsidRDefault="00B969ED" w:rsidP="00097A69">
      <w:pPr>
        <w:rPr>
          <w:i/>
        </w:rPr>
      </w:pPr>
      <w:r w:rsidRPr="00B969ED">
        <w:t>The FERC Order 1000 revised planning process includes the requirement to solicit proposals for competitive solutions to reliabili</w:t>
      </w:r>
      <w:r w:rsidRPr="00097A69">
        <w:t xml:space="preserve">ty projects that have a planning need </w:t>
      </w:r>
      <w:r w:rsidR="00C20D83" w:rsidRPr="00097A69">
        <w:t xml:space="preserve">that can be met beyond </w:t>
      </w:r>
      <w:r w:rsidRPr="00097A69">
        <w:t xml:space="preserve">three years </w:t>
      </w:r>
      <w:r w:rsidR="00097A69" w:rsidRPr="00097A69">
        <w:t>from</w:t>
      </w:r>
      <w:r w:rsidRPr="00097A69">
        <w:t xml:space="preserve"> the com</w:t>
      </w:r>
      <w:r w:rsidRPr="00B969ED">
        <w:t>pletion of the needs assessment and to implement a process for identifying and evaluating federal, state, and local public policies that create the need for additional transmission.</w:t>
      </w:r>
      <w:r w:rsidRPr="00B969ED">
        <w:rPr>
          <w:vertAlign w:val="superscript"/>
        </w:rPr>
        <w:footnoteReference w:id="139"/>
      </w:r>
      <w:r w:rsidRPr="00B969ED">
        <w:t xml:space="preserve"> ISO New England began its first public policy process in January 2017 and will begin administering its second public process in January 2020. These processes are described in the </w:t>
      </w:r>
      <w:r w:rsidRPr="00B969ED">
        <w:rPr>
          <w:i/>
        </w:rPr>
        <w:t>Transmission Planning Process Guide.</w:t>
      </w:r>
      <w:r w:rsidR="00097A69">
        <w:rPr>
          <w:i/>
        </w:rPr>
        <w:t xml:space="preserve"> </w:t>
      </w:r>
    </w:p>
    <w:p w14:paraId="3670613F" w14:textId="25425908" w:rsidR="00B969ED" w:rsidRPr="00B969ED" w:rsidRDefault="00B969ED" w:rsidP="00B969ED">
      <w:r w:rsidRPr="00B969ED">
        <w:t>On April 18, 2018, FERC completed an audit of ISO New England’s compliance with Order 1000 a</w:t>
      </w:r>
      <w:r w:rsidR="00C615A9">
        <w:t>s</w:t>
      </w:r>
      <w:r w:rsidRPr="00B969ED">
        <w:t xml:space="preserve"> i</w:t>
      </w:r>
      <w:r w:rsidR="00C615A9">
        <w:t>t</w:t>
      </w:r>
      <w:r w:rsidRPr="00B969ED">
        <w:t xml:space="preserve"> relates to transmission planning and expansion and interregional coordination for the period of July 10, 2013, through June 30, 2017.</w:t>
      </w:r>
      <w:r w:rsidRPr="00B969ED">
        <w:rPr>
          <w:vertAlign w:val="superscript"/>
        </w:rPr>
        <w:footnoteReference w:id="140"/>
      </w:r>
      <w:r w:rsidRPr="00B969ED">
        <w:t xml:space="preserve"> The ISO successfully passed this audit, with a result of no findings of noncompliance within the scope of the audit.</w:t>
      </w:r>
    </w:p>
    <w:p w14:paraId="104F6EDA" w14:textId="77777777" w:rsidR="00B969ED" w:rsidRPr="00B969ED" w:rsidRDefault="00B969ED" w:rsidP="00FB3938">
      <w:pPr>
        <w:pStyle w:val="Heading2"/>
      </w:pPr>
      <w:bookmarkStart w:id="637" w:name="_Ref485738258"/>
      <w:bookmarkStart w:id="638" w:name="_Toc490323043"/>
      <w:bookmarkStart w:id="639" w:name="_Toc12795185"/>
      <w:r w:rsidRPr="00B969ED">
        <w:t>Completed Major Projects</w:t>
      </w:r>
      <w:bookmarkEnd w:id="637"/>
      <w:bookmarkEnd w:id="638"/>
      <w:bookmarkEnd w:id="639"/>
      <w:r w:rsidRPr="00B969ED">
        <w:t xml:space="preserve"> </w:t>
      </w:r>
    </w:p>
    <w:p w14:paraId="525C672D" w14:textId="77777777" w:rsidR="00B969ED" w:rsidRPr="00B969ED" w:rsidRDefault="00B969ED" w:rsidP="00B969ED">
      <w:r w:rsidRPr="00B969ED">
        <w:t xml:space="preserve">Since the publication of the </w:t>
      </w:r>
      <w:r w:rsidRPr="00B969ED">
        <w:rPr>
          <w:i/>
        </w:rPr>
        <w:t>2017 Regional System Plan</w:t>
      </w:r>
      <w:r w:rsidRPr="00B969ED">
        <w:t>, the following major projects have been completed or are near completion:</w:t>
      </w:r>
    </w:p>
    <w:p w14:paraId="3DEF1C37" w14:textId="77777777" w:rsidR="00B969ED" w:rsidRPr="00B969ED" w:rsidRDefault="00B969ED" w:rsidP="00955D2D">
      <w:pPr>
        <w:numPr>
          <w:ilvl w:val="0"/>
          <w:numId w:val="27"/>
        </w:numPr>
        <w:spacing w:after="120"/>
        <w:rPr>
          <w:rFonts w:eastAsia="Times New Roman"/>
          <w:szCs w:val="24"/>
        </w:rPr>
      </w:pPr>
      <w:r w:rsidRPr="00B969ED">
        <w:rPr>
          <w:rFonts w:eastAsia="Times New Roman"/>
          <w:szCs w:val="24"/>
        </w:rPr>
        <w:t>The Maine Power Reliability Program (MPRP) included the addition of significant new 345 kV and 115 kV transmission lines and new 345 kV autotransformers at key locations in Maine. All upgrades were placed in service by December 2018.</w:t>
      </w:r>
    </w:p>
    <w:p w14:paraId="191A2EEB" w14:textId="16125EEE" w:rsidR="00B969ED" w:rsidRPr="00B969ED" w:rsidRDefault="00B969ED" w:rsidP="0084296A">
      <w:pPr>
        <w:numPr>
          <w:ilvl w:val="0"/>
          <w:numId w:val="27"/>
        </w:numPr>
        <w:tabs>
          <w:tab w:val="left" w:pos="1944"/>
        </w:tabs>
        <w:spacing w:after="120"/>
        <w:rPr>
          <w:rFonts w:eastAsia="Times New Roman"/>
          <w:szCs w:val="24"/>
        </w:rPr>
      </w:pPr>
      <w:r w:rsidRPr="00B969ED">
        <w:rPr>
          <w:rFonts w:eastAsia="Times New Roman"/>
          <w:szCs w:val="24"/>
        </w:rPr>
        <w:t xml:space="preserve">The New Hampshire/Vermont </w:t>
      </w:r>
      <w:r w:rsidRPr="009E2C9D">
        <w:rPr>
          <w:rFonts w:eastAsia="Times New Roman"/>
          <w:szCs w:val="24"/>
        </w:rPr>
        <w:t>2020 Upgrades</w:t>
      </w:r>
      <w:r w:rsidR="007210BD" w:rsidRPr="009E2C9D">
        <w:rPr>
          <w:rFonts w:eastAsia="Times New Roman"/>
          <w:szCs w:val="24"/>
        </w:rPr>
        <w:t>, locate</w:t>
      </w:r>
      <w:r w:rsidR="007210BD">
        <w:rPr>
          <w:rFonts w:eastAsia="Times New Roman"/>
          <w:szCs w:val="24"/>
        </w:rPr>
        <w:t>d in Vermont,</w:t>
      </w:r>
      <w:r w:rsidRPr="00B969ED">
        <w:rPr>
          <w:rFonts w:eastAsia="Times New Roman"/>
          <w:szCs w:val="24"/>
        </w:rPr>
        <w:t xml:space="preserve"> included the addition of a new 345/115 kV autotransformer, a new 230/115 kV autotransformer, several new 115 kV transmission lines, upgrades and rebuilds of several existing 115 kV lines, and several reactive device additions and substation upgrades. </w:t>
      </w:r>
      <w:r w:rsidR="0084296A">
        <w:rPr>
          <w:rFonts w:eastAsia="Times New Roman"/>
          <w:szCs w:val="24"/>
        </w:rPr>
        <w:t>Most of these u</w:t>
      </w:r>
      <w:r w:rsidRPr="00B969ED">
        <w:rPr>
          <w:rFonts w:eastAsia="Times New Roman"/>
          <w:szCs w:val="24"/>
        </w:rPr>
        <w:t xml:space="preserve">pgrades are in service with the exception of a new 115 kV line between Madbury and Portsmouth, NH, which is anticipated to be in service </w:t>
      </w:r>
      <w:r w:rsidR="007210BD">
        <w:rPr>
          <w:rFonts w:eastAsia="Times New Roman"/>
          <w:szCs w:val="24"/>
        </w:rPr>
        <w:t>in</w:t>
      </w:r>
      <w:r w:rsidRPr="00B969ED">
        <w:rPr>
          <w:rFonts w:eastAsia="Times New Roman"/>
          <w:szCs w:val="24"/>
        </w:rPr>
        <w:t xml:space="preserve"> </w:t>
      </w:r>
      <w:r w:rsidR="00986E68">
        <w:rPr>
          <w:rFonts w:eastAsia="Times New Roman"/>
          <w:szCs w:val="24"/>
        </w:rPr>
        <w:t>May 2020</w:t>
      </w:r>
      <w:r w:rsidRPr="00B969ED">
        <w:rPr>
          <w:rFonts w:eastAsia="Times New Roman"/>
          <w:szCs w:val="24"/>
        </w:rPr>
        <w:t xml:space="preserve">. </w:t>
      </w:r>
    </w:p>
    <w:p w14:paraId="1C86A50C" w14:textId="77777777" w:rsidR="00B969ED" w:rsidRPr="009E2C9D" w:rsidRDefault="00B969ED" w:rsidP="00955D2D">
      <w:pPr>
        <w:numPr>
          <w:ilvl w:val="0"/>
          <w:numId w:val="27"/>
        </w:numPr>
        <w:spacing w:after="120"/>
        <w:rPr>
          <w:rFonts w:eastAsia="Times New Roman"/>
          <w:szCs w:val="24"/>
        </w:rPr>
      </w:pPr>
      <w:r w:rsidRPr="00B969ED">
        <w:rPr>
          <w:rFonts w:eastAsia="Times New Roman"/>
          <w:szCs w:val="24"/>
        </w:rPr>
        <w:t>The Connecticut River Valle</w:t>
      </w:r>
      <w:r w:rsidRPr="00D1271D">
        <w:rPr>
          <w:rFonts w:eastAsia="Times New Roman"/>
          <w:szCs w:val="24"/>
        </w:rPr>
        <w:t>y Upgrades included the addition of a 115 kV dynamic reactive device</w:t>
      </w:r>
      <w:r w:rsidR="005B389C" w:rsidRPr="009E2C9D">
        <w:rPr>
          <w:rFonts w:eastAsia="Times New Roman"/>
          <w:szCs w:val="24"/>
        </w:rPr>
        <w:t xml:space="preserve"> (+50 MVAR/</w:t>
      </w:r>
      <w:r w:rsidR="007C7C94" w:rsidRPr="009E2C9D">
        <w:rPr>
          <w:rFonts w:eastAsia="Times New Roman"/>
          <w:szCs w:val="24"/>
        </w:rPr>
        <w:t>−</w:t>
      </w:r>
      <w:r w:rsidR="005B389C" w:rsidRPr="009E2C9D">
        <w:rPr>
          <w:rFonts w:eastAsia="Times New Roman"/>
          <w:szCs w:val="24"/>
        </w:rPr>
        <w:t xml:space="preserve">25 MVAR </w:t>
      </w:r>
      <w:r w:rsidR="00146DB9">
        <w:rPr>
          <w:rFonts w:eastAsia="Times New Roman"/>
          <w:szCs w:val="24"/>
        </w:rPr>
        <w:t>static VAR compensator [</w:t>
      </w:r>
      <w:r w:rsidR="005B389C" w:rsidRPr="009E2C9D">
        <w:rPr>
          <w:rFonts w:eastAsia="Times New Roman"/>
          <w:szCs w:val="24"/>
        </w:rPr>
        <w:t>SVC</w:t>
      </w:r>
      <w:r w:rsidR="00146DB9">
        <w:rPr>
          <w:rFonts w:eastAsia="Times New Roman"/>
          <w:szCs w:val="24"/>
        </w:rPr>
        <w:t>]</w:t>
      </w:r>
      <w:r w:rsidR="005B389C" w:rsidRPr="009E2C9D">
        <w:rPr>
          <w:rFonts w:eastAsia="Times New Roman"/>
          <w:szCs w:val="24"/>
        </w:rPr>
        <w:t>)</w:t>
      </w:r>
      <w:r w:rsidRPr="009E2C9D">
        <w:rPr>
          <w:rFonts w:eastAsia="Times New Roman"/>
          <w:szCs w:val="24"/>
        </w:rPr>
        <w:t xml:space="preserve">, the rebuild of a 115 kV </w:t>
      </w:r>
      <w:r w:rsidRPr="009E2C9D">
        <w:rPr>
          <w:rFonts w:eastAsia="Times New Roman"/>
          <w:szCs w:val="24"/>
        </w:rPr>
        <w:lastRenderedPageBreak/>
        <w:t>transmission line, and the rebuild of a 115 kV station.</w:t>
      </w:r>
      <w:r w:rsidR="00146DB9">
        <w:rPr>
          <w:rStyle w:val="FootnoteReference"/>
          <w:rFonts w:eastAsia="Times New Roman"/>
          <w:szCs w:val="24"/>
        </w:rPr>
        <w:footnoteReference w:id="141"/>
      </w:r>
      <w:r w:rsidRPr="009E2C9D">
        <w:rPr>
          <w:rFonts w:eastAsia="Times New Roman"/>
          <w:szCs w:val="24"/>
        </w:rPr>
        <w:t xml:space="preserve"> All upgrades were placed in service by November 2018. </w:t>
      </w:r>
    </w:p>
    <w:p w14:paraId="74766F42" w14:textId="77777777" w:rsidR="00B969ED" w:rsidRPr="009E2C9D" w:rsidRDefault="00B969ED" w:rsidP="00955D2D">
      <w:pPr>
        <w:numPr>
          <w:ilvl w:val="0"/>
          <w:numId w:val="27"/>
        </w:numPr>
        <w:spacing w:after="120"/>
        <w:rPr>
          <w:rFonts w:eastAsia="Times New Roman"/>
          <w:szCs w:val="24"/>
        </w:rPr>
      </w:pPr>
      <w:r w:rsidRPr="009E2C9D">
        <w:t>The Greater Hartford Central Connecticut (GHCC) 2022 Upgrades included the addition of two new autotransformers and 115 kV upgrades, including reconductoring lines, installing new lines, separating double-circuit towers (DCTs), rebuilding two stations, and adding reactive support to maintain voltage. Several of the projects within the GHCC suite of projects are already in service, and all the components of the preferred solutions are expected to be in service by December 2019.</w:t>
      </w:r>
    </w:p>
    <w:p w14:paraId="7E973620" w14:textId="6CE86254" w:rsidR="00B969ED" w:rsidRPr="00B969ED" w:rsidRDefault="00B969ED" w:rsidP="00955D2D">
      <w:pPr>
        <w:numPr>
          <w:ilvl w:val="0"/>
          <w:numId w:val="27"/>
        </w:numPr>
        <w:spacing w:after="120"/>
        <w:rPr>
          <w:rFonts w:eastAsia="Times New Roman"/>
          <w:szCs w:val="24"/>
        </w:rPr>
      </w:pPr>
      <w:r w:rsidRPr="009E2C9D">
        <w:t>The Southwest Connecticut (SWCT) 2022 Upgrades included all 115 kV upgrades, such as rebuilding and reconductoring lines, installing new lines, rebuilding two stations, and adding reactive support to maintain voltage. Several of the</w:t>
      </w:r>
      <w:r w:rsidRPr="00B969ED">
        <w:t xml:space="preserve"> projects within the SWCT suite of projects are already in service, and all the components of the preferred solutions are expected to be in service by </w:t>
      </w:r>
      <w:r w:rsidR="0062603C">
        <w:t>June</w:t>
      </w:r>
      <w:r w:rsidR="00FC2F44">
        <w:t xml:space="preserve"> 2020</w:t>
      </w:r>
      <w:r w:rsidRPr="00B969ED">
        <w:t>. The SWCT 2025 update results showed that three transmission solutions identified in th</w:t>
      </w:r>
      <w:r w:rsidRPr="0061371C">
        <w:t xml:space="preserve">e 2022 </w:t>
      </w:r>
      <w:r w:rsidR="0061371C" w:rsidRPr="0061371C">
        <w:t>u</w:t>
      </w:r>
      <w:r w:rsidRPr="0061371C">
        <w:t>pgrad</w:t>
      </w:r>
      <w:r w:rsidRPr="00851352">
        <w:t>es</w:t>
      </w:r>
      <w:r w:rsidRPr="00B969ED">
        <w:t xml:space="preserve"> were no longer required and were subsequently canceled.</w:t>
      </w:r>
      <w:r w:rsidRPr="00B969ED">
        <w:rPr>
          <w:vertAlign w:val="superscript"/>
        </w:rPr>
        <w:footnoteReference w:id="142"/>
      </w:r>
      <w:r w:rsidRPr="00B969ED">
        <w:t xml:space="preserve"> </w:t>
      </w:r>
    </w:p>
    <w:p w14:paraId="0A047346" w14:textId="0A24E614" w:rsidR="00B969ED" w:rsidRPr="00B969ED" w:rsidRDefault="00B969ED" w:rsidP="00AC149B">
      <w:pPr>
        <w:numPr>
          <w:ilvl w:val="0"/>
          <w:numId w:val="27"/>
        </w:numPr>
        <w:rPr>
          <w:rFonts w:eastAsia="Times New Roman"/>
          <w:szCs w:val="24"/>
        </w:rPr>
      </w:pPr>
      <w:r w:rsidRPr="00B969ED">
        <w:rPr>
          <w:rFonts w:eastAsia="Times New Roman"/>
          <w:szCs w:val="24"/>
        </w:rPr>
        <w:t>The Pittsfield and Greenfield</w:t>
      </w:r>
      <w:r w:rsidRPr="00B969ED">
        <w:t xml:space="preserve"> </w:t>
      </w:r>
      <w:r w:rsidRPr="00D1271D">
        <w:t>2022 Upgrades included adding a new 345/115 kV autotransformer,</w:t>
      </w:r>
      <w:r w:rsidRPr="009E2C9D">
        <w:t xml:space="preserve"> adding reactive support to control v</w:t>
      </w:r>
      <w:r w:rsidRPr="00B969ED">
        <w:t xml:space="preserve">oltage on the 345 kV system, adding a </w:t>
      </w:r>
      <w:r w:rsidR="007210BD">
        <w:t>new</w:t>
      </w:r>
      <w:r w:rsidR="00AC149B">
        <w:t xml:space="preserve"> </w:t>
      </w:r>
      <w:r w:rsidRPr="00B969ED">
        <w:t xml:space="preserve">115 kV station, rebuilding a 115 kV station, rebuilding and reconductoring 115 kV lines, installing a new 115 kV line, separating 115 kV double-circuit towers, and adding reactive support to maintain voltage on the 115 kV system. All the projects within the Pittsfield and Greenfield suite of projects are already in service with the exception of a 115 kV station at Pochassic (in Westfield, MA), and a new 115 kV line between Pochassic and Buck Pond, also in Westfield, which will be placed in service by June 2020 (see Section </w:t>
      </w:r>
      <w:r w:rsidRPr="00B969ED">
        <w:fldChar w:fldCharType="begin"/>
      </w:r>
      <w:r w:rsidRPr="00B969ED">
        <w:instrText xml:space="preserve"> REF _Ref6299836 \r \h  \* MERGEFORMAT </w:instrText>
      </w:r>
      <w:r w:rsidRPr="00B969ED">
        <w:fldChar w:fldCharType="separate"/>
      </w:r>
      <w:r w:rsidR="005D0B73">
        <w:t>5.5.3</w:t>
      </w:r>
      <w:r w:rsidRPr="00B969ED">
        <w:fldChar w:fldCharType="end"/>
      </w:r>
      <w:r w:rsidRPr="00B969ED">
        <w:t>).</w:t>
      </w:r>
    </w:p>
    <w:p w14:paraId="67C6EB77" w14:textId="77777777" w:rsidR="00B969ED" w:rsidRPr="00B969ED" w:rsidRDefault="00B969ED" w:rsidP="00B969ED">
      <w:r w:rsidRPr="00B969ED">
        <w:t xml:space="preserve">Study efforts continue throughout New England to address remaining issues discussed in the next section. </w:t>
      </w:r>
    </w:p>
    <w:p w14:paraId="5544266C" w14:textId="6656B3BE" w:rsidR="00B969ED" w:rsidRPr="00B969ED" w:rsidRDefault="00B969ED" w:rsidP="006420AD">
      <w:pPr>
        <w:pStyle w:val="Heading2"/>
      </w:pPr>
      <w:bookmarkStart w:id="640" w:name="_Ref485718515"/>
      <w:bookmarkStart w:id="641" w:name="_Toc490323044"/>
      <w:bookmarkStart w:id="642" w:name="_Ref10803277"/>
      <w:bookmarkStart w:id="643" w:name="_Ref10827785"/>
      <w:bookmarkStart w:id="644" w:name="_Ref12111201"/>
      <w:bookmarkStart w:id="645" w:name="_Toc12795186"/>
      <w:bookmarkStart w:id="646" w:name="_Ref418881599"/>
      <w:bookmarkStart w:id="647" w:name="_Toc429063420"/>
      <w:bookmarkStart w:id="648" w:name="_Toc303086422"/>
      <w:bookmarkStart w:id="649" w:name="_Toc334601067"/>
      <w:bookmarkStart w:id="650" w:name="_Toc365441024"/>
      <w:bookmarkStart w:id="651" w:name="_Toc396807654"/>
      <w:r w:rsidRPr="00B969ED">
        <w:t>Key Study Area Update</w:t>
      </w:r>
      <w:bookmarkEnd w:id="640"/>
      <w:bookmarkEnd w:id="641"/>
      <w:r w:rsidRPr="00B969ED">
        <w:t>s</w:t>
      </w:r>
      <w:bookmarkEnd w:id="642"/>
      <w:bookmarkEnd w:id="643"/>
      <w:bookmarkEnd w:id="644"/>
      <w:bookmarkEnd w:id="645"/>
    </w:p>
    <w:p w14:paraId="3282D02E" w14:textId="77777777" w:rsidR="00B969ED" w:rsidRPr="00B969ED" w:rsidRDefault="00B969ED" w:rsidP="00B969ED">
      <w:r w:rsidRPr="00B969ED">
        <w:t xml:space="preserve">Historically, the two most significant issues facing the northern New England area have been to maintain the general performance of the long 345 kV corridors, particularly through Maine, and to ensure sufficient system reliability to meet demand. The region faces thermal and voltage performance issues and stability concerns. The system of long 115 kV lines, with weak sources and high real- and reactive-power losses, is exceeding its ability to integrate generation and efficiently and effectively serve load. </w:t>
      </w:r>
    </w:p>
    <w:p w14:paraId="5F795178" w14:textId="77777777" w:rsidR="00B969ED" w:rsidRPr="00B969ED" w:rsidRDefault="00B969ED" w:rsidP="00B969ED">
      <w:r w:rsidRPr="00B969ED">
        <w:t>The most significant concerns in the southern New England area involve maintaining the reliability of supply to serve load and developing the transmission infrastructure due to the retirement of generation throughout this area. In some areas, an aging low-capacity 115 kV system has been over</w:t>
      </w:r>
      <w:r w:rsidR="004933EC">
        <w:t>burdened</w:t>
      </w:r>
      <w:r w:rsidRPr="00B969ED">
        <w:t xml:space="preserve"> and is no longer able to serve load and support generation reliably. Ongoing planning and power system upgrades will ensure the system can meet its current level of demand and prepare for future power system conditions.</w:t>
      </w:r>
    </w:p>
    <w:p w14:paraId="4C3763DA" w14:textId="4EABF682" w:rsidR="00B969ED" w:rsidRPr="00B969ED" w:rsidRDefault="00B969ED" w:rsidP="00B969ED">
      <w:r w:rsidRPr="00B969ED">
        <w:lastRenderedPageBreak/>
        <w:t xml:space="preserve">To address the issues in New England, study efforts have been progressing on a wide range of system concerns and have been grouped into several key study areas shown in </w:t>
      </w:r>
      <w:r w:rsidRPr="00B969ED">
        <w:fldChar w:fldCharType="begin"/>
      </w:r>
      <w:r w:rsidRPr="00B969ED">
        <w:instrText xml:space="preserve"> REF _Ref485127674 \h  \* MERGEFORMAT </w:instrText>
      </w:r>
      <w:r w:rsidRPr="00B969ED">
        <w:fldChar w:fldCharType="separate"/>
      </w:r>
      <w:r w:rsidR="005D0B73" w:rsidRPr="005D0B73">
        <w:rPr>
          <w:bCs/>
          <w:szCs w:val="18"/>
        </w:rPr>
        <w:t xml:space="preserve">Figure </w:t>
      </w:r>
      <w:r w:rsidR="005D0B73" w:rsidRPr="005D0B73">
        <w:rPr>
          <w:bCs/>
          <w:noProof/>
          <w:szCs w:val="18"/>
        </w:rPr>
        <w:t>5</w:t>
      </w:r>
      <w:r w:rsidR="005D0B73" w:rsidRPr="005D0B73">
        <w:rPr>
          <w:bCs/>
          <w:noProof/>
          <w:szCs w:val="18"/>
        </w:rPr>
        <w:noBreakHyphen/>
        <w:t>1</w:t>
      </w:r>
      <w:r w:rsidRPr="00B969ED">
        <w:fldChar w:fldCharType="end"/>
      </w:r>
      <w:r w:rsidRPr="00B969ED">
        <w:t xml:space="preserve"> and detailed below. However, over the past three years, material changes in study assumptions, inputs, and processes have prompted either pausing ongoing study efforts to incorporate the new changes or suspending the ongoing study efforts and restarting the studies. The first material changes came in early 2017 and included the following: </w:t>
      </w:r>
    </w:p>
    <w:p w14:paraId="03FE7452" w14:textId="77777777" w:rsidR="00B969ED" w:rsidRPr="00B969ED" w:rsidRDefault="00B969ED" w:rsidP="00955D2D">
      <w:pPr>
        <w:numPr>
          <w:ilvl w:val="0"/>
          <w:numId w:val="44"/>
        </w:numPr>
        <w:spacing w:after="120"/>
        <w:rPr>
          <w:rFonts w:eastAsia="Times New Roman"/>
          <w:szCs w:val="24"/>
        </w:rPr>
      </w:pPr>
      <w:r w:rsidRPr="00B969ED">
        <w:rPr>
          <w:rFonts w:eastAsia="Times New Roman"/>
          <w:szCs w:val="24"/>
        </w:rPr>
        <w:t xml:space="preserve">Changes to </w:t>
      </w:r>
      <w:r w:rsidRPr="007C7C94">
        <w:rPr>
          <w:rFonts w:eastAsia="Times New Roman"/>
          <w:szCs w:val="24"/>
        </w:rPr>
        <w:t xml:space="preserve">Planning Procedure No. </w:t>
      </w:r>
      <w:r w:rsidRPr="007210BD">
        <w:rPr>
          <w:rFonts w:eastAsia="Times New Roman"/>
          <w:szCs w:val="24"/>
        </w:rPr>
        <w:t>3</w:t>
      </w:r>
      <w:r w:rsidRPr="005658C2">
        <w:rPr>
          <w:rFonts w:eastAsia="Times New Roman"/>
          <w:szCs w:val="24"/>
        </w:rPr>
        <w:t xml:space="preserve"> (PP 3)</w:t>
      </w:r>
      <w:r w:rsidRPr="007210BD">
        <w:rPr>
          <w:rFonts w:eastAsia="Times New Roman"/>
          <w:szCs w:val="24"/>
        </w:rPr>
        <w:t xml:space="preserve">, </w:t>
      </w:r>
      <w:r w:rsidRPr="007210BD">
        <w:rPr>
          <w:rFonts w:eastAsia="Times New Roman"/>
          <w:i/>
          <w:szCs w:val="24"/>
        </w:rPr>
        <w:t>Rel</w:t>
      </w:r>
      <w:r w:rsidRPr="00B969ED">
        <w:rPr>
          <w:rFonts w:eastAsia="Times New Roman"/>
          <w:i/>
          <w:szCs w:val="24"/>
        </w:rPr>
        <w:t>iability Standards for the New England Area Pool Transmission Facilities</w:t>
      </w:r>
      <w:r w:rsidRPr="00243B37">
        <w:rPr>
          <w:rFonts w:eastAsia="Times New Roman"/>
          <w:szCs w:val="24"/>
          <w:vertAlign w:val="superscript"/>
        </w:rPr>
        <w:footnoteReference w:id="143"/>
      </w:r>
    </w:p>
    <w:p w14:paraId="53C12443" w14:textId="77777777" w:rsidR="00B969ED" w:rsidRPr="00B969ED" w:rsidRDefault="00B969ED" w:rsidP="00955D2D">
      <w:pPr>
        <w:numPr>
          <w:ilvl w:val="0"/>
          <w:numId w:val="44"/>
        </w:numPr>
        <w:spacing w:after="120"/>
        <w:rPr>
          <w:rFonts w:eastAsia="Times New Roman"/>
          <w:szCs w:val="24"/>
        </w:rPr>
      </w:pPr>
      <w:r w:rsidRPr="00B969ED">
        <w:rPr>
          <w:rFonts w:eastAsia="Times New Roman"/>
          <w:szCs w:val="24"/>
        </w:rPr>
        <w:t>Incorporation of probabilistic planning methods to establish the dispatches used in needs assessment studies</w:t>
      </w:r>
      <w:r w:rsidRPr="00B969ED">
        <w:rPr>
          <w:rFonts w:eastAsia="Times New Roman"/>
          <w:szCs w:val="24"/>
          <w:vertAlign w:val="superscript"/>
        </w:rPr>
        <w:footnoteReference w:id="144"/>
      </w:r>
    </w:p>
    <w:p w14:paraId="3398FA34" w14:textId="77777777" w:rsidR="00B969ED" w:rsidRPr="00B969ED" w:rsidRDefault="00B969ED" w:rsidP="00955D2D">
      <w:pPr>
        <w:numPr>
          <w:ilvl w:val="0"/>
          <w:numId w:val="44"/>
        </w:numPr>
        <w:spacing w:after="120"/>
        <w:rPr>
          <w:rFonts w:eastAsia="Times New Roman"/>
          <w:szCs w:val="24"/>
        </w:rPr>
      </w:pPr>
      <w:r w:rsidRPr="00B969ED">
        <w:rPr>
          <w:rFonts w:eastAsia="Times New Roman"/>
          <w:szCs w:val="24"/>
        </w:rPr>
        <w:t>Addition of resources as a result of FCA 11</w:t>
      </w:r>
    </w:p>
    <w:p w14:paraId="0EC36AE5" w14:textId="77777777" w:rsidR="00B969ED" w:rsidRPr="00B969ED" w:rsidRDefault="00B969ED" w:rsidP="00955D2D">
      <w:pPr>
        <w:numPr>
          <w:ilvl w:val="0"/>
          <w:numId w:val="44"/>
        </w:numPr>
        <w:spacing w:after="120"/>
        <w:rPr>
          <w:rFonts w:eastAsia="Times New Roman"/>
          <w:szCs w:val="24"/>
        </w:rPr>
      </w:pPr>
      <w:r w:rsidRPr="00B969ED">
        <w:rPr>
          <w:rFonts w:eastAsia="Times New Roman"/>
          <w:szCs w:val="24"/>
        </w:rPr>
        <w:t>Retirement delist bids for FCA 12</w:t>
      </w:r>
    </w:p>
    <w:p w14:paraId="79E88A09" w14:textId="77777777" w:rsidR="00B969ED" w:rsidRPr="00B969ED" w:rsidRDefault="00B969ED" w:rsidP="00955D2D">
      <w:pPr>
        <w:numPr>
          <w:ilvl w:val="0"/>
          <w:numId w:val="44"/>
        </w:numPr>
        <w:spacing w:after="120"/>
        <w:rPr>
          <w:rFonts w:eastAsia="Times New Roman"/>
          <w:szCs w:val="24"/>
        </w:rPr>
      </w:pPr>
      <w:r w:rsidRPr="00B969ED">
        <w:rPr>
          <w:rFonts w:eastAsia="Times New Roman"/>
          <w:szCs w:val="24"/>
        </w:rPr>
        <w:t>Updated load, energy-efficiency and photovoltaic forecasts</w:t>
      </w:r>
    </w:p>
    <w:p w14:paraId="690479F9" w14:textId="77777777" w:rsidR="00B969ED" w:rsidRPr="00B969ED" w:rsidRDefault="00B969ED" w:rsidP="005658C2">
      <w:pPr>
        <w:numPr>
          <w:ilvl w:val="0"/>
          <w:numId w:val="44"/>
        </w:numPr>
        <w:rPr>
          <w:rFonts w:eastAsia="Times New Roman"/>
          <w:szCs w:val="24"/>
        </w:rPr>
      </w:pPr>
      <w:r w:rsidRPr="00B969ED">
        <w:rPr>
          <w:rFonts w:eastAsia="Times New Roman"/>
          <w:szCs w:val="24"/>
        </w:rPr>
        <w:t>Results of changes to NPCC classification of the bulk power system (BPS)</w:t>
      </w:r>
      <w:r w:rsidRPr="00B969ED">
        <w:rPr>
          <w:rFonts w:eastAsia="Times New Roman"/>
          <w:szCs w:val="24"/>
          <w:vertAlign w:val="superscript"/>
        </w:rPr>
        <w:footnoteReference w:id="145"/>
      </w:r>
    </w:p>
    <w:p w14:paraId="6BC8254A" w14:textId="074D767F" w:rsidR="00B969ED" w:rsidRPr="00B969ED" w:rsidRDefault="00B969ED" w:rsidP="00B969ED">
      <w:r w:rsidRPr="00B969ED">
        <w:t>In April 2018, the load, energy-efficiency, and behind-the-meter photovoltaic forecasts were made public, and the forecasts resulted in a significant reduction in the net load to be served.</w:t>
      </w:r>
      <w:r w:rsidRPr="00B969ED">
        <w:rPr>
          <w:vertAlign w:val="superscript"/>
        </w:rPr>
        <w:footnoteReference w:id="146"/>
      </w:r>
      <w:r w:rsidRPr="00B969ED">
        <w:t xml:space="preserve"> Ongoing studies were paused as plans were developed to incorporate the new load forecasts into the studies.</w:t>
      </w:r>
      <w:r w:rsidRPr="00B969ED">
        <w:rPr>
          <w:vertAlign w:val="superscript"/>
        </w:rPr>
        <w:footnoteReference w:id="147"/>
      </w:r>
      <w:r w:rsidRPr="00B969ED">
        <w:t xml:space="preserve"> </w:t>
      </w:r>
      <w:r w:rsidR="00AC149B">
        <w:t>I</w:t>
      </w:r>
      <w:r w:rsidRPr="00B969ED">
        <w:t xml:space="preserve">n March 2019, </w:t>
      </w:r>
      <w:r w:rsidR="00AC149B">
        <w:t xml:space="preserve">for the second year in a row, </w:t>
      </w:r>
      <w:r w:rsidRPr="00B969ED">
        <w:t xml:space="preserve">the </w:t>
      </w:r>
      <w:r w:rsidR="00880512">
        <w:t>l</w:t>
      </w:r>
      <w:r w:rsidRPr="00B969ED">
        <w:t xml:space="preserve">oad, </w:t>
      </w:r>
      <w:r w:rsidR="00C047DC">
        <w:t>EE</w:t>
      </w:r>
      <w:r w:rsidRPr="00B969ED">
        <w:t xml:space="preserve">, and PV forecasts showed another significant reduction in net load. The new forecasts and the results of FCA 13 led to pausing ongoing studies again for developing new plans to incorporate these changes (see </w:t>
      </w:r>
      <w:r w:rsidR="007210BD" w:rsidRPr="00B969ED">
        <w:t>Section</w:t>
      </w:r>
      <w:r w:rsidR="007210BD">
        <w:t> </w:t>
      </w:r>
      <w:r w:rsidR="007210BD">
        <w:fldChar w:fldCharType="begin"/>
      </w:r>
      <w:r w:rsidR="007210BD">
        <w:instrText xml:space="preserve"> REF _Ref11658329 \r \h </w:instrText>
      </w:r>
      <w:r w:rsidR="007210BD">
        <w:fldChar w:fldCharType="separate"/>
      </w:r>
      <w:r w:rsidR="005D0B73">
        <w:t>4.1.3</w:t>
      </w:r>
      <w:r w:rsidR="007210BD">
        <w:fldChar w:fldCharType="end"/>
      </w:r>
      <w:r w:rsidRPr="00B969ED">
        <w:t xml:space="preserve"> for FCA results).</w:t>
      </w:r>
      <w:bookmarkStart w:id="652" w:name="_Ref16862524"/>
      <w:r w:rsidRPr="00B969ED">
        <w:rPr>
          <w:vertAlign w:val="superscript"/>
        </w:rPr>
        <w:footnoteReference w:id="148"/>
      </w:r>
      <w:bookmarkEnd w:id="652"/>
    </w:p>
    <w:p w14:paraId="784B6DEF" w14:textId="77777777" w:rsidR="00B969ED" w:rsidRPr="00B969ED" w:rsidRDefault="00B969ED" w:rsidP="00B969ED">
      <w:pPr>
        <w:spacing w:after="0" w:line="240" w:lineRule="auto"/>
        <w:jc w:val="center"/>
      </w:pPr>
    </w:p>
    <w:p w14:paraId="00C552F4" w14:textId="77777777" w:rsidR="00B969ED" w:rsidRDefault="00B969ED" w:rsidP="00B969ED">
      <w:pPr>
        <w:spacing w:after="0" w:line="240" w:lineRule="auto"/>
        <w:jc w:val="center"/>
      </w:pPr>
    </w:p>
    <w:p w14:paraId="2D0C0820" w14:textId="77777777" w:rsidR="007402E8" w:rsidRDefault="007402E8" w:rsidP="00B969ED">
      <w:pPr>
        <w:spacing w:after="0" w:line="240" w:lineRule="auto"/>
        <w:jc w:val="center"/>
      </w:pPr>
    </w:p>
    <w:p w14:paraId="41A070EB" w14:textId="77777777" w:rsidR="007402E8" w:rsidRPr="00B969ED" w:rsidRDefault="007402E8" w:rsidP="00B969ED">
      <w:pPr>
        <w:spacing w:after="0" w:line="240" w:lineRule="auto"/>
        <w:jc w:val="center"/>
      </w:pPr>
      <w:r w:rsidRPr="007B703D">
        <w:rPr>
          <w:noProof/>
        </w:rPr>
        <w:lastRenderedPageBreak/>
        <w:drawing>
          <wp:inline distT="0" distB="0" distL="0" distR="0" wp14:anchorId="350CD462" wp14:editId="483C7ADC">
            <wp:extent cx="3717925" cy="3596575"/>
            <wp:effectExtent l="19050" t="19050" r="158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04" t="-2348" r="-2773" b="-1598"/>
                    <a:stretch/>
                  </pic:blipFill>
                  <pic:spPr bwMode="auto">
                    <a:xfrm>
                      <a:off x="0" y="0"/>
                      <a:ext cx="3732501" cy="3610675"/>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18BCAD" w14:textId="235755B5" w:rsidR="00B969ED" w:rsidRDefault="00B969ED" w:rsidP="00584C6E">
      <w:pPr>
        <w:spacing w:before="120" w:line="240" w:lineRule="auto"/>
        <w:ind w:left="1620"/>
        <w:rPr>
          <w:rFonts w:ascii="Calibri" w:hAnsi="Calibri"/>
          <w:b/>
          <w:bCs/>
          <w:szCs w:val="18"/>
        </w:rPr>
      </w:pPr>
      <w:bookmarkStart w:id="653" w:name="_Ref485127674"/>
      <w:bookmarkStart w:id="654" w:name="_Toc486233208"/>
      <w:bookmarkStart w:id="655" w:name="_Toc17709753"/>
      <w:r w:rsidRPr="00B969ED">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5</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1</w:t>
      </w:r>
      <w:r w:rsidR="008E7223">
        <w:rPr>
          <w:rFonts w:ascii="Calibri" w:hAnsi="Calibri"/>
          <w:b/>
          <w:bCs/>
          <w:szCs w:val="18"/>
        </w:rPr>
        <w:fldChar w:fldCharType="end"/>
      </w:r>
      <w:bookmarkEnd w:id="653"/>
      <w:r w:rsidRPr="00B969ED">
        <w:rPr>
          <w:rFonts w:ascii="Calibri" w:hAnsi="Calibri"/>
          <w:b/>
          <w:bCs/>
          <w:szCs w:val="18"/>
        </w:rPr>
        <w:t>: Key study areas in New England.</w:t>
      </w:r>
      <w:bookmarkEnd w:id="654"/>
      <w:bookmarkEnd w:id="655"/>
    </w:p>
    <w:p w14:paraId="270B1E27" w14:textId="77777777" w:rsidR="00B969ED" w:rsidRPr="00B969ED" w:rsidRDefault="00B969ED" w:rsidP="00243B37">
      <w:pPr>
        <w:pStyle w:val="Heading3"/>
      </w:pPr>
      <w:bookmarkStart w:id="656" w:name="_Toc490323045"/>
      <w:bookmarkStart w:id="657" w:name="_Ref11865456"/>
      <w:bookmarkStart w:id="658" w:name="_Toc12795187"/>
      <w:bookmarkStart w:id="659" w:name="_Ref13255980"/>
      <w:r w:rsidRPr="00B969ED">
        <w:t>Southwest Connecticut Key Study Area</w:t>
      </w:r>
      <w:bookmarkEnd w:id="656"/>
      <w:bookmarkEnd w:id="657"/>
      <w:bookmarkEnd w:id="658"/>
      <w:bookmarkEnd w:id="659"/>
    </w:p>
    <w:p w14:paraId="709087D2" w14:textId="77777777" w:rsidR="00B969ED" w:rsidRPr="00B969ED" w:rsidRDefault="00B969ED" w:rsidP="00B969ED">
      <w:r w:rsidRPr="00B969ED">
        <w:t>The Southwest Connecticut (SWCT) key study area is located inside the Southwest Connecticut import interface. It borders the New England to New York interface along the Connecticut state border.</w:t>
      </w:r>
      <w:r w:rsidR="00851352" w:rsidRPr="005658C2">
        <w:rPr>
          <w:rFonts w:asciiTheme="minorHAnsi" w:eastAsiaTheme="majorEastAsia" w:hAnsiTheme="minorHAnsi" w:cstheme="majorBidi"/>
          <w:bCs/>
          <w:vertAlign w:val="superscript"/>
        </w:rPr>
        <w:footnoteReference w:id="149"/>
      </w:r>
      <w:r w:rsidRPr="00851352">
        <w:t xml:space="preserve"> </w:t>
      </w:r>
    </w:p>
    <w:p w14:paraId="73B77254" w14:textId="21BBC971" w:rsidR="00B969ED" w:rsidRDefault="00B969ED" w:rsidP="00B969ED">
      <w:r w:rsidRPr="00B969ED">
        <w:t xml:space="preserve">The SWCT study area has gone through four study efforts over the past 11 years. These study efforts are identified by the study horizon years of 2018, 2022, 2025, and 2027. All the upgrades identified in the 2018, 2022, and 2025 study efforts will be placed in service by September 2020. The major components of the preferred solutions for addressing the needs are listed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14:paraId="5FAA0836" w14:textId="1BB51CC0" w:rsidR="001A2830" w:rsidRDefault="001A2830" w:rsidP="00B969ED">
      <w:r>
        <w:t>The 2022 needs assessment (published in June 20</w:t>
      </w:r>
      <w:r w:rsidR="0062603C">
        <w:t>1</w:t>
      </w:r>
      <w:r>
        <w:t>4) and the solutions study (published in February 2015) identified a number of criteria violations in the SWCT area and a set of transmission solutions to mitigate them. Before receivin</w:t>
      </w:r>
      <w:r w:rsidRPr="00960963">
        <w:t>g</w:t>
      </w:r>
      <w:r w:rsidR="00B5039A" w:rsidRPr="00960963">
        <w:t xml:space="preserve"> approval </w:t>
      </w:r>
      <w:r w:rsidR="00960963" w:rsidRPr="0077102C">
        <w:t xml:space="preserve">of their </w:t>
      </w:r>
      <w:r w:rsidR="00B5039A" w:rsidRPr="00960963">
        <w:t>proposed plan application</w:t>
      </w:r>
      <w:r w:rsidR="00960963" w:rsidRPr="0077102C">
        <w:t>s</w:t>
      </w:r>
      <w:r w:rsidR="00B5039A" w:rsidRPr="00960963">
        <w:t xml:space="preserve"> (</w:t>
      </w:r>
      <w:r w:rsidRPr="00960963">
        <w:t>PPA</w:t>
      </w:r>
      <w:r w:rsidR="00960963" w:rsidRPr="0077102C">
        <w:t>s</w:t>
      </w:r>
      <w:r w:rsidR="00B5039A" w:rsidRPr="00960963">
        <w:t>)</w:t>
      </w:r>
      <w:r w:rsidRPr="00960963">
        <w:t>, several</w:t>
      </w:r>
      <w:r>
        <w:t xml:space="preserve"> new generators cleared in the FCM, resulting in the reassessment of transmission needs for the study area.</w:t>
      </w:r>
      <w:r w:rsidRPr="001A2830">
        <w:rPr>
          <w:vertAlign w:val="superscript"/>
        </w:rPr>
        <w:footnoteReference w:id="150"/>
      </w:r>
      <w:r w:rsidRPr="001A2830">
        <w:t xml:space="preserve"> </w:t>
      </w:r>
      <w:r>
        <w:t>The 2025 needs assessment was initiated as a follow up to the 2022 needs assessment.</w:t>
      </w:r>
    </w:p>
    <w:p w14:paraId="1909D7A9" w14:textId="77777777" w:rsidR="001A2830" w:rsidRPr="00B969ED" w:rsidRDefault="001A2830" w:rsidP="00B969ED"/>
    <w:p w14:paraId="29A33248" w14:textId="77777777" w:rsidR="00B969ED" w:rsidRPr="00B969ED" w:rsidRDefault="00B969ED" w:rsidP="00B969ED">
      <w:r w:rsidRPr="00B969ED">
        <w:lastRenderedPageBreak/>
        <w:t>Since the completion of the SWCT 2025 update, the owner of the Bridgeport Harbor 3 unit submitted a retirement delist bid for FCA 12.</w:t>
      </w:r>
      <w:r w:rsidR="006650A3">
        <w:rPr>
          <w:rStyle w:val="FootnoteReference"/>
        </w:rPr>
        <w:footnoteReference w:id="151"/>
      </w:r>
      <w:r w:rsidRPr="00B969ED">
        <w:t xml:space="preserve"> The main reason for the SWCT 2027 needs assessment was to examine if new needs appear in the study area due to the retirement of the Bridgeport Harbor 3 unit.</w:t>
      </w:r>
      <w:r w:rsidRPr="00B969ED">
        <w:rPr>
          <w:vertAlign w:val="superscript"/>
        </w:rPr>
        <w:footnoteReference w:id="152"/>
      </w:r>
      <w:r w:rsidRPr="00B969ED">
        <w:t xml:space="preserve"> In addition, the study assessed minimum-load conditions for the entire State of Connecticut.</w:t>
      </w:r>
    </w:p>
    <w:p w14:paraId="74CCBD5C" w14:textId="77777777" w:rsidR="00B969ED" w:rsidRPr="00B969ED" w:rsidRDefault="00B969ED" w:rsidP="00B969ED">
      <w:r w:rsidRPr="00B969ED">
        <w:t xml:space="preserve">The results of the SWCT 2027 needs assessment for peak load indicated that no thermal or voltage violations were identified as pool transmission facility (PTF) needs for conditions with no contingencies or with first or second contingencies </w:t>
      </w:r>
      <w:r w:rsidRPr="005658C2">
        <w:t>(N-0, N-1, or N-1-1 conditions).</w:t>
      </w:r>
      <w:r w:rsidRPr="006650A3">
        <w:t xml:space="preserve"> Th</w:t>
      </w:r>
      <w:r w:rsidRPr="00B969ED">
        <w:t>e steady-state testing performed at the minimum load level of 8,000 MW indicated four N-1-1 high-voltage violations that have been identified as PTF needs and no N-0 or N-1 thermal or voltage violations. The results of the short-circuit assessment indicated that no PTF breakers are overdutied in the study area. Because the needs identified in the SWCT 2027 needs assessment were the result of the minimum-load assessment, they could occur under current system conditions and thus were determined to be time sensitive.</w:t>
      </w:r>
      <w:r w:rsidRPr="00B969ED">
        <w:rPr>
          <w:vertAlign w:val="superscript"/>
        </w:rPr>
        <w:footnoteReference w:id="153"/>
      </w:r>
    </w:p>
    <w:p w14:paraId="6D895E04" w14:textId="77777777" w:rsidR="00B969ED" w:rsidRPr="00B969ED" w:rsidRDefault="00B969ED" w:rsidP="00B969ED">
      <w:r w:rsidRPr="00B969ED">
        <w:t>Eversource is currently evaluating solutions to the asset-condition concerns associated with the two Glenbrook static synchronous compensators (STATCOMs).</w:t>
      </w:r>
      <w:r w:rsidR="009B4AAC">
        <w:rPr>
          <w:rStyle w:val="FootnoteReference"/>
        </w:rPr>
        <w:footnoteReference w:id="154"/>
      </w:r>
      <w:r w:rsidRPr="00B969ED">
        <w:t xml:space="preserve"> Proposed rehabilitation and improvements made to the STATCOMS could also solve the needs identified in the minimum-load assessment. The solution to the asset-condition issues of the Glenbrook STATCOM is expected to be identified in 2019.</w:t>
      </w:r>
    </w:p>
    <w:p w14:paraId="49E8B95C" w14:textId="77777777" w:rsidR="00B969ED" w:rsidRPr="00B969ED" w:rsidRDefault="00B969ED" w:rsidP="00243B37">
      <w:pPr>
        <w:pStyle w:val="Heading3"/>
      </w:pPr>
      <w:bookmarkStart w:id="660" w:name="_Toc490323046"/>
      <w:bookmarkStart w:id="661" w:name="_Toc12795188"/>
      <w:r w:rsidRPr="00B969ED">
        <w:t>Greater Hartford Central Connecticut Key Study Area</w:t>
      </w:r>
      <w:bookmarkEnd w:id="660"/>
      <w:bookmarkEnd w:id="661"/>
    </w:p>
    <w:p w14:paraId="001BECA5" w14:textId="77777777" w:rsidR="00B969ED" w:rsidRPr="00B969ED" w:rsidRDefault="00B969ED" w:rsidP="00B969ED">
      <w:r w:rsidRPr="00B969ED">
        <w:t>The Greater Hartford Central Connecticut (GHCC) key study area is located between the Connecticut import interface and the SWCT import interface, while only parts of the study area are within the Western Connecticut import area.</w:t>
      </w:r>
      <w:r w:rsidR="00851352" w:rsidRPr="005658C2">
        <w:rPr>
          <w:rFonts w:asciiTheme="minorHAnsi" w:eastAsiaTheme="majorEastAsia" w:hAnsiTheme="minorHAnsi" w:cstheme="majorBidi"/>
          <w:bCs/>
          <w:vertAlign w:val="superscript"/>
        </w:rPr>
        <w:footnoteReference w:id="155"/>
      </w:r>
      <w:r w:rsidR="00851352" w:rsidRPr="00851352">
        <w:t xml:space="preserve"> </w:t>
      </w:r>
      <w:r w:rsidRPr="00B969ED">
        <w:t xml:space="preserve">The GHCC study area represents about 35% of the Connecticut load. </w:t>
      </w:r>
    </w:p>
    <w:p w14:paraId="4A5230D6" w14:textId="74533A5B" w:rsidR="00B969ED" w:rsidRPr="00B969ED" w:rsidRDefault="00B969ED" w:rsidP="00B969ED">
      <w:r w:rsidRPr="00B969ED">
        <w:t>All the Greater Hartford Central Connecticut 2022 upgrades are expected to be in service by December 2019.</w:t>
      </w:r>
      <w:r w:rsidRPr="00B969ED">
        <w:rPr>
          <w:vertAlign w:val="superscript"/>
        </w:rPr>
        <w:footnoteReference w:id="156"/>
      </w:r>
      <w:r w:rsidRPr="00B969ED">
        <w:t xml:space="preserve">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14:paraId="4E2852BE" w14:textId="72D91743" w:rsidR="00B969ED" w:rsidRPr="00B969ED" w:rsidRDefault="00B969ED" w:rsidP="00B969ED">
      <w:r w:rsidRPr="00B969ED">
        <w:t xml:space="preserve">Currently, no peak-load studies on the GHCC study area are underway. A minimum-load assessment of the GHCC study area was conducted in the SWCT 2027 needs assessment, and no needs were identified in the GHCC study area (see Section </w:t>
      </w:r>
      <w:r w:rsidR="005B3251">
        <w:fldChar w:fldCharType="begin"/>
      </w:r>
      <w:r w:rsidR="005B3251">
        <w:instrText xml:space="preserve"> REF _Ref13255980 \r \h </w:instrText>
      </w:r>
      <w:r w:rsidR="005B3251">
        <w:fldChar w:fldCharType="separate"/>
      </w:r>
      <w:r w:rsidR="005D0B73">
        <w:t>5.5.1</w:t>
      </w:r>
      <w:r w:rsidR="005B3251">
        <w:fldChar w:fldCharType="end"/>
      </w:r>
      <w:r w:rsidRPr="00B969ED">
        <w:t>).</w:t>
      </w:r>
    </w:p>
    <w:p w14:paraId="7BFB1272" w14:textId="77777777" w:rsidR="00B969ED" w:rsidRPr="00B07D57" w:rsidRDefault="00B969ED" w:rsidP="00B07D57">
      <w:pPr>
        <w:pStyle w:val="Heading3"/>
      </w:pPr>
      <w:bookmarkStart w:id="662" w:name="_Toc490323047"/>
      <w:bookmarkStart w:id="663" w:name="_Ref6299836"/>
      <w:bookmarkStart w:id="664" w:name="_Toc12795189"/>
      <w:r w:rsidRPr="00B07D57">
        <w:lastRenderedPageBreak/>
        <w:t>Western and Central Massachusetts Key Study Area</w:t>
      </w:r>
      <w:bookmarkEnd w:id="662"/>
      <w:bookmarkEnd w:id="663"/>
      <w:bookmarkEnd w:id="664"/>
    </w:p>
    <w:p w14:paraId="69FF8DEE" w14:textId="77777777" w:rsidR="00B969ED" w:rsidRPr="00B969ED" w:rsidRDefault="00B969ED" w:rsidP="00B969ED">
      <w:r w:rsidRPr="00B969ED">
        <w:t xml:space="preserve">The Western and Central Massachusetts (WCMA) key study area is bordered by the Connecticut border to the south, the New York border to the west, the Vermont and New Hampshire borders to the north, and the Boston </w:t>
      </w:r>
      <w:r w:rsidR="00E83B11">
        <w:t>i</w:t>
      </w:r>
      <w:r w:rsidRPr="00B969ED">
        <w:t>mport interface to the east.</w:t>
      </w:r>
      <w:r w:rsidR="00851352" w:rsidRPr="00851352">
        <w:rPr>
          <w:rFonts w:asciiTheme="minorHAnsi" w:hAnsiTheme="minorHAnsi"/>
          <w:vertAlign w:val="superscript"/>
        </w:rPr>
        <w:footnoteReference w:id="157"/>
      </w:r>
      <w:r w:rsidRPr="00B969ED">
        <w:t xml:space="preserve"> The Pittsfield and Greenfield study area is within the WCMA study area and extends from the city of Pittsfield north to the Vermont border, east to Greenfield, and south to Amherst (MA).</w:t>
      </w:r>
    </w:p>
    <w:p w14:paraId="0BF4E0AB" w14:textId="102ABDF5" w:rsidR="00B969ED" w:rsidRPr="00B969ED" w:rsidRDefault="00B969ED" w:rsidP="00B969ED">
      <w:r w:rsidRPr="00B969ED">
        <w:rPr>
          <w:rFonts w:eastAsia="Times New Roman"/>
          <w:szCs w:val="24"/>
        </w:rPr>
        <w:t>All the Pittsfield a</w:t>
      </w:r>
      <w:r w:rsidRPr="00787A59">
        <w:rPr>
          <w:rFonts w:eastAsia="Times New Roman"/>
          <w:szCs w:val="24"/>
        </w:rPr>
        <w:t xml:space="preserve">nd </w:t>
      </w:r>
      <w:r w:rsidRPr="00851352">
        <w:rPr>
          <w:rFonts w:eastAsia="Times New Roman"/>
          <w:szCs w:val="24"/>
        </w:rPr>
        <w:t>Greenfield</w:t>
      </w:r>
      <w:r w:rsidRPr="00851352">
        <w:t xml:space="preserve"> 2022 upgrades ar</w:t>
      </w:r>
      <w:r w:rsidRPr="00B969ED">
        <w:t xml:space="preserve">e already in service (see Section </w:t>
      </w:r>
      <w:r w:rsidRPr="00B969ED">
        <w:fldChar w:fldCharType="begin"/>
      </w:r>
      <w:r w:rsidRPr="00B969ED">
        <w:instrText xml:space="preserve"> REF _Ref485738258 \r \h  \* MERGEFORMAT </w:instrText>
      </w:r>
      <w:r w:rsidRPr="00B969ED">
        <w:fldChar w:fldCharType="separate"/>
      </w:r>
      <w:r w:rsidR="005D0B73">
        <w:t>5.4</w:t>
      </w:r>
      <w:r w:rsidRPr="00B969ED">
        <w:fldChar w:fldCharType="end"/>
      </w:r>
      <w:r w:rsidRPr="00B969ED">
        <w:t xml:space="preserve">) with the exception of a 115 kV </w:t>
      </w:r>
      <w:r w:rsidR="00B11CCF">
        <w:t xml:space="preserve">station </w:t>
      </w:r>
      <w:r w:rsidRPr="00B969ED">
        <w:t xml:space="preserve">at Pochassic, and a new 115 kV line between Pochassic and Buck Pond, which will be placed in service by June 2020.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 MERGEFORMAT </w:instrText>
      </w:r>
      <w:r w:rsidRPr="00B969ED">
        <w:fldChar w:fldCharType="separate"/>
      </w:r>
      <w:r w:rsidR="005D0B73">
        <w:t>5.9</w:t>
      </w:r>
      <w:r w:rsidRPr="00B969ED">
        <w:fldChar w:fldCharType="end"/>
      </w:r>
      <w:r w:rsidRPr="00B969ED">
        <w:t>).</w:t>
      </w:r>
    </w:p>
    <w:p w14:paraId="4C5BC79A" w14:textId="5F512A61" w:rsidR="00B969ED" w:rsidRPr="00B969ED" w:rsidRDefault="00B969ED" w:rsidP="00B969ED">
      <w:r w:rsidRPr="00B969ED">
        <w:t>The needs assessment for the WCMA study area began in June 2017.</w:t>
      </w:r>
      <w:r w:rsidRPr="00B969ED">
        <w:rPr>
          <w:vertAlign w:val="superscript"/>
        </w:rPr>
        <w:footnoteReference w:id="158"/>
      </w:r>
      <w:r w:rsidRPr="00B969ED">
        <w:t xml:space="preserve"> A draft WCMA 2027 scope of work was presented to </w:t>
      </w:r>
      <w:r w:rsidR="005B3251">
        <w:t xml:space="preserve">the </w:t>
      </w:r>
      <w:r w:rsidRPr="00B969ED">
        <w:t xml:space="preserve">PAC in January 2018, but the effort was paused to take into account the 2018 updated load, </w:t>
      </w:r>
      <w:r w:rsidR="00911BE8">
        <w:t>EE</w:t>
      </w:r>
      <w:r w:rsidRPr="00B969ED">
        <w:t xml:space="preserve">, and </w:t>
      </w:r>
      <w:r w:rsidR="00911BE8">
        <w:t>PV</w:t>
      </w:r>
      <w:r w:rsidRPr="00B969ED">
        <w:t xml:space="preserve"> forecasts.</w:t>
      </w:r>
      <w:r w:rsidRPr="00B969ED">
        <w:rPr>
          <w:vertAlign w:val="superscript"/>
        </w:rPr>
        <w:footnoteReference w:id="159"/>
      </w:r>
      <w:r w:rsidRPr="00B969ED">
        <w:t xml:space="preserve"> A new WCMA 2028 scope of work was presented to </w:t>
      </w:r>
      <w:r w:rsidR="005B3251">
        <w:t xml:space="preserve">the </w:t>
      </w:r>
      <w:r w:rsidRPr="00B969ED">
        <w:t>PAC in September 2018.</w:t>
      </w:r>
      <w:r w:rsidR="00960963">
        <w:rPr>
          <w:rStyle w:val="FootnoteReference"/>
        </w:rPr>
        <w:footnoteReference w:id="160"/>
      </w:r>
      <w:r w:rsidRPr="00B969ED">
        <w:t xml:space="preserve"> </w:t>
      </w:r>
      <w:r w:rsidR="00F4798A">
        <w:t>T</w:t>
      </w:r>
      <w:r w:rsidRPr="00B969ED">
        <w:t>o</w:t>
      </w:r>
      <w:r w:rsidR="00F4798A">
        <w:t xml:space="preserve"> account for</w:t>
      </w:r>
      <w:r w:rsidRPr="00B969ED">
        <w:t xml:space="preserve"> the draft 2019 forecasts, </w:t>
      </w:r>
      <w:r w:rsidR="00C84D99">
        <w:t xml:space="preserve">the ISO posted </w:t>
      </w:r>
      <w:r w:rsidR="000027D0">
        <w:t>a new</w:t>
      </w:r>
      <w:r w:rsidR="000027D0" w:rsidRPr="00B969ED">
        <w:t xml:space="preserve"> </w:t>
      </w:r>
      <w:r w:rsidRPr="00B969ED">
        <w:t xml:space="preserve">WCMA </w:t>
      </w:r>
      <w:r w:rsidR="000027D0" w:rsidRPr="00B969ED">
        <w:t>202</w:t>
      </w:r>
      <w:r w:rsidR="000027D0">
        <w:t>9</w:t>
      </w:r>
      <w:r w:rsidR="000027D0" w:rsidRPr="00B969ED">
        <w:t xml:space="preserve"> </w:t>
      </w:r>
      <w:r w:rsidRPr="00B969ED">
        <w:t xml:space="preserve">scope of </w:t>
      </w:r>
      <w:r w:rsidRPr="00D722A0">
        <w:t xml:space="preserve">work and intermediate study files in </w:t>
      </w:r>
      <w:r w:rsidR="000027D0" w:rsidRPr="00D722A0">
        <w:t xml:space="preserve">August </w:t>
      </w:r>
      <w:r w:rsidRPr="00D722A0">
        <w:t>2019.</w:t>
      </w:r>
      <w:r w:rsidRPr="00D722A0">
        <w:rPr>
          <w:vertAlign w:val="superscript"/>
        </w:rPr>
        <w:footnoteReference w:id="161"/>
      </w:r>
      <w:r w:rsidRPr="00D722A0">
        <w:t xml:space="preserve"> The WCMA </w:t>
      </w:r>
      <w:r w:rsidR="000027D0" w:rsidRPr="00D722A0">
        <w:t xml:space="preserve">2029 </w:t>
      </w:r>
      <w:r w:rsidRPr="00D722A0">
        <w:t xml:space="preserve">scope of work included the forecast data from the 2019 CELT </w:t>
      </w:r>
      <w:r w:rsidR="00D107EB" w:rsidRPr="00D722A0">
        <w:t>R</w:t>
      </w:r>
      <w:r w:rsidRPr="00D722A0">
        <w:t>eport.</w:t>
      </w:r>
    </w:p>
    <w:p w14:paraId="780543B9" w14:textId="77777777" w:rsidR="00B969ED" w:rsidRPr="00B07D57" w:rsidRDefault="00B969ED" w:rsidP="00B07D57">
      <w:pPr>
        <w:pStyle w:val="Heading3"/>
      </w:pPr>
      <w:bookmarkStart w:id="665" w:name="_Ref485805448"/>
      <w:bookmarkStart w:id="666" w:name="_Ref485805455"/>
      <w:bookmarkStart w:id="667" w:name="_Toc490323048"/>
      <w:bookmarkStart w:id="668" w:name="_Toc12795190"/>
      <w:r w:rsidRPr="00B07D57">
        <w:t>Greater Boston Key Study Area</w:t>
      </w:r>
      <w:bookmarkEnd w:id="665"/>
      <w:bookmarkEnd w:id="666"/>
      <w:bookmarkEnd w:id="667"/>
      <w:bookmarkEnd w:id="668"/>
    </w:p>
    <w:p w14:paraId="7D03F5CE" w14:textId="77777777" w:rsidR="00B969ED" w:rsidRPr="00B969ED" w:rsidRDefault="00B969ED" w:rsidP="00B969ED">
      <w:pPr>
        <w:rPr>
          <w:rFonts w:eastAsia="Times New Roman"/>
          <w:szCs w:val="24"/>
        </w:rPr>
      </w:pPr>
      <w:r w:rsidRPr="00B969ED">
        <w:t>The Greater Boston key study area includes the communities north and east of Interstate 495 north to the New Hampshire border, the city of Boston, and the suburbs south of Boston.</w:t>
      </w:r>
      <w:r w:rsidR="00851352" w:rsidRPr="00851352">
        <w:rPr>
          <w:rFonts w:asciiTheme="minorHAnsi" w:hAnsiTheme="minorHAnsi"/>
          <w:vertAlign w:val="superscript"/>
        </w:rPr>
        <w:footnoteReference w:id="162"/>
      </w:r>
    </w:p>
    <w:p w14:paraId="1BF9EBBB" w14:textId="77777777" w:rsidR="00B969ED" w:rsidRPr="00B969ED" w:rsidRDefault="00B969ED" w:rsidP="00B969ED">
      <w:r w:rsidRPr="00B969ED">
        <w:t>The Greater Boston study area has gone through two study efforts over the past 10 years. The first needs assessment, with study horizons of 2013 and 2018, was published in 2010.</w:t>
      </w:r>
      <w:r w:rsidRPr="00B969ED">
        <w:rPr>
          <w:vertAlign w:val="superscript"/>
        </w:rPr>
        <w:footnoteReference w:id="163"/>
      </w:r>
      <w:r w:rsidRPr="00B969ED">
        <w:t xml:space="preserve"> Because the study area changed significantly, a second needs assessment, with study horizons of 2018 and 2023, was published in 2015.</w:t>
      </w:r>
      <w:r w:rsidRPr="00B969ED">
        <w:rPr>
          <w:vertAlign w:val="superscript"/>
        </w:rPr>
        <w:footnoteReference w:id="164"/>
      </w:r>
      <w:r w:rsidRPr="00B969ED">
        <w:t xml:space="preserve"> The changes that prompted the updates can be categorized into four topics: load forecast and </w:t>
      </w:r>
      <w:r w:rsidRPr="00B969ED">
        <w:lastRenderedPageBreak/>
        <w:t xml:space="preserve">demand resources, resource additions and retirements, transmission system topology, and system modeling. </w:t>
      </w:r>
    </w:p>
    <w:p w14:paraId="5DD51D34" w14:textId="17A91C09" w:rsidR="00B969ED" w:rsidRPr="00B969ED" w:rsidRDefault="00B969ED" w:rsidP="00B969ED">
      <w:r w:rsidRPr="00B969ED">
        <w:t>The needs assessments showed thermal and voltage needs under peak load conditions in the Greater Boston study area, high-voltage needs in the Greater Boston study area under minimum-load conditions, and, as part of the short-circuit analysis, overdutied breakers in the downtown Boston subarea. The Greater Boston solutions study solved the needs from the latest needs assessment, the preferred solution components were presented to the PAC in February 2015, and the solutions study report was completed in August 2015.</w:t>
      </w:r>
      <w:r w:rsidRPr="00B969ED">
        <w:rPr>
          <w:vertAlign w:val="superscript"/>
        </w:rPr>
        <w:footnoteReference w:id="165"/>
      </w:r>
      <w:r w:rsidRPr="00B969ED">
        <w:t xml:space="preserve"> The major components of the preferred solutions for addressing the needs includes multiple new 345 kV facilities, new 115 kV facilities, and upgrades to existing equipment within the study area. The Greater Boston suite of projects also included the addition of a +/- 200 MVAR STATCOM in Maine as a result of the stability testing performed for the preferred solution. Several of the projects within the Greater Boston suite of projects are already in service, and all the components of the preferred solutions are expected to be in service by May 2021. The details for the different solution components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14:paraId="53CE3D8A" w14:textId="77777777" w:rsidR="00B969ED" w:rsidRPr="00B969ED" w:rsidRDefault="00B969ED" w:rsidP="00B969ED">
      <w:pPr>
        <w:spacing w:after="0"/>
        <w:contextualSpacing/>
      </w:pPr>
      <w:r w:rsidRPr="00B969ED">
        <w:t xml:space="preserve">The Boston study area is a subset of the Greater Boston key study area and is approximately bounded by </w:t>
      </w:r>
      <w:r w:rsidRPr="00E83B11">
        <w:t xml:space="preserve">the Boston </w:t>
      </w:r>
      <w:r w:rsidR="00E83B11" w:rsidRPr="00E83B11">
        <w:t>i</w:t>
      </w:r>
      <w:r w:rsidRPr="00E83B11">
        <w:t>mport interface. D</w:t>
      </w:r>
      <w:r w:rsidRPr="00B969ED">
        <w:t>ue to the submittal of retirement delist bids for Mystic units 7, 8, 9, and Jet for FCA 13, a Boston 2028 needs assessment was initiated on September 14, 2018.</w:t>
      </w:r>
      <w:r w:rsidRPr="00B969ED">
        <w:rPr>
          <w:vertAlign w:val="superscript"/>
        </w:rPr>
        <w:footnoteReference w:id="166"/>
      </w:r>
      <w:r w:rsidRPr="00B969ED">
        <w:t xml:space="preserve"> Also, due to the new 2019 load, </w:t>
      </w:r>
      <w:r w:rsidR="00E415E0">
        <w:t>EE</w:t>
      </w:r>
      <w:r w:rsidRPr="00B969ED">
        <w:t xml:space="preserve">, and </w:t>
      </w:r>
      <w:r w:rsidR="00E415E0">
        <w:t>PV</w:t>
      </w:r>
      <w:r w:rsidRPr="00B969ED">
        <w:t xml:space="preserve"> forecasts, this needs assessment w</w:t>
      </w:r>
      <w:r w:rsidR="00183B2D">
        <w:t>as</w:t>
      </w:r>
      <w:r w:rsidRPr="00B969ED">
        <w:t xml:space="preserve"> updated to include the load forecast data from the </w:t>
      </w:r>
      <w:r w:rsidR="00183B2D">
        <w:t xml:space="preserve">draft </w:t>
      </w:r>
      <w:r w:rsidRPr="00B969ED">
        <w:t xml:space="preserve">2019 CELT </w:t>
      </w:r>
      <w:r w:rsidR="00D107EB">
        <w:t>R</w:t>
      </w:r>
      <w:r w:rsidRPr="00B969ED">
        <w:t>eport.</w:t>
      </w:r>
      <w:r w:rsidRPr="00B969ED">
        <w:rPr>
          <w:vertAlign w:val="superscript"/>
        </w:rPr>
        <w:footnoteReference w:id="167"/>
      </w:r>
      <w:r w:rsidRPr="00B969ED">
        <w:t xml:space="preserve"> The Boston 2028 needs assessment scope of work and intermediate study files were poste</w:t>
      </w:r>
      <w:r w:rsidRPr="00D10561">
        <w:t xml:space="preserve">d in March 2019, and the </w:t>
      </w:r>
      <w:r w:rsidR="00183B2D" w:rsidRPr="00D10561">
        <w:t xml:space="preserve">final needs assessment and </w:t>
      </w:r>
      <w:r w:rsidRPr="00D10561">
        <w:t xml:space="preserve">study files were posted </w:t>
      </w:r>
      <w:r w:rsidR="00183B2D" w:rsidRPr="00D10561">
        <w:t>o</w:t>
      </w:r>
      <w:r w:rsidRPr="00D10561">
        <w:t xml:space="preserve">n June </w:t>
      </w:r>
      <w:r w:rsidR="00183B2D" w:rsidRPr="00D10561">
        <w:t xml:space="preserve">10, </w:t>
      </w:r>
      <w:r w:rsidRPr="00D10561">
        <w:t>2019.</w:t>
      </w:r>
      <w:r w:rsidRPr="005658C2">
        <w:rPr>
          <w:vertAlign w:val="superscript"/>
        </w:rPr>
        <w:footnoteReference w:id="168"/>
      </w:r>
      <w:r w:rsidRPr="00D10561">
        <w:t xml:space="preserve"> Th</w:t>
      </w:r>
      <w:r w:rsidRPr="00B969ED">
        <w:t xml:space="preserve">e results of the Boston 2028 needs assessment show a number of voltage violations at minimum load and thermal violations at peak load. </w:t>
      </w:r>
      <w:r w:rsidR="00183B2D">
        <w:t xml:space="preserve">In addition, an operational </w:t>
      </w:r>
      <w:r w:rsidR="00183B2D" w:rsidRPr="001E5080">
        <w:t xml:space="preserve">study will be performed to evaluate the impact of the retirement of Mystic 8 and 9 on system restoration plans, and any resulting needs will be communicated in the Boston 2028 </w:t>
      </w:r>
      <w:r w:rsidR="001E5080" w:rsidRPr="001E5080">
        <w:t>n</w:t>
      </w:r>
      <w:r w:rsidR="00183B2D" w:rsidRPr="001E5080">
        <w:t xml:space="preserve">eeds </w:t>
      </w:r>
      <w:r w:rsidR="001E5080" w:rsidRPr="001E5080">
        <w:t>a</w:t>
      </w:r>
      <w:r w:rsidR="00183B2D" w:rsidRPr="001E5080">
        <w:t xml:space="preserve">ssessment </w:t>
      </w:r>
      <w:r w:rsidR="001E5080" w:rsidRPr="001E5080">
        <w:t>a</w:t>
      </w:r>
      <w:r w:rsidR="00183B2D" w:rsidRPr="001E5080">
        <w:t>ddendum.</w:t>
      </w:r>
      <w:r w:rsidR="00183B2D" w:rsidRPr="001E5080">
        <w:rPr>
          <w:vertAlign w:val="superscript"/>
        </w:rPr>
        <w:footnoteReference w:id="169"/>
      </w:r>
      <w:r w:rsidR="00183B2D" w:rsidRPr="00183B2D">
        <w:t xml:space="preserve"> </w:t>
      </w:r>
    </w:p>
    <w:p w14:paraId="2A1BB552" w14:textId="77777777" w:rsidR="00B969ED" w:rsidRPr="00B969ED" w:rsidRDefault="00B969ED" w:rsidP="00B969ED">
      <w:pPr>
        <w:contextualSpacing/>
      </w:pPr>
      <w:r w:rsidRPr="00B969ED">
        <w:t xml:space="preserve"> </w:t>
      </w:r>
    </w:p>
    <w:p w14:paraId="0407CAA2" w14:textId="77777777" w:rsidR="00B969ED" w:rsidRPr="001E5080" w:rsidRDefault="00B969ED" w:rsidP="00B969ED">
      <w:pPr>
        <w:spacing w:after="0"/>
        <w:contextualSpacing/>
      </w:pPr>
      <w:r w:rsidRPr="00B969ED">
        <w:t xml:space="preserve">The needs found at minimum load are deemed time-sensitive because the load level is possible under current-day system conditions. The solutions study process, detailed in </w:t>
      </w:r>
      <w:r w:rsidR="00E415E0">
        <w:t xml:space="preserve">the OATT, Attachment K, </w:t>
      </w:r>
      <w:r w:rsidR="001D20CA" w:rsidRPr="00B969ED">
        <w:t>Section</w:t>
      </w:r>
      <w:r w:rsidR="001D20CA">
        <w:t> </w:t>
      </w:r>
      <w:r w:rsidRPr="00B969ED">
        <w:t>4.2, was used to solve the time-sensitive voltage violations identified at minimum load</w:t>
      </w:r>
      <w:r w:rsidR="002B396B">
        <w:t xml:space="preserve">. </w:t>
      </w:r>
      <w:r w:rsidRPr="00B969ED">
        <w:t xml:space="preserve">As a result of the solutions study completed in October 2019, </w:t>
      </w:r>
      <w:r w:rsidR="001E5080">
        <w:t xml:space="preserve">additional transmission facilities </w:t>
      </w:r>
      <w:r w:rsidRPr="00B969ED">
        <w:t>will be installed</w:t>
      </w:r>
      <w:r w:rsidRPr="00B969ED">
        <w:rPr>
          <w:color w:val="0070C0"/>
        </w:rPr>
        <w:t xml:space="preserve"> </w:t>
      </w:r>
      <w:r w:rsidRPr="001E5080">
        <w:t>in the area to mitigate high-voltage needs found at minimum load.</w:t>
      </w:r>
    </w:p>
    <w:p w14:paraId="39F55309" w14:textId="77777777" w:rsidR="00B969ED" w:rsidRPr="00B969ED" w:rsidRDefault="00B969ED" w:rsidP="00B969ED">
      <w:pPr>
        <w:contextualSpacing/>
      </w:pPr>
    </w:p>
    <w:p w14:paraId="137F643A" w14:textId="1A08C441" w:rsidR="00B969ED" w:rsidRPr="00B969ED" w:rsidRDefault="00B969ED" w:rsidP="00B969ED">
      <w:pPr>
        <w:spacing w:after="0"/>
        <w:contextualSpacing/>
      </w:pPr>
      <w:r w:rsidRPr="00B969ED">
        <w:lastRenderedPageBreak/>
        <w:t xml:space="preserve">The peak load needs were found to be non-time-sensitive because the needs were present in the study horizon cases of 2028 but were not observed in the time-sensitive cases of 2022. </w:t>
      </w:r>
      <w:r w:rsidR="000244C5">
        <w:t xml:space="preserve">In addition, the system-restoration need for reactive support </w:t>
      </w:r>
      <w:r w:rsidR="0023798B">
        <w:t xml:space="preserve">is </w:t>
      </w:r>
      <w:r w:rsidR="000244C5">
        <w:t xml:space="preserve">considered a non-time-sensitive need because the retirement date of Mystic 8 and 9 is beyond the three-year time-sensitive period. </w:t>
      </w:r>
      <w:r w:rsidRPr="00B969ED">
        <w:t xml:space="preserve">The competitive solution process, detailed in </w:t>
      </w:r>
      <w:r w:rsidR="00BB3C43">
        <w:t xml:space="preserve">Attachment K, </w:t>
      </w:r>
      <w:r w:rsidRPr="00B969ED">
        <w:t>Section 4.3, will be used to solve the non-time-sensitive, thermal violations identified at peak load. Once the preferred solution to solve the time-sensitive, minimum-load, voltage violations have been selected, the ISO anticipates issuing in early 2020 its first request for proposals (RFP) to solicit comp</w:t>
      </w:r>
      <w:r w:rsidR="000244C5">
        <w:t>etitive</w:t>
      </w:r>
      <w:r w:rsidRPr="00B969ED">
        <w:t xml:space="preserve"> bids from qualified transmission project sponsors (QTPSs) to solve the peak load needs.</w:t>
      </w:r>
    </w:p>
    <w:p w14:paraId="1934C463" w14:textId="77777777" w:rsidR="00B969ED" w:rsidRPr="00B969ED" w:rsidRDefault="00B969ED" w:rsidP="00B969ED">
      <w:pPr>
        <w:spacing w:after="0"/>
        <w:contextualSpacing/>
      </w:pPr>
    </w:p>
    <w:p w14:paraId="185ED01A" w14:textId="77777777" w:rsidR="00B969ED" w:rsidRPr="00B969ED" w:rsidRDefault="00B969ED" w:rsidP="00E353DF">
      <w:pPr>
        <w:pStyle w:val="Heading3"/>
      </w:pPr>
      <w:bookmarkStart w:id="669" w:name="_Ref485733796"/>
      <w:bookmarkStart w:id="670" w:name="_Ref485733954"/>
      <w:bookmarkStart w:id="671" w:name="_Toc490323049"/>
      <w:bookmarkStart w:id="672" w:name="_Toc12795191"/>
      <w:r w:rsidRPr="00B969ED">
        <w:t>Southeastern Massachusetts and Rhode Island Key Study Area</w:t>
      </w:r>
      <w:bookmarkEnd w:id="669"/>
      <w:bookmarkEnd w:id="670"/>
      <w:bookmarkEnd w:id="671"/>
      <w:bookmarkEnd w:id="672"/>
      <w:r w:rsidRPr="00B969ED">
        <w:t xml:space="preserve"> </w:t>
      </w:r>
    </w:p>
    <w:p w14:paraId="08622986" w14:textId="77777777" w:rsidR="00B969ED" w:rsidRPr="00B969ED" w:rsidRDefault="00B969ED" w:rsidP="00B969ED">
      <w:r w:rsidRPr="00B969ED">
        <w:t>The Southeastern Massachusetts and Rhode Island (SEMA/RI) key study area focuses on the SEMA and the RI load zones, which encompass the areas within Massachusetts located south of Boston and the entire state of Rhode Island.</w:t>
      </w:r>
      <w:r w:rsidR="00851352" w:rsidRPr="005658C2">
        <w:rPr>
          <w:rFonts w:asciiTheme="minorHAnsi" w:eastAsiaTheme="majorEastAsia" w:hAnsiTheme="minorHAnsi" w:cstheme="majorBidi"/>
          <w:bCs/>
          <w:vertAlign w:val="superscript"/>
        </w:rPr>
        <w:footnoteReference w:id="170"/>
      </w:r>
    </w:p>
    <w:p w14:paraId="38DFB65F" w14:textId="77777777" w:rsidR="00B969ED" w:rsidRPr="00B969ED" w:rsidRDefault="00B969ED" w:rsidP="00B969ED">
      <w:r w:rsidRPr="00B969ED">
        <w:t>The major goals of the SEMA/RI study were to determine any long-term system needs required to integrally serve the broad SEMA and Rhode Island areas. Several PAC presentations detailed needs in the study area, but a needs assessment was never completed due to the retirement announcements of Brayton Point in late 2013 and Pilgrim Nuclear Power Station in late 2015.</w:t>
      </w:r>
      <w:r w:rsidRPr="00B969ED">
        <w:rPr>
          <w:vertAlign w:val="superscript"/>
        </w:rPr>
        <w:footnoteReference w:id="171"/>
      </w:r>
      <w:r w:rsidRPr="00B969ED">
        <w:t xml:space="preserve"> After the Pilgrim retirement announcement, the SEMA/RI study was restarted in late 2015 with a study horizon of 2026. The 2026 needs assessment was presented to </w:t>
      </w:r>
      <w:r w:rsidR="005B3251">
        <w:t xml:space="preserve">the </w:t>
      </w:r>
      <w:r w:rsidRPr="00B969ED">
        <w:t>PAC in March 2016, and the report was published in May 2016.</w:t>
      </w:r>
      <w:r w:rsidRPr="00B969ED">
        <w:rPr>
          <w:vertAlign w:val="superscript"/>
        </w:rPr>
        <w:footnoteReference w:id="172"/>
      </w:r>
      <w:r w:rsidRPr="00B969ED">
        <w:t xml:space="preserve"> </w:t>
      </w:r>
    </w:p>
    <w:p w14:paraId="7964394B" w14:textId="5681A8EE" w:rsidR="00B969ED" w:rsidRPr="00B969ED" w:rsidRDefault="00B969ED" w:rsidP="00B969ED">
      <w:r w:rsidRPr="00B969ED">
        <w:t>The needs assessment results continued to show various time-sensitive needs on the 115 kV system in all the SEMA/RI subareas. A 2026 solutions study solved the time-sensitive needs from the 2026 needs assessment; the preferred solution components were presented to the PAC in December 2016, and the solutions study report was completed in March 2017.</w:t>
      </w:r>
      <w:r w:rsidRPr="00B969ED">
        <w:rPr>
          <w:vertAlign w:val="superscript"/>
        </w:rPr>
        <w:footnoteReference w:id="173"/>
      </w:r>
      <w:r w:rsidRPr="00B969ED">
        <w:rPr>
          <w:vertAlign w:val="superscript"/>
        </w:rPr>
        <w:t xml:space="preserve"> </w:t>
      </w:r>
      <w:r w:rsidRPr="00B969ED">
        <w:t xml:space="preserve">Most of the preferred solution components were identified on the 115 kV system and included adding a new switching station, reconductoring lines, installing new lines, separating double-circuit towers, and adding reactive support to maintain voltage. </w:t>
      </w:r>
      <w:r w:rsidRPr="00B969ED">
        <w:lastRenderedPageBreak/>
        <w:t xml:space="preserve">One 345 kV project required the separation of a DCT. The upgrades are expected to be placed in service by the end of 2021. The major components of the preferred solutions for addressing the needs are included in the latest version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 xml:space="preserve">). </w:t>
      </w:r>
    </w:p>
    <w:p w14:paraId="14F6E9D6" w14:textId="2B75DF89" w:rsidR="00B969ED" w:rsidRPr="00B969ED" w:rsidRDefault="00B969ED" w:rsidP="00B969ED">
      <w:r w:rsidRPr="00B969ED">
        <w:t>The Aquidneck Island area, which is part of the SEMA/RI Somerset–Newport subarea, underwent an advanced needs assessment and solutions study in early 2015.</w:t>
      </w:r>
      <w:r w:rsidRPr="00B969ED">
        <w:rPr>
          <w:vertAlign w:val="superscript"/>
        </w:rPr>
        <w:footnoteReference w:id="174"/>
      </w:r>
      <w:r w:rsidRPr="00B969ED">
        <w:t xml:space="preserve"> The needs assessment results showed thermal overloads on the 115/69 kV autotransformer and 69 kV lines serving the area. The preferred solution components included the rebuild of a station and 69 kV lines and the conversion of 69 kV equipment to 115 kV. All the projects are expected to be in service by September 2020. The major components of the preferred solutions for addressing the needs are included in the </w:t>
      </w:r>
      <w:r w:rsidRPr="00906B60">
        <w:t>latest version</w:t>
      </w:r>
      <w:r w:rsidRPr="00B969ED">
        <w:t xml:space="preserve"> of the </w:t>
      </w:r>
      <w:r w:rsidRPr="00B969ED">
        <w:rPr>
          <w:i/>
        </w:rPr>
        <w:t xml:space="preserve">RSP Project List </w:t>
      </w:r>
      <w:r w:rsidRPr="00B969ED">
        <w:t xml:space="preserve">(see Section </w:t>
      </w:r>
      <w:r w:rsidRPr="00B969ED">
        <w:fldChar w:fldCharType="begin"/>
      </w:r>
      <w:r w:rsidRPr="00B969ED">
        <w:instrText xml:space="preserve"> REF _Ref485720285 \w \h </w:instrText>
      </w:r>
      <w:r w:rsidRPr="00B969ED">
        <w:fldChar w:fldCharType="separate"/>
      </w:r>
      <w:r w:rsidR="005D0B73">
        <w:t>5.9</w:t>
      </w:r>
      <w:r w:rsidRPr="00B969ED">
        <w:fldChar w:fldCharType="end"/>
      </w:r>
      <w:r w:rsidRPr="00B969ED">
        <w:t>).</w:t>
      </w:r>
    </w:p>
    <w:p w14:paraId="5F756652" w14:textId="77777777" w:rsidR="00B969ED" w:rsidRPr="00B969ED" w:rsidRDefault="00B969ED" w:rsidP="00B969ED">
      <w:r w:rsidRPr="00B969ED">
        <w:t>The needs assessment for the SEMA/RI study area began in June 2017 to identify remaining needs, if any.</w:t>
      </w:r>
      <w:r w:rsidRPr="00B969ED">
        <w:rPr>
          <w:vertAlign w:val="superscript"/>
        </w:rPr>
        <w:footnoteReference w:id="175"/>
      </w:r>
      <w:r w:rsidRPr="00B969ED">
        <w:t xml:space="preserve"> This needs assessment includes the preferred solutions, which were developed to solve time-sensitive needs found in the SEMA/RI 2026 needs assessment. A draft SEMA/RI 2027 scope of work was presented to </w:t>
      </w:r>
      <w:r w:rsidR="00E84779">
        <w:t xml:space="preserve">the </w:t>
      </w:r>
      <w:r w:rsidRPr="00B969ED">
        <w:t>PAC in December 2017,</w:t>
      </w:r>
      <w:r w:rsidR="00E84779">
        <w:t xml:space="preserve"> </w:t>
      </w:r>
      <w:r w:rsidRPr="00B969ED">
        <w:t>but the effort was paused to take into account the 2018 load, EE, and PV forecasts.</w:t>
      </w:r>
      <w:r w:rsidRPr="00B969ED">
        <w:rPr>
          <w:vertAlign w:val="superscript"/>
        </w:rPr>
        <w:footnoteReference w:id="176"/>
      </w:r>
      <w:r w:rsidRPr="00B969ED">
        <w:t xml:space="preserve"> A new draft SEMA/RI 2028 scope of work was presented to the PAC in November 2018.</w:t>
      </w:r>
      <w:r w:rsidR="0014746E">
        <w:rPr>
          <w:rStyle w:val="FootnoteReference"/>
        </w:rPr>
        <w:footnoteReference w:id="177"/>
      </w:r>
      <w:r w:rsidRPr="00B969ED">
        <w:t xml:space="preserve"> Due to the new forecasts and the uncertainty of the interconnections of several resources in the SEMA/RI area, the finalization of the SEMA/RI 2028 scope of work and intermediate study files was suspended</w:t>
      </w:r>
      <w:r w:rsidR="00131C64">
        <w:t>.</w:t>
      </w:r>
      <w:r w:rsidRPr="00B969ED">
        <w:t xml:space="preserve"> </w:t>
      </w:r>
    </w:p>
    <w:p w14:paraId="35E33EBE" w14:textId="38284CF0" w:rsidR="00B969ED" w:rsidRPr="00B969ED" w:rsidRDefault="00B969ED" w:rsidP="00B969ED">
      <w:r w:rsidRPr="00B969ED">
        <w:t>In late 2016, a SEMA/RI minimum-load needs assessment began to evaluate the reliability performance and identify reliability-based transmission needs in the SEMA/RI study area under minimum-load conditions. The SEMA/RI minimum-load needs assessment was posted in August 2017.</w:t>
      </w:r>
      <w:r w:rsidRPr="00B969ED">
        <w:rPr>
          <w:vertAlign w:val="superscript"/>
        </w:rPr>
        <w:footnoteReference w:id="178"/>
      </w:r>
      <w:r w:rsidRPr="00B969ED">
        <w:t xml:space="preserve"> High-voltage needs were identified under N-1 and N-1-1 contingencies in the Cape Cod area. </w:t>
      </w:r>
      <w:r w:rsidR="000244C5">
        <w:t xml:space="preserve">The needs were determined to be time sensitive </w:t>
      </w:r>
      <w:r w:rsidR="000244C5" w:rsidRPr="00E84779">
        <w:t>b</w:t>
      </w:r>
      <w:r w:rsidRPr="00E84779">
        <w:t>ecause the</w:t>
      </w:r>
      <w:r w:rsidRPr="00B969ED">
        <w:t xml:space="preserve"> only needs identified were the result of the minimum-load assessment</w:t>
      </w:r>
      <w:r w:rsidR="000244C5">
        <w:t xml:space="preserve"> and can</w:t>
      </w:r>
      <w:r w:rsidRPr="00B969ED">
        <w:t xml:space="preserve"> occur under current system conditions.</w:t>
      </w:r>
      <w:r w:rsidR="00531168" w:rsidRPr="00B969ED" w:rsidDel="00531168">
        <w:rPr>
          <w:vertAlign w:val="superscript"/>
        </w:rPr>
        <w:t xml:space="preserve"> </w:t>
      </w:r>
    </w:p>
    <w:p w14:paraId="69EAC887" w14:textId="77777777" w:rsidR="00B969ED" w:rsidRPr="00B969ED" w:rsidRDefault="00B969ED" w:rsidP="00B969ED">
      <w:r w:rsidRPr="00B969ED">
        <w:lastRenderedPageBreak/>
        <w:t>The SEMA/RI 2026 minimum-load solutions study began in September 2017.</w:t>
      </w:r>
      <w:r w:rsidRPr="00B969ED">
        <w:rPr>
          <w:vertAlign w:val="superscript"/>
        </w:rPr>
        <w:footnoteReference w:id="179"/>
      </w:r>
      <w:r w:rsidRPr="00B969ED">
        <w:t xml:space="preserve"> Since that time, the minimum-load level evaluated in New England was decreased from 8,500 MW to 8,000 MW. In addition, determining a solution must be delayed until the interconnection designs in the study area have been finalized. Therefore, evaluation of the minimum-load needs in SEMA/RI will be revisited as part of the needs assessment described above.</w:t>
      </w:r>
    </w:p>
    <w:p w14:paraId="6F1BC426" w14:textId="77777777" w:rsidR="00B969ED" w:rsidRPr="00B07D57" w:rsidRDefault="00B969ED" w:rsidP="00B07D57">
      <w:pPr>
        <w:pStyle w:val="Heading3"/>
      </w:pPr>
      <w:bookmarkStart w:id="673" w:name="_Ref485733829"/>
      <w:bookmarkStart w:id="674" w:name="_Toc490323050"/>
      <w:bookmarkStart w:id="675" w:name="_Toc12795192"/>
      <w:r w:rsidRPr="00B07D57">
        <w:t>Maine Key Study Area</w:t>
      </w:r>
      <w:bookmarkEnd w:id="673"/>
      <w:bookmarkEnd w:id="674"/>
      <w:bookmarkEnd w:id="675"/>
      <w:r w:rsidRPr="00B07D57">
        <w:t xml:space="preserve"> </w:t>
      </w:r>
    </w:p>
    <w:p w14:paraId="1740CF3B" w14:textId="77777777" w:rsidR="00B969ED" w:rsidRDefault="00B969ED" w:rsidP="00B969ED">
      <w:r w:rsidRPr="00B969ED">
        <w:t>The Maine key study area examines the entire state of Maine. In 2013, as a follow up to the Maine Power Reliability Program, a 2023 needs assessment studied the Maine transmission system. The 2023 needs assessment was presented to the PAC in September 2014, and the report was published in December 2016.</w:t>
      </w:r>
      <w:r w:rsidRPr="00B969ED">
        <w:rPr>
          <w:vertAlign w:val="superscript"/>
        </w:rPr>
        <w:footnoteReference w:id="180"/>
      </w:r>
      <w:r w:rsidRPr="00B969ED">
        <w:t xml:space="preserve"> The results of the 2023 needs assessment show various time-sensitive needs on the 115 kV system. </w:t>
      </w:r>
    </w:p>
    <w:p w14:paraId="2C5AD3CA" w14:textId="77777777" w:rsidR="00B969ED" w:rsidRDefault="00B969ED" w:rsidP="00B969ED">
      <w:r w:rsidRPr="00B969ED">
        <w:t>Due to a large mill retirement, significant transmission system upgrades added to the study area since the 2023 needs assessment was completed, and after further review and analysis of the needs results, an addendum analysis report to the 2023 Maine needs assessment was completed.</w:t>
      </w:r>
      <w:r w:rsidRPr="00B969ED">
        <w:rPr>
          <w:vertAlign w:val="superscript"/>
        </w:rPr>
        <w:footnoteReference w:id="181"/>
      </w:r>
      <w:r w:rsidRPr="00B969ED">
        <w:t xml:space="preserve"> The results of the addendum continued to show various time-sensitive needs on the 115 kV system and high-voltage needs on the 345 kV system at minimum-load levels. A 2023 solutions study developed alternatives to address the identified time-sensitive needs from the 2023 needs assessment, which the ISO presented to the PAC.</w:t>
      </w:r>
      <w:r w:rsidRPr="00B969ED">
        <w:rPr>
          <w:vertAlign w:val="superscript"/>
        </w:rPr>
        <w:footnoteReference w:id="182"/>
      </w:r>
      <w:r w:rsidRPr="00B969ED">
        <w:t xml:space="preserve"> In early 2017, the 2023 solutions study was suspended, however, due to numerous changes in the study assumptions, inputs, and processes in 2017, as discussed above. Taking into account all these changes, a new needs assessment began on June 29, 2017, with the posting of the notice of initiation for the Maine needs assessment.</w:t>
      </w:r>
      <w:r w:rsidRPr="00B969ED">
        <w:rPr>
          <w:vertAlign w:val="superscript"/>
        </w:rPr>
        <w:footnoteReference w:id="183"/>
      </w:r>
      <w:r w:rsidRPr="00B969ED">
        <w:t xml:space="preserve"> The Maine 2027 scope of work and intermediate study files were posted on March 3, 2018.</w:t>
      </w:r>
      <w:r w:rsidRPr="00B969ED">
        <w:rPr>
          <w:vertAlign w:val="superscript"/>
        </w:rPr>
        <w:footnoteReference w:id="184"/>
      </w:r>
    </w:p>
    <w:p w14:paraId="337BBF8E" w14:textId="76907325" w:rsidR="00BD1A3E" w:rsidRPr="00B969ED" w:rsidRDefault="00B969ED" w:rsidP="00B969ED">
      <w:r w:rsidRPr="00B969ED">
        <w:t>The Maine 2027 needs assessment effort was suspended in February 2019 due to the change in the load, energy efficiency, and photovoltaic forecast information.</w:t>
      </w:r>
      <w:r w:rsidRPr="00B969ED">
        <w:rPr>
          <w:vertAlign w:val="superscript"/>
        </w:rPr>
        <w:footnoteReference w:id="185"/>
      </w:r>
      <w:r w:rsidRPr="00B969ED">
        <w:t xml:space="preserve"> </w:t>
      </w:r>
      <w:r w:rsidR="00BD1A3E" w:rsidRPr="00BD1A3E">
        <w:t xml:space="preserve">The 2019 draft forecasts and the results of the FCA 13 were used to update the models, and a new needs assessment focused on the Upper Maine </w:t>
      </w:r>
      <w:r w:rsidR="00BD1A3E" w:rsidRPr="00BD1A3E">
        <w:lastRenderedPageBreak/>
        <w:t xml:space="preserve">region began in June 2019 with the posting of the notice of initiation for </w:t>
      </w:r>
      <w:r w:rsidR="00BD1A3E">
        <w:t xml:space="preserve">the </w:t>
      </w:r>
      <w:r w:rsidR="00BD1A3E" w:rsidRPr="00BD1A3E">
        <w:t xml:space="preserve">Upper Maine 2029 </w:t>
      </w:r>
      <w:r w:rsidR="00BD1A3E">
        <w:t>n</w:t>
      </w:r>
      <w:r w:rsidR="00BD1A3E" w:rsidRPr="00BD1A3E">
        <w:t xml:space="preserve">eeds </w:t>
      </w:r>
      <w:r w:rsidR="00BD1A3E">
        <w:t>a</w:t>
      </w:r>
      <w:r w:rsidR="00BD1A3E" w:rsidRPr="00BD1A3E">
        <w:t>ssessment.</w:t>
      </w:r>
      <w:r w:rsidR="00BD1A3E" w:rsidRPr="00BD1A3E">
        <w:rPr>
          <w:vertAlign w:val="superscript"/>
        </w:rPr>
        <w:footnoteReference w:id="186"/>
      </w:r>
      <w:r w:rsidR="00BD1A3E" w:rsidRPr="00BD1A3E">
        <w:t xml:space="preserve"> The Lower Maine region will be evaluated when more information about the New England Clea</w:t>
      </w:r>
      <w:r w:rsidR="00B671B4">
        <w:t>n</w:t>
      </w:r>
      <w:r w:rsidR="00BD1A3E" w:rsidRPr="00BD1A3E">
        <w:t xml:space="preserve"> Energy Connect (NECEC) HVDC project</w:t>
      </w:r>
      <w:r w:rsidR="00BD1A3E" w:rsidRPr="00BD1A3E" w:rsidDel="00085BA3">
        <w:t xml:space="preserve"> </w:t>
      </w:r>
      <w:r w:rsidR="00BD1A3E" w:rsidRPr="00BD1A3E">
        <w:t>is known</w:t>
      </w:r>
      <w:r w:rsidR="0050548F">
        <w:t xml:space="preserve"> (refer to Section</w:t>
      </w:r>
      <w:r w:rsidR="00954428">
        <w:t xml:space="preserve">s </w:t>
      </w:r>
      <w:r w:rsidR="00954428">
        <w:fldChar w:fldCharType="begin"/>
      </w:r>
      <w:r w:rsidR="00954428">
        <w:instrText xml:space="preserve"> REF _Ref11050683 \r \h </w:instrText>
      </w:r>
      <w:r w:rsidR="00954428">
        <w:fldChar w:fldCharType="separate"/>
      </w:r>
      <w:r w:rsidR="005D0B73">
        <w:t>8.4</w:t>
      </w:r>
      <w:r w:rsidR="00954428">
        <w:fldChar w:fldCharType="end"/>
      </w:r>
      <w:r w:rsidR="00954428">
        <w:t xml:space="preserve"> and</w:t>
      </w:r>
      <w:r w:rsidR="0050548F">
        <w:t xml:space="preserve"> </w:t>
      </w:r>
      <w:r w:rsidR="0050548F">
        <w:fldChar w:fldCharType="begin"/>
      </w:r>
      <w:r w:rsidR="0050548F">
        <w:instrText xml:space="preserve"> REF _Ref13054996 \r \h </w:instrText>
      </w:r>
      <w:r w:rsidR="0050548F">
        <w:fldChar w:fldCharType="separate"/>
      </w:r>
      <w:r w:rsidR="005D0B73">
        <w:t>10.2</w:t>
      </w:r>
      <w:r w:rsidR="0050548F">
        <w:fldChar w:fldCharType="end"/>
      </w:r>
      <w:r w:rsidR="0050548F">
        <w:t xml:space="preserve">) </w:t>
      </w:r>
      <w:r w:rsidR="00BD1A3E" w:rsidRPr="00BD1A3E">
        <w:t>. The changes to the March 2018 needs assessment scope of work</w:t>
      </w:r>
      <w:r w:rsidR="00BD1A3E">
        <w:t>,</w:t>
      </w:r>
      <w:r w:rsidR="00BD1A3E" w:rsidRPr="00BD1A3E">
        <w:t xml:space="preserve"> reflecting 2029 system conditions for the Upper Maine 2029 </w:t>
      </w:r>
      <w:r w:rsidR="00BD1A3E">
        <w:t>n</w:t>
      </w:r>
      <w:r w:rsidR="00BD1A3E" w:rsidRPr="00BD1A3E">
        <w:t>eeds assessment</w:t>
      </w:r>
      <w:r w:rsidR="00BD1A3E">
        <w:t>,</w:t>
      </w:r>
      <w:r w:rsidR="00BD1A3E" w:rsidRPr="00BD1A3E">
        <w:t xml:space="preserve"> was presented to the PAC in June 2019.</w:t>
      </w:r>
      <w:r w:rsidR="00BD1A3E" w:rsidRPr="00BD1A3E">
        <w:rPr>
          <w:vertAlign w:val="superscript"/>
        </w:rPr>
        <w:footnoteReference w:id="187"/>
      </w:r>
    </w:p>
    <w:p w14:paraId="2D7075E4" w14:textId="77777777" w:rsidR="00B969ED" w:rsidRPr="00B07D57" w:rsidRDefault="00B969ED" w:rsidP="00B07D57">
      <w:pPr>
        <w:pStyle w:val="Heading3"/>
      </w:pPr>
      <w:bookmarkStart w:id="676" w:name="_Ref485733820"/>
      <w:bookmarkStart w:id="677" w:name="_Toc490323051"/>
      <w:bookmarkStart w:id="678" w:name="_Toc12795193"/>
      <w:r w:rsidRPr="00B07D57">
        <w:t>New Hampshire and Vermont Key Study Area</w:t>
      </w:r>
      <w:bookmarkEnd w:id="676"/>
      <w:bookmarkEnd w:id="677"/>
      <w:bookmarkEnd w:id="678"/>
    </w:p>
    <w:p w14:paraId="4E67745C" w14:textId="77777777" w:rsidR="00B969ED" w:rsidRPr="00B969ED" w:rsidRDefault="00B969ED" w:rsidP="00B969ED">
      <w:r w:rsidRPr="00B969ED">
        <w:t>The New Hampshire and Vermont (NH/VT) key study area is for the states of New Hampshire and Vermont.</w:t>
      </w:r>
      <w:r w:rsidR="00851352" w:rsidRPr="00851352">
        <w:rPr>
          <w:rFonts w:asciiTheme="minorHAnsi" w:hAnsiTheme="minorHAnsi"/>
          <w:vertAlign w:val="superscript"/>
        </w:rPr>
        <w:footnoteReference w:id="188"/>
      </w:r>
      <w:r w:rsidRPr="00B969ED">
        <w:t xml:space="preserve"> As a follow up to the New Hampshire/Vermont 20</w:t>
      </w:r>
      <w:r w:rsidRPr="00D1271D">
        <w:t>20 Upgrades, the la</w:t>
      </w:r>
      <w:r w:rsidRPr="00B969ED">
        <w:t xml:space="preserve">test NH/VT needs assessment was completed using a study horizon of 2023. The 2023 needs assessment included updated load and resource assumptions and the retirement of the Vermont Yankee Nuclear Power Station. The 2023 needs assessment was presented to the PAC in March 2014, and the report was published in August </w:t>
      </w:r>
      <w:r w:rsidRPr="005658C2">
        <w:t>2014.</w:t>
      </w:r>
      <w:r w:rsidRPr="005658C2">
        <w:rPr>
          <w:vertAlign w:val="superscript"/>
        </w:rPr>
        <w:footnoteReference w:id="189"/>
      </w:r>
      <w:r w:rsidRPr="00B969ED">
        <w:t xml:space="preserve"> </w:t>
      </w:r>
    </w:p>
    <w:p w14:paraId="71E7C0AA" w14:textId="77777777" w:rsidR="00B969ED" w:rsidRPr="00B969ED" w:rsidRDefault="00B969ED" w:rsidP="00B969ED">
      <w:r w:rsidRPr="00B969ED">
        <w:t xml:space="preserve">The results of the 2023 needs assessment show various time-sensitive thermal and voltage needs on the 115 kV system in New Hampshire and Vermont and high-voltage needs on the 345 kV system at minimum-load levels in New Hampshire. The preferred solution components were for the 115 kV system and included rebuilding a new switching station, rebuilding a line, and adding reactive support to maintain voltage. </w:t>
      </w:r>
    </w:p>
    <w:p w14:paraId="62D73264" w14:textId="77777777" w:rsidR="00B969ED" w:rsidRPr="00B969ED" w:rsidRDefault="00B969ED" w:rsidP="00B969ED">
      <w:r w:rsidRPr="00B969ED">
        <w:t>In early 2017, the 2023 solutions study was suspended, due to numerous study assumptions, inputs and processes changes that occurred in 2017, as discussed above. Taking into account all these changes, a new needs assessment for the New Hampshire area was initiated on June 29, 2017.</w:t>
      </w:r>
      <w:r w:rsidRPr="00B969ED">
        <w:rPr>
          <w:vertAlign w:val="superscript"/>
        </w:rPr>
        <w:footnoteReference w:id="190"/>
      </w:r>
      <w:r w:rsidRPr="00B969ED">
        <w:t xml:space="preserve"> The New Hampshire 2027 needs assessment scope of work and intermediate study files were posted in March 2018, and revised versions of the scope and study files were posted in May 2018 to reflect the latest available load, </w:t>
      </w:r>
      <w:r w:rsidR="00FC0D73">
        <w:t>EE</w:t>
      </w:r>
      <w:r w:rsidRPr="00B969ED">
        <w:t xml:space="preserve">, and </w:t>
      </w:r>
      <w:r w:rsidR="00FC0D73">
        <w:t>PV</w:t>
      </w:r>
      <w:r w:rsidRPr="00B969ED">
        <w:t xml:space="preserve"> forecasts at that time.</w:t>
      </w:r>
      <w:r w:rsidRPr="00B969ED">
        <w:rPr>
          <w:vertAlign w:val="superscript"/>
        </w:rPr>
        <w:footnoteReference w:id="191"/>
      </w:r>
      <w:r w:rsidRPr="00B969ED">
        <w:t xml:space="preserve"> The New Hampshire 2027 needs assessment and </w:t>
      </w:r>
      <w:r w:rsidRPr="00B969ED">
        <w:lastRenderedPageBreak/>
        <w:t>study files were posted in November 2018.</w:t>
      </w:r>
      <w:r w:rsidRPr="00B969ED">
        <w:rPr>
          <w:vertAlign w:val="superscript"/>
        </w:rPr>
        <w:footnoteReference w:id="192"/>
      </w:r>
      <w:r w:rsidRPr="00B969ED">
        <w:t xml:space="preserve"> The results showed time-sensitive voltage needs on the 345 kV and 115 kV systems at peak load and high-voltage needs on the 345 kV system at minimum-load levels in New Hampshire. </w:t>
      </w:r>
    </w:p>
    <w:p w14:paraId="74B5113F" w14:textId="77777777" w:rsidR="00B969ED" w:rsidRPr="00B969ED" w:rsidRDefault="00B969ED" w:rsidP="00B969ED">
      <w:r w:rsidRPr="00B969ED">
        <w:t>The New Hampshire 2027 solutions study began in November 2018 to address the time-sensitive needs identified in the NH 2027 Needs Assessment.</w:t>
      </w:r>
      <w:r w:rsidRPr="00B969ED">
        <w:rPr>
          <w:vertAlign w:val="superscript"/>
        </w:rPr>
        <w:footnoteReference w:id="193"/>
      </w:r>
      <w:r w:rsidRPr="00B969ED">
        <w:t xml:space="preserve"> This effort was suspended in February 2019 due to the change in the load, EE, and PV forecast information.</w:t>
      </w:r>
      <w:r w:rsidRPr="00B969ED">
        <w:rPr>
          <w:vertAlign w:val="superscript"/>
        </w:rPr>
        <w:footnoteReference w:id="194"/>
      </w:r>
      <w:r w:rsidRPr="00B969ED">
        <w:t xml:space="preserve"> The 2019 forecasts and the results of the FCA 13 were used to update the models, and a new need assessment began in May 2019 with the posting of the notice of initiation.</w:t>
      </w:r>
      <w:r w:rsidRPr="00B969ED">
        <w:rPr>
          <w:vertAlign w:val="superscript"/>
        </w:rPr>
        <w:footnoteReference w:id="195"/>
      </w:r>
      <w:r w:rsidRPr="00B969ED">
        <w:t xml:space="preserve"> The changes to the April 2018 scope of work reflecting 2029 system conditions for the NH 2029 needs </w:t>
      </w:r>
      <w:r w:rsidR="00FC0D73">
        <w:t>a</w:t>
      </w:r>
      <w:r w:rsidRPr="00B969ED">
        <w:t>ssessment was presented to the PAC in May 2019.</w:t>
      </w:r>
      <w:r w:rsidRPr="00B969ED">
        <w:rPr>
          <w:vertAlign w:val="superscript"/>
        </w:rPr>
        <w:footnoteReference w:id="196"/>
      </w:r>
      <w:r w:rsidRPr="00B969ED">
        <w:t xml:space="preserve"> </w:t>
      </w:r>
    </w:p>
    <w:p w14:paraId="6163A5CE" w14:textId="77777777" w:rsidR="00B969ED" w:rsidRPr="00B969ED" w:rsidRDefault="00B969ED" w:rsidP="00C07CDB">
      <w:pPr>
        <w:pStyle w:val="Heading3"/>
      </w:pPr>
      <w:bookmarkStart w:id="679" w:name="_Ref486322140"/>
      <w:bookmarkStart w:id="680" w:name="_Toc490323052"/>
      <w:bookmarkStart w:id="681" w:name="_Toc12795194"/>
      <w:r w:rsidRPr="00B969ED">
        <w:t>Eastern Connecticut Key Study Area</w:t>
      </w:r>
      <w:bookmarkEnd w:id="679"/>
      <w:bookmarkEnd w:id="680"/>
      <w:bookmarkEnd w:id="681"/>
    </w:p>
    <w:p w14:paraId="46DCBCDB" w14:textId="77777777" w:rsidR="00B969ED" w:rsidRPr="00B969ED" w:rsidRDefault="00B969ED" w:rsidP="00B969ED">
      <w:r w:rsidRPr="00B969ED">
        <w:t>The Eastern Connecticut (ECT) key study area is the area in the eastern part of Connecticut not covered by the SWCT or GHCC studies.</w:t>
      </w:r>
      <w:r w:rsidR="00851352" w:rsidRPr="005658C2">
        <w:rPr>
          <w:rFonts w:asciiTheme="minorHAnsi" w:eastAsiaTheme="majorEastAsia" w:hAnsiTheme="minorHAnsi" w:cstheme="majorBidi"/>
          <w:bCs/>
          <w:vertAlign w:val="superscript"/>
        </w:rPr>
        <w:footnoteReference w:id="197"/>
      </w:r>
      <w:r w:rsidRPr="00B969ED">
        <w:t xml:space="preserve"> The ECT study area is located outside the western Connecticut import interface and inside the Connecticut import/export interface. The study area also borders part of the New England east–west and west–east interfaces mainly along the Rhode Island border. </w:t>
      </w:r>
    </w:p>
    <w:p w14:paraId="1D46026A" w14:textId="77777777" w:rsidR="00B969ED" w:rsidRPr="00B969ED" w:rsidRDefault="00B969ED" w:rsidP="00B969ED">
      <w:r w:rsidRPr="00B969ED">
        <w:t>The ECT study area is a large load pocket served from the Killingly, Card, and Montville stations and a 115 kV line from Rhode Island. A needs assessment with a study horizon of 2022 was presented to the PAC in May and June 2013, and the report was published in June 2015.</w:t>
      </w:r>
      <w:r w:rsidRPr="00B969ED">
        <w:rPr>
          <w:vertAlign w:val="superscript"/>
        </w:rPr>
        <w:footnoteReference w:id="198"/>
      </w:r>
      <w:r w:rsidRPr="00B969ED">
        <w:t xml:space="preserve"> The results of the 2022 needs assessment showed various time-sensitive needs on the 115 kV and 69 kV portions of the system. </w:t>
      </w:r>
    </w:p>
    <w:p w14:paraId="21D762B8" w14:textId="77777777" w:rsidR="00B969ED" w:rsidRPr="00B969ED" w:rsidRDefault="00B969ED" w:rsidP="00B969ED">
      <w:r w:rsidRPr="00B969ED">
        <w:t xml:space="preserve">A 2022 ECT solutions study began to address the time-sensitive needs found in the 2022 needs assessment, and solution alternatives were presented to </w:t>
      </w:r>
      <w:r w:rsidR="005B3251">
        <w:t xml:space="preserve">the </w:t>
      </w:r>
      <w:r w:rsidRPr="00B969ED">
        <w:t>PAC in September 2016.</w:t>
      </w:r>
      <w:r w:rsidRPr="00B969ED">
        <w:rPr>
          <w:vertAlign w:val="superscript"/>
        </w:rPr>
        <w:footnoteReference w:id="199"/>
      </w:r>
      <w:r w:rsidRPr="00B969ED">
        <w:t xml:space="preserve"> In early 2017, the 2022 solutions study was suspended because numerous study assumptions, inputs, and processes changed in 2017</w:t>
      </w:r>
      <w:r w:rsidR="00AC59A4">
        <w:t>, as described above.</w:t>
      </w:r>
      <w:r w:rsidRPr="00B969ED">
        <w:t xml:space="preserve"> Taking into account all these changes, a new needs assessment began on June 29, 2017, with the posting of the notice of initiation.</w:t>
      </w:r>
      <w:r w:rsidRPr="00B969ED">
        <w:rPr>
          <w:vertAlign w:val="superscript"/>
        </w:rPr>
        <w:footnoteReference w:id="200"/>
      </w:r>
      <w:r w:rsidRPr="00B969ED">
        <w:t xml:space="preserve"> The ECT 2027 scope of work and intermediate study files were posted on March 3, 2018,</w:t>
      </w:r>
      <w:r w:rsidR="00FC0D73">
        <w:t xml:space="preserve"> </w:t>
      </w:r>
      <w:r w:rsidRPr="00B969ED">
        <w:t xml:space="preserve">and the ECT 2027 needs assessment and study </w:t>
      </w:r>
      <w:r w:rsidRPr="00B969ED">
        <w:lastRenderedPageBreak/>
        <w:t>files were posted on May 29, 2018</w:t>
      </w:r>
      <w:r w:rsidR="009E017B">
        <w:t>.</w:t>
      </w:r>
      <w:r w:rsidRPr="00B969ED">
        <w:rPr>
          <w:vertAlign w:val="superscript"/>
        </w:rPr>
        <w:footnoteReference w:id="201"/>
      </w:r>
      <w:r w:rsidRPr="00B969ED">
        <w:t xml:space="preserve"> Like the 2022 needs assessment, the ECT 2027 needs assessment showed various time-sensitive needs on the 115 kV and 69 kV portions of the system.</w:t>
      </w:r>
    </w:p>
    <w:p w14:paraId="5EF2E7E3" w14:textId="77777777" w:rsidR="00B969ED" w:rsidRPr="00B969ED" w:rsidRDefault="00B969ED" w:rsidP="00B969ED">
      <w:r w:rsidRPr="00B969ED">
        <w:t>The ECT 2027 solutions study began in June 2018.</w:t>
      </w:r>
      <w:r w:rsidRPr="00B969ED">
        <w:rPr>
          <w:vertAlign w:val="superscript"/>
        </w:rPr>
        <w:footnoteReference w:id="202"/>
      </w:r>
      <w:r w:rsidRPr="00B969ED">
        <w:t xml:space="preserve"> The 2027 ECT solutions study was near completion when the effort was suspended in February 2019 due to the changes in the load, </w:t>
      </w:r>
      <w:r w:rsidR="00FC0D73">
        <w:t>EE</w:t>
      </w:r>
      <w:r w:rsidRPr="00B969ED">
        <w:t xml:space="preserve">, and </w:t>
      </w:r>
      <w:r w:rsidR="00FC0D73">
        <w:t>PV</w:t>
      </w:r>
      <w:r w:rsidRPr="00B969ED">
        <w:t xml:space="preserve"> forecasts. The </w:t>
      </w:r>
      <w:r w:rsidR="009E017B">
        <w:t xml:space="preserve">draft </w:t>
      </w:r>
      <w:r w:rsidRPr="00B969ED">
        <w:t>2019 forecasts were used to update the models</w:t>
      </w:r>
      <w:r w:rsidR="009E017B">
        <w:t xml:space="preserve"> and study files to form an updated ECT 2029 needs assessment. The changes made between the new ECT 2029 needs assessment and the past ECT 2027 needs assessment were </w:t>
      </w:r>
      <w:r w:rsidRPr="00B969ED">
        <w:t>presented to the PAC in April 2019.</w:t>
      </w:r>
      <w:r w:rsidR="00E503BD">
        <w:rPr>
          <w:rStyle w:val="FootnoteReference"/>
        </w:rPr>
        <w:footnoteReference w:id="203"/>
      </w:r>
      <w:r w:rsidRPr="00B969ED" w:rsidDel="00C36183">
        <w:t xml:space="preserve"> </w:t>
      </w:r>
    </w:p>
    <w:p w14:paraId="27B6CE67" w14:textId="385A1258" w:rsidR="00B969ED" w:rsidRPr="00B969ED" w:rsidRDefault="00B969ED" w:rsidP="00B969ED">
      <w:r w:rsidRPr="00B969ED">
        <w:t xml:space="preserve">A minimum-load assessment for the ECT study area was conducted as part of the SWCT 2027 needs assessment, and no needs were identified in the ECT study area (see Section </w:t>
      </w:r>
      <w:r w:rsidR="00FC0D73">
        <w:fldChar w:fldCharType="begin"/>
      </w:r>
      <w:r w:rsidR="00FC0D73">
        <w:instrText xml:space="preserve"> REF _Ref11865456 \r \h </w:instrText>
      </w:r>
      <w:r w:rsidR="00FC0D73">
        <w:fldChar w:fldCharType="separate"/>
      </w:r>
      <w:r w:rsidR="005D0B73">
        <w:t>5.5.1</w:t>
      </w:r>
      <w:r w:rsidR="00FC0D73">
        <w:fldChar w:fldCharType="end"/>
      </w:r>
      <w:r w:rsidRPr="00B969ED">
        <w:t>).</w:t>
      </w:r>
    </w:p>
    <w:p w14:paraId="2B18FE37" w14:textId="77777777" w:rsidR="00B969ED" w:rsidRPr="00B969ED" w:rsidRDefault="00B969ED" w:rsidP="00C07CDB">
      <w:pPr>
        <w:pStyle w:val="Heading2"/>
      </w:pPr>
      <w:bookmarkStart w:id="682" w:name="_Toc490323053"/>
      <w:bookmarkStart w:id="683" w:name="_Toc12795195"/>
      <w:r w:rsidRPr="00B969ED">
        <w:t>General Need for Future Transmission</w:t>
      </w:r>
      <w:bookmarkEnd w:id="682"/>
      <w:bookmarkEnd w:id="683"/>
    </w:p>
    <w:p w14:paraId="78DD51AE" w14:textId="18C2701F" w:rsidR="00B969ED" w:rsidRPr="00B969ED" w:rsidRDefault="00B969ED" w:rsidP="00B969ED">
      <w:r w:rsidRPr="00B969ED">
        <w:t xml:space="preserve">Since 2002, </w:t>
      </w:r>
      <w:r w:rsidR="00305794">
        <w:t>801</w:t>
      </w:r>
      <w:r w:rsidRPr="00B969ED">
        <w:t xml:space="preserve"> project components have been placed in service across the region to fortify the </w:t>
      </w:r>
      <w:r w:rsidRPr="00C16807">
        <w:t xml:space="preserve">transmission system. In addition, </w:t>
      </w:r>
      <w:r w:rsidR="00C16807" w:rsidRPr="00C16807">
        <w:t>67</w:t>
      </w:r>
      <w:r w:rsidRPr="00C16807">
        <w:t xml:space="preserve"> project components have a status of planned, proposed, or under construction. Overall, the estimated investment in New England to maintain reliability has been $</w:t>
      </w:r>
      <w:r w:rsidR="00305794" w:rsidRPr="00C16807">
        <w:t>10.9</w:t>
      </w:r>
      <w:r w:rsidRPr="00C16807">
        <w:t> billion</w:t>
      </w:r>
      <w:r w:rsidRPr="00B969ED">
        <w:t xml:space="preserve"> </w:t>
      </w:r>
      <w:r w:rsidR="00B378D4">
        <w:t>from</w:t>
      </w:r>
      <w:r w:rsidRPr="00B969ED">
        <w:t xml:space="preserve"> 2002</w:t>
      </w:r>
      <w:r w:rsidR="00305794" w:rsidRPr="00305794">
        <w:t xml:space="preserve"> </w:t>
      </w:r>
      <w:r w:rsidR="00305794">
        <w:t xml:space="preserve">to June 2019, and another </w:t>
      </w:r>
      <w:r w:rsidR="008C68CB">
        <w:t>$1.3</w:t>
      </w:r>
      <w:r w:rsidR="00305794">
        <w:t xml:space="preserve"> billion is planned over the planning horizon</w:t>
      </w:r>
      <w:r w:rsidRPr="00B969ED">
        <w:t>.</w:t>
      </w:r>
      <w:r w:rsidRPr="00B969ED">
        <w:rPr>
          <w:vertAlign w:val="superscript"/>
        </w:rPr>
        <w:footnoteReference w:id="204"/>
      </w:r>
      <w:r w:rsidRPr="00B969ED">
        <w:t xml:space="preserve"> With these system upgrades in place, combined with the changes in assumptions to needs assessments described previously, the need for additional reliability-based transmission upgrades to resolve peak load concerns is expected to decline over the planning horizon. </w:t>
      </w:r>
      <w:r w:rsidRPr="00851352">
        <w:t>(</w:t>
      </w:r>
      <w:r w:rsidRPr="005658C2">
        <w:t xml:space="preserve">See Section </w:t>
      </w:r>
      <w:r w:rsidR="00851352" w:rsidRPr="005658C2">
        <w:fldChar w:fldCharType="begin"/>
      </w:r>
      <w:r w:rsidR="00851352" w:rsidRPr="005658C2">
        <w:instrText xml:space="preserve"> REF _Ref418883457 \r \h </w:instrText>
      </w:r>
      <w:r w:rsidR="00851352">
        <w:instrText xml:space="preserve"> \* MERGEFORMAT </w:instrText>
      </w:r>
      <w:r w:rsidR="00851352" w:rsidRPr="005658C2">
        <w:fldChar w:fldCharType="separate"/>
      </w:r>
      <w:r w:rsidR="005D0B73">
        <w:t>3.4</w:t>
      </w:r>
      <w:r w:rsidR="00851352" w:rsidRPr="005658C2">
        <w:fldChar w:fldCharType="end"/>
      </w:r>
      <w:r w:rsidRPr="005658C2">
        <w:t>, which shows a decline of net peak-load projections over the 10-year planning horizon.)</w:t>
      </w:r>
      <w:r w:rsidRPr="00B969ED">
        <w:t xml:space="preserve"> Conversely, generation retirements and studies reviewing system performance, accounting for the integratio</w:t>
      </w:r>
      <w:r w:rsidRPr="00851352">
        <w:t>n o</w:t>
      </w:r>
      <w:r w:rsidRPr="005658C2">
        <w:t xml:space="preserve">f </w:t>
      </w:r>
      <w:r w:rsidR="00851352" w:rsidRPr="005658C2">
        <w:t>inverter-based</w:t>
      </w:r>
      <w:r w:rsidRPr="00B969ED">
        <w:t xml:space="preserve"> resources </w:t>
      </w:r>
      <w:r w:rsidR="007A61AF">
        <w:t xml:space="preserve">(IBRs) </w:t>
      </w:r>
      <w:r w:rsidRPr="00B969ED">
        <w:t xml:space="preserve">and improved load modeling, may drive the need for additional </w:t>
      </w:r>
      <w:r w:rsidRPr="00851352">
        <w:t xml:space="preserve">reliability-based transmission upgrades (see </w:t>
      </w:r>
      <w:r w:rsidR="00851352" w:rsidRPr="00851352">
        <w:fldChar w:fldCharType="begin"/>
      </w:r>
      <w:r w:rsidR="00851352" w:rsidRPr="00851352">
        <w:instrText xml:space="preserve"> REF _Ref11867308 \r \h </w:instrText>
      </w:r>
      <w:r w:rsidR="00851352">
        <w:instrText xml:space="preserve"> \* MERGEFORMAT </w:instrText>
      </w:r>
      <w:r w:rsidR="00851352" w:rsidRPr="00851352">
        <w:fldChar w:fldCharType="separate"/>
      </w:r>
      <w:r w:rsidR="005D0B73">
        <w:t>Section 9</w:t>
      </w:r>
      <w:r w:rsidR="00851352" w:rsidRPr="00851352">
        <w:fldChar w:fldCharType="end"/>
      </w:r>
      <w:r w:rsidRPr="00851352">
        <w:t>).</w:t>
      </w:r>
      <w:r w:rsidR="007A61AF">
        <w:rPr>
          <w:rStyle w:val="FootnoteReference"/>
        </w:rPr>
        <w:footnoteReference w:id="205"/>
      </w:r>
    </w:p>
    <w:p w14:paraId="5D9367E9" w14:textId="77777777" w:rsidR="00B969ED" w:rsidRPr="00B969ED" w:rsidRDefault="00B969ED" w:rsidP="00C07CDB">
      <w:pPr>
        <w:pStyle w:val="Heading2"/>
      </w:pPr>
      <w:bookmarkStart w:id="684" w:name="_Toc490323054"/>
      <w:bookmarkStart w:id="685" w:name="_Ref12536461"/>
      <w:bookmarkStart w:id="686" w:name="_Toc12795196"/>
      <w:r w:rsidRPr="00B969ED">
        <w:t>New England Asset Management</w:t>
      </w:r>
      <w:bookmarkEnd w:id="684"/>
      <w:bookmarkEnd w:id="685"/>
      <w:bookmarkEnd w:id="686"/>
    </w:p>
    <w:p w14:paraId="7B063E77" w14:textId="77777777" w:rsidR="00B969ED" w:rsidRPr="00B969ED" w:rsidRDefault="00B969ED" w:rsidP="00B969ED">
      <w:r w:rsidRPr="00B969ED">
        <w:t xml:space="preserve">Because of the general age of the transmission system in New England, many assets across the system are reaching their end of life and are requiring significant refurbishment. Spending to address these concerns </w:t>
      </w:r>
      <w:r w:rsidRPr="005678F8">
        <w:t xml:space="preserve">has increased </w:t>
      </w:r>
      <w:r w:rsidRPr="00851352">
        <w:t>significantly</w:t>
      </w:r>
      <w:r w:rsidRPr="005678F8">
        <w:t xml:space="preserve"> over the past few years. In addition, enhancements to existing</w:t>
      </w:r>
      <w:r w:rsidRPr="00B969ED">
        <w:t xml:space="preserve"> substations are </w:t>
      </w:r>
      <w:r w:rsidRPr="00B969ED">
        <w:lastRenderedPageBreak/>
        <w:t>needed to meet NERC’s physical security standards.</w:t>
      </w:r>
      <w:r w:rsidRPr="00B969ED">
        <w:rPr>
          <w:vertAlign w:val="superscript"/>
        </w:rPr>
        <w:footnoteReference w:id="206"/>
      </w:r>
      <w:r w:rsidRPr="00B969ED">
        <w:t xml:space="preserve"> The New England Asset Management Key Study Area is a repository to store all asset-condition-related PAC presentations.</w:t>
      </w:r>
      <w:r w:rsidR="00851352" w:rsidRPr="005658C2">
        <w:rPr>
          <w:rFonts w:asciiTheme="minorHAnsi" w:eastAsiaTheme="majorEastAsia" w:hAnsiTheme="minorHAnsi" w:cstheme="majorBidi"/>
          <w:bCs/>
          <w:vertAlign w:val="superscript"/>
        </w:rPr>
        <w:footnoteReference w:id="207"/>
      </w:r>
    </w:p>
    <w:p w14:paraId="39975FDB" w14:textId="7CC97AF6" w:rsidR="00B969ED" w:rsidRPr="00B969ED" w:rsidRDefault="00B969ED" w:rsidP="00B969ED">
      <w:r w:rsidRPr="00B969ED">
        <w:t>In 2016, the ISO created a New England Asset-Condition Update List to capture all asset-condition PAC presentations that occurred after May 18, 2015. The ISO updates the New England Asset</w:t>
      </w:r>
      <w:r w:rsidR="002A2C06">
        <w:t>-</w:t>
      </w:r>
      <w:r w:rsidRPr="00B969ED">
        <w:t xml:space="preserve">Condition Update List three times per year along with the </w:t>
      </w:r>
      <w:r w:rsidRPr="00B969ED">
        <w:rPr>
          <w:i/>
        </w:rPr>
        <w:t>RSP Project List</w:t>
      </w:r>
      <w:r w:rsidRPr="00B969ED">
        <w:t>. Since the New England Asset</w:t>
      </w:r>
      <w:r w:rsidR="002A2C06">
        <w:t>-</w:t>
      </w:r>
      <w:r w:rsidRPr="00B969ED">
        <w:t>Condition Update List has been creat</w:t>
      </w:r>
      <w:r w:rsidRPr="00C16807">
        <w:t xml:space="preserve">ed, </w:t>
      </w:r>
      <w:r w:rsidR="00D94678" w:rsidRPr="00C16807">
        <w:t xml:space="preserve">163 </w:t>
      </w:r>
      <w:r w:rsidRPr="00C16807">
        <w:t>projects have been added to the list for a total of $</w:t>
      </w:r>
      <w:r w:rsidR="00D94678" w:rsidRPr="00C16807">
        <w:t>2.65</w:t>
      </w:r>
      <w:r w:rsidRPr="00C16807">
        <w:t xml:space="preserve"> billi</w:t>
      </w:r>
      <w:r w:rsidRPr="005658C2">
        <w:t>on</w:t>
      </w:r>
      <w:r w:rsidRPr="00B969ED">
        <w:t xml:space="preserve"> as of the June 2019 update. Of t</w:t>
      </w:r>
      <w:r w:rsidRPr="00297A68">
        <w:t xml:space="preserve">he </w:t>
      </w:r>
      <w:r w:rsidR="00D94678" w:rsidRPr="00C16807">
        <w:t>163</w:t>
      </w:r>
      <w:r w:rsidRPr="00C16807">
        <w:t xml:space="preserve"> projects, </w:t>
      </w:r>
      <w:r w:rsidR="00D94678" w:rsidRPr="00C16807">
        <w:t>63</w:t>
      </w:r>
      <w:r w:rsidRPr="00C16807">
        <w:t xml:space="preserve"> are in service for a total of $</w:t>
      </w:r>
      <w:r w:rsidR="00D94678" w:rsidRPr="00C16807">
        <w:t>849.2</w:t>
      </w:r>
      <w:r w:rsidRPr="00C16807">
        <w:t xml:space="preserve"> million. The rest of the projects are in the proposed, planned or under construction status.</w:t>
      </w:r>
      <w:r w:rsidRPr="00C16807">
        <w:rPr>
          <w:vertAlign w:val="superscript"/>
        </w:rPr>
        <w:footnoteReference w:id="208"/>
      </w:r>
    </w:p>
    <w:p w14:paraId="7F451B83" w14:textId="77777777" w:rsidR="00B969ED" w:rsidRPr="00B969ED" w:rsidRDefault="00B969ED" w:rsidP="00C07CDB">
      <w:pPr>
        <w:pStyle w:val="Heading2"/>
      </w:pPr>
      <w:bookmarkStart w:id="687" w:name="_Toc490323055"/>
      <w:bookmarkStart w:id="688" w:name="_Toc12795197"/>
      <w:r w:rsidRPr="00B969ED">
        <w:t>Local System Plan</w:t>
      </w:r>
      <w:bookmarkEnd w:id="687"/>
      <w:bookmarkEnd w:id="688"/>
    </w:p>
    <w:p w14:paraId="193D7152" w14:textId="77777777" w:rsidR="00B969ED" w:rsidRPr="00B969ED" w:rsidRDefault="00B969ED" w:rsidP="00B969ED">
      <w:r w:rsidRPr="00B969ED">
        <w:t xml:space="preserve">The Local System Plan (LSP) process is described in </w:t>
      </w:r>
      <w:r w:rsidR="00F82AEA">
        <w:t xml:space="preserve">the OATT, Attachment K, </w:t>
      </w:r>
      <w:r w:rsidRPr="00B969ED">
        <w:t>Appendix 1. In general, LSP projects are needed to maintain the reliability of the nonpool transmission facility (non-PTF) system. While LSP projects are designed to serve the needs of the non-PTFs, they typically involve PTF components, which are not eligible for cost regionalization. Information regarding LSP projects is provided to stakeholders through the Transmission Owner Planning Advisory Committee (TOPAC) meetings.</w:t>
      </w:r>
      <w:r w:rsidRPr="00B969ED">
        <w:rPr>
          <w:vertAlign w:val="superscript"/>
        </w:rPr>
        <w:footnoteReference w:id="209"/>
      </w:r>
      <w:r w:rsidRPr="00B969ED">
        <w:t xml:space="preserve"> </w:t>
      </w:r>
    </w:p>
    <w:p w14:paraId="65310CA9" w14:textId="77777777" w:rsidR="00B969ED" w:rsidRPr="00B969ED" w:rsidRDefault="00B969ED" w:rsidP="00C07CDB">
      <w:pPr>
        <w:pStyle w:val="Heading2"/>
      </w:pPr>
      <w:bookmarkStart w:id="689" w:name="_Ref485720285"/>
      <w:bookmarkStart w:id="690" w:name="_Toc490323056"/>
      <w:bookmarkStart w:id="691" w:name="_Toc12795198"/>
      <w:r w:rsidRPr="00B969ED">
        <w:t>RSP Project List and Projected Transmission Project Costs</w:t>
      </w:r>
      <w:bookmarkEnd w:id="646"/>
      <w:bookmarkEnd w:id="647"/>
      <w:bookmarkEnd w:id="689"/>
      <w:bookmarkEnd w:id="690"/>
      <w:bookmarkEnd w:id="691"/>
    </w:p>
    <w:p w14:paraId="25BFA03D" w14:textId="1321D257" w:rsidR="00B969ED" w:rsidRPr="00B969ED" w:rsidRDefault="00B969ED" w:rsidP="00B969ED">
      <w:r w:rsidRPr="00B969ED">
        <w:t xml:space="preserve">The </w:t>
      </w:r>
      <w:r w:rsidRPr="00B969ED">
        <w:rPr>
          <w:i/>
        </w:rPr>
        <w:t xml:space="preserve">RSP Project List </w:t>
      </w:r>
      <w:r w:rsidRPr="00B969ED">
        <w:t>is a summary of needed transmission projects for the region and includes information on project type, the primary owner, the transmission upgrades and their status, and the estimated cost of the PTF portion of the project.</w:t>
      </w:r>
      <w:r w:rsidRPr="00B969ED">
        <w:rPr>
          <w:vertAlign w:val="superscript"/>
        </w:rPr>
        <w:footnoteReference w:id="210"/>
      </w:r>
      <w:r w:rsidRPr="00B969ED">
        <w:t xml:space="preserve"> The </w:t>
      </w:r>
      <w:r w:rsidRPr="00B969ED">
        <w:rPr>
          <w:i/>
        </w:rPr>
        <w:t>RSP Project List</w:t>
      </w:r>
      <w:r w:rsidRPr="00B969ED">
        <w:t xml:space="preserve"> includes the status of reliability transmission upgrades, market-efficiency transmission upgrades, elective transmission upgrades, and generator-interconnection transmission upgrades (described in Section </w:t>
      </w:r>
      <w:r w:rsidRPr="00B969ED">
        <w:fldChar w:fldCharType="begin"/>
      </w:r>
      <w:r w:rsidRPr="00B969ED">
        <w:instrText xml:space="preserve"> REF _Ref418856844 \r \h  \* MERGEFORMAT </w:instrText>
      </w:r>
      <w:r w:rsidRPr="00B969ED">
        <w:fldChar w:fldCharType="separate"/>
      </w:r>
      <w:r w:rsidR="005D0B73">
        <w:t>2.1.1</w:t>
      </w:r>
      <w:r w:rsidRPr="00B969ED">
        <w:fldChar w:fldCharType="end"/>
      </w:r>
      <w:r w:rsidRPr="000D63CF">
        <w:t xml:space="preserve">). The list also </w:t>
      </w:r>
      <w:r w:rsidR="00DC195F" w:rsidRPr="000D63CF">
        <w:t xml:space="preserve">would </w:t>
      </w:r>
      <w:r w:rsidRPr="000D63CF">
        <w:t xml:space="preserve">include public policy transmission upgrades, </w:t>
      </w:r>
      <w:r w:rsidR="00DC195F" w:rsidRPr="000D63CF">
        <w:t>although</w:t>
      </w:r>
      <w:r w:rsidRPr="000D63CF">
        <w:t xml:space="preserve"> none have been identified to date. The ISO updates this list at least three times per year. Additional information on the project classifications included in the </w:t>
      </w:r>
      <w:r w:rsidRPr="000D63CF">
        <w:rPr>
          <w:i/>
        </w:rPr>
        <w:t>RSP Project List</w:t>
      </w:r>
      <w:r w:rsidRPr="000D63CF">
        <w:t xml:space="preserve"> is available in the </w:t>
      </w:r>
      <w:r w:rsidRPr="000D63CF">
        <w:rPr>
          <w:i/>
        </w:rPr>
        <w:t>Transmission Planning Process Guide</w:t>
      </w:r>
      <w:r w:rsidRPr="000D63CF">
        <w:t>.</w:t>
      </w:r>
      <w:r w:rsidRPr="00B969ED">
        <w:t xml:space="preserve"> </w:t>
      </w:r>
    </w:p>
    <w:p w14:paraId="43730CC4" w14:textId="77777777" w:rsidR="00B969ED" w:rsidRPr="00B969ED" w:rsidRDefault="00B969ED" w:rsidP="00B969ED">
      <w:r w:rsidRPr="00B969ED">
        <w:t>The ISO regularly updates the PAC on reliability transmission upgrade (RTU) and market-efficiency transmission upgrade (METU) (and</w:t>
      </w:r>
      <w:r w:rsidR="005678F8">
        <w:t>, as appropriate,</w:t>
      </w:r>
      <w:r w:rsidR="00A474D0">
        <w:t xml:space="preserve"> </w:t>
      </w:r>
      <w:r w:rsidRPr="00B969ED">
        <w:t>public policy transmission upgrade; PPTU) study schedules, scopes of work, assumptions, draft and final results, and project costs.</w:t>
      </w:r>
      <w:r w:rsidRPr="00B969ED">
        <w:rPr>
          <w:vertAlign w:val="superscript"/>
        </w:rPr>
        <w:footnoteReference w:id="211"/>
      </w:r>
      <w:r w:rsidRPr="00B969ED">
        <w:t xml:space="preserve"> Projects are </w:t>
      </w:r>
      <w:r w:rsidRPr="00B969ED">
        <w:lastRenderedPageBreak/>
        <w:t xml:space="preserve">considered part of the Regional System Plan consistent with their status and are subject to transmission cost allocation </w:t>
      </w:r>
      <w:r w:rsidR="00DC195F">
        <w:t xml:space="preserve">(TCA) </w:t>
      </w:r>
      <w:r w:rsidRPr="00B969ED">
        <w:t xml:space="preserve">for the region. RSP19 incorporates information from the June 2019 </w:t>
      </w:r>
      <w:r w:rsidRPr="00B969ED">
        <w:rPr>
          <w:i/>
        </w:rPr>
        <w:t>RSP Project List.</w:t>
      </w:r>
      <w:r w:rsidRPr="00B969ED">
        <w:t xml:space="preserve"> </w:t>
      </w:r>
    </w:p>
    <w:p w14:paraId="2FBD956B" w14:textId="77777777" w:rsidR="00B969ED" w:rsidRPr="00B969ED" w:rsidRDefault="00B969ED" w:rsidP="00B969ED">
      <w:r w:rsidRPr="00B969ED">
        <w:t xml:space="preserve">This section discusses RTUs underway and their costs and the status of the ETUs in the region. It also explains why no market-efficiency-related transmission upgrades have been needed and provides information on several transmission upgrades developed and paid for by generator developers. </w:t>
      </w:r>
    </w:p>
    <w:p w14:paraId="1719F806" w14:textId="77777777" w:rsidR="00B969ED" w:rsidRPr="00B07D57" w:rsidRDefault="00B969ED" w:rsidP="00B07D57">
      <w:pPr>
        <w:pStyle w:val="Heading3"/>
      </w:pPr>
      <w:bookmarkStart w:id="692" w:name="_Toc429063421"/>
      <w:bookmarkStart w:id="693" w:name="_Toc490323057"/>
      <w:bookmarkStart w:id="694" w:name="_Toc12795199"/>
      <w:r w:rsidRPr="00B07D57">
        <w:t>Reliability Transmission Upgrades</w:t>
      </w:r>
      <w:bookmarkEnd w:id="692"/>
      <w:bookmarkEnd w:id="693"/>
      <w:bookmarkEnd w:id="694"/>
    </w:p>
    <w:p w14:paraId="5A4CC2F6" w14:textId="682BFCAE" w:rsidR="00055306" w:rsidRPr="00055306" w:rsidRDefault="00B969ED" w:rsidP="005678F8">
      <w:pPr>
        <w:spacing w:after="0"/>
        <w:rPr>
          <w:rFonts w:ascii="Times New Roman" w:eastAsia="Times New Roman" w:hAnsi="Times New Roman"/>
          <w:sz w:val="24"/>
          <w:szCs w:val="24"/>
        </w:rPr>
      </w:pPr>
      <w:r w:rsidRPr="00B969ED">
        <w:t xml:space="preserve">As of June 2019, the total estimated cost of transmission upgrades—proposed, planned, and under construction—was </w:t>
      </w:r>
      <w:r w:rsidRPr="002A2C06">
        <w:t>approximately $</w:t>
      </w:r>
      <w:r w:rsidR="00BD1ABD" w:rsidRPr="002A2C06">
        <w:t>1.3</w:t>
      </w:r>
      <w:r w:rsidRPr="002A2C06">
        <w:t xml:space="preserve"> billion</w:t>
      </w:r>
      <w:r w:rsidRPr="000E39C0">
        <w:t>,</w:t>
      </w:r>
      <w:r w:rsidRPr="00B969ED">
        <w:t xml:space="preserve"> as shown in </w:t>
      </w:r>
      <w:r w:rsidRPr="00B969ED">
        <w:fldChar w:fldCharType="begin"/>
      </w:r>
      <w:r w:rsidRPr="00B969ED">
        <w:instrText xml:space="preserve"> REF _Ref419567319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1</w:t>
      </w:r>
      <w:r w:rsidRPr="00B969ED">
        <w:fldChar w:fldCharType="end"/>
      </w:r>
      <w:r w:rsidRPr="00B969ED">
        <w:t>.</w:t>
      </w:r>
      <w:r w:rsidR="00055306">
        <w:t xml:space="preserve"> </w:t>
      </w:r>
      <w:r w:rsidR="00055306" w:rsidRPr="00055306">
        <w:t>The ISO maintains a spreadsheet</w:t>
      </w:r>
      <w:r w:rsidR="00DC195F">
        <w:t xml:space="preserve"> </w:t>
      </w:r>
      <w:r w:rsidR="00055306" w:rsidRPr="00055306">
        <w:t>that lists all projects wh</w:t>
      </w:r>
      <w:r w:rsidR="00055306" w:rsidRPr="00D20C0F">
        <w:t xml:space="preserve">ere a </w:t>
      </w:r>
      <w:r w:rsidR="00055306" w:rsidRPr="005658C2">
        <w:t>TCA</w:t>
      </w:r>
      <w:r w:rsidR="00055306" w:rsidRPr="00D20C0F">
        <w:t xml:space="preserve"> ap</w:t>
      </w:r>
      <w:r w:rsidR="00055306" w:rsidRPr="00055306">
        <w:t xml:space="preserve">plication has been submitted and identifies those costs </w:t>
      </w:r>
      <w:r w:rsidR="005678F8">
        <w:t xml:space="preserve">the ISO </w:t>
      </w:r>
      <w:r w:rsidR="00055306" w:rsidRPr="00055306">
        <w:t>deemed as localized in accordance with Schedule 12C of the OATT.</w:t>
      </w:r>
      <w:r w:rsidR="005678F8" w:rsidRPr="00055306">
        <w:rPr>
          <w:vertAlign w:val="superscript"/>
        </w:rPr>
        <w:footnoteReference w:id="212"/>
      </w:r>
    </w:p>
    <w:p w14:paraId="4DE04DD4" w14:textId="77777777" w:rsidR="00B969ED" w:rsidRPr="00B969ED" w:rsidRDefault="00B969ED" w:rsidP="00B969ED"/>
    <w:p w14:paraId="4BCC52B8" w14:textId="4702AA40" w:rsidR="001E6E4E" w:rsidRDefault="00B969ED" w:rsidP="00184B7E">
      <w:pPr>
        <w:keepNext/>
        <w:keepLines/>
        <w:spacing w:after="120" w:line="240" w:lineRule="auto"/>
        <w:ind w:left="547" w:right="547"/>
        <w:jc w:val="center"/>
        <w:rPr>
          <w:rFonts w:asciiTheme="minorHAnsi" w:eastAsia="Times New Roman" w:hAnsiTheme="minorHAnsi"/>
          <w:b/>
          <w:szCs w:val="18"/>
        </w:rPr>
      </w:pPr>
      <w:bookmarkStart w:id="695" w:name="_Ref419567319"/>
      <w:bookmarkStart w:id="696" w:name="_Toc429063569"/>
      <w:bookmarkStart w:id="697" w:name="_Toc491244014"/>
      <w:bookmarkStart w:id="698" w:name="_Toc12795342"/>
      <w:r w:rsidRPr="006A0FFF">
        <w:rPr>
          <w:rFonts w:ascii="Calibri" w:hAnsi="Calibri"/>
          <w:b/>
          <w:bCs/>
          <w:szCs w:val="18"/>
        </w:rPr>
        <w:lastRenderedPageBreak/>
        <w:t xml:space="preserve">Table </w:t>
      </w:r>
      <w:r w:rsidR="0082639A" w:rsidRPr="00A364CB">
        <w:rPr>
          <w:rFonts w:ascii="Calibri" w:hAnsi="Calibri"/>
          <w:b/>
          <w:bCs/>
          <w:szCs w:val="18"/>
        </w:rPr>
        <w:fldChar w:fldCharType="begin"/>
      </w:r>
      <w:r w:rsidR="0082639A" w:rsidRPr="006A0FFF">
        <w:rPr>
          <w:rFonts w:ascii="Calibri" w:hAnsi="Calibri"/>
          <w:b/>
          <w:bCs/>
          <w:szCs w:val="18"/>
        </w:rPr>
        <w:instrText xml:space="preserve"> STYLEREF 1 \s </w:instrText>
      </w:r>
      <w:r w:rsidR="0082639A" w:rsidRPr="00A364CB">
        <w:rPr>
          <w:rFonts w:ascii="Calibri" w:hAnsi="Calibri"/>
          <w:b/>
          <w:bCs/>
          <w:szCs w:val="18"/>
        </w:rPr>
        <w:fldChar w:fldCharType="separate"/>
      </w:r>
      <w:r w:rsidR="005D0B73">
        <w:rPr>
          <w:rFonts w:ascii="Calibri" w:hAnsi="Calibri"/>
          <w:b/>
          <w:bCs/>
          <w:noProof/>
          <w:szCs w:val="18"/>
        </w:rPr>
        <w:t>5</w:t>
      </w:r>
      <w:r w:rsidR="0082639A" w:rsidRPr="00A364CB">
        <w:rPr>
          <w:rFonts w:ascii="Calibri" w:hAnsi="Calibri"/>
          <w:b/>
          <w:bCs/>
          <w:szCs w:val="18"/>
        </w:rPr>
        <w:fldChar w:fldCharType="end"/>
      </w:r>
      <w:r w:rsidR="0082639A" w:rsidRPr="006A0FFF">
        <w:rPr>
          <w:rFonts w:ascii="Calibri" w:hAnsi="Calibri"/>
          <w:b/>
          <w:bCs/>
          <w:szCs w:val="18"/>
        </w:rPr>
        <w:noBreakHyphen/>
      </w:r>
      <w:r w:rsidR="0082639A" w:rsidRPr="00A364CB">
        <w:rPr>
          <w:rFonts w:ascii="Calibri" w:hAnsi="Calibri"/>
          <w:b/>
          <w:bCs/>
          <w:szCs w:val="18"/>
        </w:rPr>
        <w:fldChar w:fldCharType="begin"/>
      </w:r>
      <w:r w:rsidR="0082639A" w:rsidRPr="006A0FFF">
        <w:rPr>
          <w:rFonts w:ascii="Calibri" w:hAnsi="Calibri"/>
          <w:b/>
          <w:bCs/>
          <w:szCs w:val="18"/>
        </w:rPr>
        <w:instrText xml:space="preserve"> SEQ Table \* ARABIC \s 1 </w:instrText>
      </w:r>
      <w:r w:rsidR="0082639A" w:rsidRPr="00A364CB">
        <w:rPr>
          <w:rFonts w:ascii="Calibri" w:hAnsi="Calibri"/>
          <w:b/>
          <w:bCs/>
          <w:szCs w:val="18"/>
        </w:rPr>
        <w:fldChar w:fldCharType="separate"/>
      </w:r>
      <w:r w:rsidR="005D0B73">
        <w:rPr>
          <w:rFonts w:ascii="Calibri" w:hAnsi="Calibri"/>
          <w:b/>
          <w:bCs/>
          <w:noProof/>
          <w:szCs w:val="18"/>
        </w:rPr>
        <w:t>1</w:t>
      </w:r>
      <w:r w:rsidR="0082639A" w:rsidRPr="00A364CB">
        <w:rPr>
          <w:rFonts w:ascii="Calibri" w:hAnsi="Calibri"/>
          <w:b/>
          <w:bCs/>
          <w:szCs w:val="18"/>
        </w:rPr>
        <w:fldChar w:fldCharType="end"/>
      </w:r>
      <w:bookmarkEnd w:id="695"/>
      <w:r w:rsidRPr="006A0FFF">
        <w:rPr>
          <w:rFonts w:ascii="Calibri" w:hAnsi="Calibri"/>
          <w:b/>
          <w:bCs/>
          <w:szCs w:val="18"/>
        </w:rPr>
        <w:br/>
      </w:r>
      <w:r w:rsidRPr="006A0FFF">
        <w:rPr>
          <w:rFonts w:asciiTheme="minorHAnsi" w:eastAsia="Times New Roman" w:hAnsiTheme="minorHAnsi"/>
          <w:b/>
          <w:bCs/>
        </w:rPr>
        <w:t>Estimated C</w:t>
      </w:r>
      <w:r w:rsidRPr="006A0FFF">
        <w:rPr>
          <w:rFonts w:asciiTheme="minorHAnsi" w:eastAsia="Times New Roman" w:hAnsiTheme="minorHAnsi"/>
          <w:b/>
          <w:szCs w:val="18"/>
        </w:rPr>
        <w:t xml:space="preserve">ost of Reliability Projects as of </w:t>
      </w:r>
      <w:r w:rsidRPr="00B31FEF">
        <w:rPr>
          <w:rFonts w:asciiTheme="minorHAnsi" w:eastAsia="Times New Roman" w:hAnsiTheme="minorHAnsi"/>
          <w:b/>
          <w:szCs w:val="18"/>
        </w:rPr>
        <w:t>June</w:t>
      </w:r>
      <w:r w:rsidRPr="00184B7E">
        <w:rPr>
          <w:rFonts w:asciiTheme="minorHAnsi" w:eastAsia="Times New Roman" w:hAnsiTheme="minorHAnsi"/>
          <w:b/>
          <w:bCs/>
        </w:rPr>
        <w:t xml:space="preserve"> 201</w:t>
      </w:r>
      <w:r w:rsidR="006A0FFF" w:rsidRPr="00184B7E">
        <w:rPr>
          <w:rFonts w:asciiTheme="minorHAnsi" w:eastAsia="Times New Roman" w:hAnsiTheme="minorHAnsi"/>
          <w:b/>
          <w:bCs/>
        </w:rPr>
        <w:t>9</w:t>
      </w:r>
      <w:r w:rsidRPr="006A0FFF">
        <w:rPr>
          <w:rFonts w:asciiTheme="minorHAnsi" w:eastAsia="Times New Roman" w:hAnsiTheme="minorHAnsi"/>
          <w:b/>
          <w:szCs w:val="18"/>
        </w:rPr>
        <w:t xml:space="preserve"> Plan Update (Million $)</w:t>
      </w:r>
      <w:bookmarkEnd w:id="696"/>
      <w:bookmarkEnd w:id="697"/>
      <w:bookmarkEnd w:id="69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B969ED" w:rsidRPr="00B969ED" w14:paraId="09AA4569" w14:textId="77777777" w:rsidTr="004C7089">
        <w:trPr>
          <w:trHeight w:val="500"/>
          <w:jc w:val="center"/>
        </w:trPr>
        <w:tc>
          <w:tcPr>
            <w:tcW w:w="6495" w:type="dxa"/>
            <w:vMerge w:val="restart"/>
            <w:shd w:val="clear" w:color="auto" w:fill="1795D2" w:themeFill="accent1"/>
            <w:noWrap/>
            <w:tcMar>
              <w:top w:w="14" w:type="dxa"/>
              <w:left w:w="115" w:type="dxa"/>
              <w:bottom w:w="14" w:type="dxa"/>
              <w:right w:w="115" w:type="dxa"/>
            </w:tcMar>
            <w:vAlign w:val="center"/>
            <w:hideMark/>
          </w:tcPr>
          <w:p w14:paraId="788E4717" w14:textId="77777777"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Projects</w:t>
            </w:r>
          </w:p>
        </w:tc>
        <w:tc>
          <w:tcPr>
            <w:tcW w:w="2174" w:type="dxa"/>
            <w:vMerge w:val="restart"/>
            <w:shd w:val="clear" w:color="auto" w:fill="1795D2" w:themeFill="accent1"/>
            <w:tcMar>
              <w:top w:w="14" w:type="dxa"/>
              <w:left w:w="115" w:type="dxa"/>
              <w:bottom w:w="14" w:type="dxa"/>
              <w:right w:w="115" w:type="dxa"/>
            </w:tcMar>
            <w:vAlign w:val="center"/>
            <w:hideMark/>
          </w:tcPr>
          <w:p w14:paraId="054A2CED" w14:textId="77777777" w:rsidR="00B969ED" w:rsidRPr="00B969ED" w:rsidRDefault="00B969ED" w:rsidP="00B969ED">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Project Costs</w:t>
            </w:r>
            <w:r w:rsidRPr="00B969ED">
              <w:rPr>
                <w:rFonts w:asciiTheme="minorHAnsi" w:eastAsia="Times New Roman" w:hAnsiTheme="minorHAnsi" w:cs="Arial"/>
                <w:b/>
                <w:bCs/>
                <w:color w:val="FFFFFF" w:themeColor="background1"/>
                <w:sz w:val="18"/>
                <w:szCs w:val="18"/>
              </w:rPr>
              <w:br/>
              <w:t xml:space="preserve"> (millions of $)</w:t>
            </w:r>
            <w:r w:rsidRPr="00B969ED">
              <w:rPr>
                <w:rFonts w:asciiTheme="minorHAnsi" w:eastAsia="Times New Roman" w:hAnsiTheme="minorHAnsi"/>
                <w:b/>
                <w:bCs/>
                <w:color w:val="FFFFFF" w:themeColor="background1"/>
                <w:vertAlign w:val="superscript"/>
              </w:rPr>
              <w:t>(a)</w:t>
            </w:r>
          </w:p>
        </w:tc>
      </w:tr>
      <w:tr w:rsidR="00B969ED" w:rsidRPr="00B969ED" w14:paraId="75E6A5BA" w14:textId="77777777" w:rsidTr="004C7089">
        <w:trPr>
          <w:trHeight w:val="380"/>
          <w:jc w:val="center"/>
        </w:trPr>
        <w:tc>
          <w:tcPr>
            <w:tcW w:w="6495" w:type="dxa"/>
            <w:vMerge/>
            <w:shd w:val="clear" w:color="auto" w:fill="1795D2" w:themeFill="accent1"/>
            <w:tcMar>
              <w:top w:w="14" w:type="dxa"/>
              <w:left w:w="115" w:type="dxa"/>
              <w:bottom w:w="14" w:type="dxa"/>
              <w:right w:w="115" w:type="dxa"/>
            </w:tcMar>
            <w:vAlign w:val="center"/>
            <w:hideMark/>
          </w:tcPr>
          <w:p w14:paraId="6435814B" w14:textId="77777777"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1795D2" w:themeFill="accent1"/>
            <w:tcMar>
              <w:top w:w="14" w:type="dxa"/>
              <w:left w:w="115" w:type="dxa"/>
              <w:bottom w:w="14" w:type="dxa"/>
              <w:right w:w="115" w:type="dxa"/>
            </w:tcMar>
            <w:vAlign w:val="center"/>
            <w:hideMark/>
          </w:tcPr>
          <w:p w14:paraId="73AE0444" w14:textId="77777777"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rPr>
            </w:pPr>
          </w:p>
        </w:tc>
      </w:tr>
      <w:tr w:rsidR="00B969ED" w:rsidRPr="00B969ED" w14:paraId="7DCF9BA4" w14:textId="77777777" w:rsidTr="004C7089">
        <w:trPr>
          <w:trHeight w:val="278"/>
          <w:jc w:val="center"/>
        </w:trPr>
        <w:tc>
          <w:tcPr>
            <w:tcW w:w="8669" w:type="dxa"/>
            <w:gridSpan w:val="2"/>
            <w:shd w:val="clear" w:color="auto" w:fill="CCEAF9" w:themeFill="accent1" w:themeFillTint="33"/>
            <w:noWrap/>
            <w:tcMar>
              <w:top w:w="14" w:type="dxa"/>
              <w:left w:w="115" w:type="dxa"/>
              <w:bottom w:w="14" w:type="dxa"/>
              <w:right w:w="115" w:type="dxa"/>
            </w:tcMar>
            <w:vAlign w:val="center"/>
            <w:hideMark/>
          </w:tcPr>
          <w:p w14:paraId="2C70C8AF" w14:textId="77777777" w:rsidR="00B969ED" w:rsidRPr="00B969ED" w:rsidRDefault="00B969ED" w:rsidP="00B969ED">
            <w:pPr>
              <w:keepNext/>
              <w:keepLines/>
              <w:spacing w:before="20" w:after="20" w:line="240" w:lineRule="auto"/>
              <w:rPr>
                <w:rFonts w:asciiTheme="minorHAnsi" w:eastAsia="Times New Roman" w:hAnsiTheme="minorHAnsi" w:cs="Arial"/>
                <w:color w:val="000000"/>
                <w:sz w:val="18"/>
                <w:szCs w:val="18"/>
              </w:rPr>
            </w:pPr>
            <w:r w:rsidRPr="00B969ED">
              <w:rPr>
                <w:rFonts w:asciiTheme="minorHAnsi" w:eastAsia="Times New Roman" w:hAnsiTheme="minorHAnsi" w:cs="Arial"/>
                <w:b/>
                <w:bCs/>
                <w:color w:val="000000"/>
                <w:sz w:val="18"/>
                <w:szCs w:val="18"/>
              </w:rPr>
              <w:t>Major projects</w:t>
            </w:r>
          </w:p>
        </w:tc>
      </w:tr>
      <w:tr w:rsidR="00B969ED" w:rsidRPr="00B969ED" w14:paraId="0FA59E71" w14:textId="77777777" w:rsidTr="004C7089">
        <w:trPr>
          <w:trHeight w:val="405"/>
          <w:jc w:val="center"/>
        </w:trPr>
        <w:tc>
          <w:tcPr>
            <w:tcW w:w="6495" w:type="dxa"/>
            <w:shd w:val="clear" w:color="auto" w:fill="auto"/>
            <w:noWrap/>
            <w:tcMar>
              <w:top w:w="14" w:type="dxa"/>
              <w:left w:w="115" w:type="dxa"/>
              <w:bottom w:w="14" w:type="dxa"/>
              <w:right w:w="115" w:type="dxa"/>
            </w:tcMar>
            <w:vAlign w:val="center"/>
            <w:hideMark/>
          </w:tcPr>
          <w:p w14:paraId="2092DA04"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14:paraId="3CC2939C" w14:textId="0BD26B60"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1,4</w:t>
            </w:r>
            <w:r w:rsidR="006A0FFF">
              <w:rPr>
                <w:rFonts w:asciiTheme="minorHAnsi" w:eastAsia="Times New Roman" w:hAnsiTheme="minorHAnsi" w:cs="Arial"/>
                <w:color w:val="000000"/>
                <w:sz w:val="18"/>
                <w:szCs w:val="18"/>
              </w:rPr>
              <w:t>66</w:t>
            </w:r>
          </w:p>
        </w:tc>
      </w:tr>
      <w:tr w:rsidR="00B969ED" w:rsidRPr="00B969ED" w14:paraId="4657E2D8" w14:textId="77777777" w:rsidTr="004C7089">
        <w:trPr>
          <w:trHeight w:val="375"/>
          <w:jc w:val="center"/>
        </w:trPr>
        <w:tc>
          <w:tcPr>
            <w:tcW w:w="6495" w:type="dxa"/>
            <w:shd w:val="clear" w:color="auto" w:fill="auto"/>
            <w:noWrap/>
            <w:tcMar>
              <w:top w:w="14" w:type="dxa"/>
              <w:left w:w="115" w:type="dxa"/>
              <w:bottom w:w="14" w:type="dxa"/>
              <w:right w:w="115" w:type="dxa"/>
            </w:tcMar>
            <w:vAlign w:val="center"/>
          </w:tcPr>
          <w:p w14:paraId="5FBC1590"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Hartford and Central Connecticut</w:t>
            </w:r>
          </w:p>
        </w:tc>
        <w:tc>
          <w:tcPr>
            <w:tcW w:w="2174" w:type="dxa"/>
            <w:shd w:val="clear" w:color="auto" w:fill="auto"/>
            <w:noWrap/>
            <w:tcMar>
              <w:top w:w="14" w:type="dxa"/>
              <w:left w:w="115" w:type="dxa"/>
              <w:bottom w:w="14" w:type="dxa"/>
              <w:right w:w="115" w:type="dxa"/>
            </w:tcMar>
            <w:vAlign w:val="center"/>
          </w:tcPr>
          <w:p w14:paraId="4D941E36" w14:textId="226DF175"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w:t>
            </w:r>
            <w:r w:rsidR="006A0FFF">
              <w:rPr>
                <w:rFonts w:asciiTheme="minorHAnsi" w:eastAsia="Times New Roman" w:hAnsiTheme="minorHAnsi" w:cs="Arial"/>
                <w:color w:val="000000"/>
                <w:sz w:val="18"/>
                <w:szCs w:val="18"/>
              </w:rPr>
              <w:t>0</w:t>
            </w:r>
            <w:r w:rsidRPr="00B969ED">
              <w:rPr>
                <w:rFonts w:asciiTheme="minorHAnsi" w:eastAsia="Times New Roman" w:hAnsiTheme="minorHAnsi" w:cs="Arial"/>
                <w:color w:val="000000"/>
                <w:sz w:val="18"/>
                <w:szCs w:val="18"/>
              </w:rPr>
              <w:t>7</w:t>
            </w:r>
          </w:p>
        </w:tc>
      </w:tr>
      <w:tr w:rsidR="00B969ED" w:rsidRPr="00B969ED" w14:paraId="5CF677B4" w14:textId="77777777" w:rsidTr="004C7089">
        <w:trPr>
          <w:trHeight w:val="345"/>
          <w:jc w:val="center"/>
        </w:trPr>
        <w:tc>
          <w:tcPr>
            <w:tcW w:w="6495" w:type="dxa"/>
            <w:shd w:val="clear" w:color="auto" w:fill="auto"/>
            <w:tcMar>
              <w:top w:w="14" w:type="dxa"/>
              <w:left w:w="115" w:type="dxa"/>
              <w:bottom w:w="14" w:type="dxa"/>
              <w:right w:w="115" w:type="dxa"/>
            </w:tcMar>
            <w:vAlign w:val="center"/>
            <w:hideMark/>
          </w:tcPr>
          <w:p w14:paraId="34A66185"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14:paraId="6DF7F81E"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1,581</w:t>
            </w:r>
          </w:p>
        </w:tc>
      </w:tr>
      <w:tr w:rsidR="00B969ED" w:rsidRPr="00B969ED" w14:paraId="29913A4D" w14:textId="77777777" w:rsidTr="004C7089">
        <w:trPr>
          <w:trHeight w:val="270"/>
          <w:jc w:val="center"/>
        </w:trPr>
        <w:tc>
          <w:tcPr>
            <w:tcW w:w="6495" w:type="dxa"/>
            <w:shd w:val="clear" w:color="auto" w:fill="auto"/>
            <w:tcMar>
              <w:top w:w="14" w:type="dxa"/>
              <w:left w:w="115" w:type="dxa"/>
              <w:bottom w:w="14" w:type="dxa"/>
              <w:right w:w="115" w:type="dxa"/>
            </w:tcMar>
            <w:vAlign w:val="center"/>
            <w:hideMark/>
          </w:tcPr>
          <w:p w14:paraId="765B284D" w14:textId="77777777"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(Greater Springfield Reliability Project)—$676.0 million</w:t>
            </w:r>
          </w:p>
        </w:tc>
        <w:tc>
          <w:tcPr>
            <w:tcW w:w="2174" w:type="dxa"/>
            <w:shd w:val="clear" w:color="auto" w:fill="auto"/>
            <w:noWrap/>
            <w:tcMar>
              <w:top w:w="14" w:type="dxa"/>
              <w:left w:w="115" w:type="dxa"/>
              <w:bottom w:w="14" w:type="dxa"/>
              <w:right w:w="115" w:type="dxa"/>
            </w:tcMar>
            <w:vAlign w:val="center"/>
            <w:hideMark/>
          </w:tcPr>
          <w:p w14:paraId="2226121A"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14:paraId="66D10978" w14:textId="77777777" w:rsidTr="004C7089">
        <w:trPr>
          <w:trHeight w:val="270"/>
          <w:jc w:val="center"/>
        </w:trPr>
        <w:tc>
          <w:tcPr>
            <w:tcW w:w="6495" w:type="dxa"/>
            <w:shd w:val="clear" w:color="auto" w:fill="auto"/>
            <w:tcMar>
              <w:top w:w="14" w:type="dxa"/>
              <w:left w:w="115" w:type="dxa"/>
              <w:bottom w:w="14" w:type="dxa"/>
              <w:right w:w="115" w:type="dxa"/>
            </w:tcMar>
            <w:vAlign w:val="center"/>
            <w:hideMark/>
          </w:tcPr>
          <w:p w14:paraId="4376610F" w14:textId="77777777"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(Rhode Island Reliability Project)—$362.3 million</w:t>
            </w:r>
          </w:p>
        </w:tc>
        <w:tc>
          <w:tcPr>
            <w:tcW w:w="2174" w:type="dxa"/>
            <w:shd w:val="clear" w:color="auto" w:fill="auto"/>
            <w:noWrap/>
            <w:tcMar>
              <w:top w:w="14" w:type="dxa"/>
              <w:left w:w="115" w:type="dxa"/>
              <w:bottom w:w="14" w:type="dxa"/>
              <w:right w:w="115" w:type="dxa"/>
            </w:tcMar>
            <w:vAlign w:val="center"/>
            <w:hideMark/>
          </w:tcPr>
          <w:p w14:paraId="2F76420F"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14:paraId="5D4561A2" w14:textId="77777777" w:rsidTr="004C7089">
        <w:trPr>
          <w:trHeight w:val="270"/>
          <w:jc w:val="center"/>
        </w:trPr>
        <w:tc>
          <w:tcPr>
            <w:tcW w:w="6495" w:type="dxa"/>
            <w:shd w:val="clear" w:color="auto" w:fill="auto"/>
            <w:tcMar>
              <w:top w:w="14" w:type="dxa"/>
              <w:left w:w="115" w:type="dxa"/>
              <w:bottom w:w="14" w:type="dxa"/>
              <w:right w:w="115" w:type="dxa"/>
            </w:tcMar>
            <w:vAlign w:val="center"/>
            <w:hideMark/>
          </w:tcPr>
          <w:p w14:paraId="7C65407E" w14:textId="77777777"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(Interstate Reliability Project)—$482.3 million</w:t>
            </w:r>
          </w:p>
        </w:tc>
        <w:tc>
          <w:tcPr>
            <w:tcW w:w="2174" w:type="dxa"/>
            <w:shd w:val="clear" w:color="auto" w:fill="auto"/>
            <w:noWrap/>
            <w:tcMar>
              <w:top w:w="14" w:type="dxa"/>
              <w:left w:w="115" w:type="dxa"/>
              <w:bottom w:w="14" w:type="dxa"/>
              <w:right w:w="115" w:type="dxa"/>
            </w:tcMar>
            <w:vAlign w:val="center"/>
            <w:hideMark/>
          </w:tcPr>
          <w:p w14:paraId="5368244C"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14:paraId="1E5656A5" w14:textId="77777777" w:rsidTr="004C7089">
        <w:trPr>
          <w:trHeight w:val="270"/>
          <w:jc w:val="center"/>
        </w:trPr>
        <w:tc>
          <w:tcPr>
            <w:tcW w:w="6495" w:type="dxa"/>
            <w:shd w:val="clear" w:color="auto" w:fill="auto"/>
            <w:tcMar>
              <w:top w:w="14" w:type="dxa"/>
              <w:left w:w="115" w:type="dxa"/>
              <w:bottom w:w="14" w:type="dxa"/>
              <w:right w:w="115" w:type="dxa"/>
            </w:tcMar>
            <w:vAlign w:val="center"/>
            <w:hideMark/>
          </w:tcPr>
          <w:p w14:paraId="49BF5E84" w14:textId="77777777" w:rsidR="00B969ED" w:rsidRPr="00B969ED" w:rsidRDefault="00B969ED" w:rsidP="00B969ED">
            <w:pPr>
              <w:keepNext/>
              <w:keepLines/>
              <w:spacing w:before="20" w:after="20" w:line="240" w:lineRule="auto"/>
              <w:ind w:left="288"/>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NEEWS (other)—$59.6 million</w:t>
            </w:r>
          </w:p>
        </w:tc>
        <w:tc>
          <w:tcPr>
            <w:tcW w:w="2174" w:type="dxa"/>
            <w:shd w:val="clear" w:color="auto" w:fill="auto"/>
            <w:noWrap/>
            <w:tcMar>
              <w:top w:w="14" w:type="dxa"/>
              <w:left w:w="115" w:type="dxa"/>
              <w:bottom w:w="14" w:type="dxa"/>
              <w:right w:w="115" w:type="dxa"/>
            </w:tcMar>
            <w:vAlign w:val="center"/>
            <w:hideMark/>
          </w:tcPr>
          <w:p w14:paraId="4D99BF8D"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p>
        </w:tc>
      </w:tr>
      <w:tr w:rsidR="00B969ED" w:rsidRPr="00B969ED" w14:paraId="68068DFD" w14:textId="77777777" w:rsidTr="004C7089">
        <w:trPr>
          <w:trHeight w:val="278"/>
          <w:jc w:val="center"/>
        </w:trPr>
        <w:tc>
          <w:tcPr>
            <w:tcW w:w="6495" w:type="dxa"/>
            <w:shd w:val="clear" w:color="auto" w:fill="auto"/>
            <w:tcMar>
              <w:top w:w="14" w:type="dxa"/>
              <w:left w:w="115" w:type="dxa"/>
              <w:bottom w:w="14" w:type="dxa"/>
              <w:right w:w="115" w:type="dxa"/>
            </w:tcMar>
            <w:vAlign w:val="center"/>
            <w:hideMark/>
          </w:tcPr>
          <w:p w14:paraId="7146CA49"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Southeast Massachusetts/Rhode Island Reliability Project</w:t>
            </w:r>
          </w:p>
        </w:tc>
        <w:tc>
          <w:tcPr>
            <w:tcW w:w="2174" w:type="dxa"/>
            <w:shd w:val="clear" w:color="auto" w:fill="auto"/>
            <w:noWrap/>
            <w:tcMar>
              <w:top w:w="14" w:type="dxa"/>
              <w:left w:w="115" w:type="dxa"/>
              <w:bottom w:w="14" w:type="dxa"/>
              <w:right w:w="115" w:type="dxa"/>
            </w:tcMar>
            <w:vAlign w:val="center"/>
            <w:hideMark/>
          </w:tcPr>
          <w:p w14:paraId="43CB4443" w14:textId="6ED4D617"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w:t>
            </w:r>
            <w:r w:rsidR="006A0FFF">
              <w:rPr>
                <w:rFonts w:asciiTheme="minorHAnsi" w:eastAsia="Times New Roman" w:hAnsiTheme="minorHAnsi" w:cs="Arial"/>
                <w:color w:val="000000"/>
                <w:sz w:val="18"/>
                <w:szCs w:val="18"/>
              </w:rPr>
              <w:t>27</w:t>
            </w:r>
          </w:p>
        </w:tc>
      </w:tr>
      <w:tr w:rsidR="00B969ED" w:rsidRPr="00B969ED" w14:paraId="5A9188EC" w14:textId="77777777" w:rsidTr="004C7089">
        <w:trPr>
          <w:trHeight w:val="278"/>
          <w:jc w:val="center"/>
        </w:trPr>
        <w:tc>
          <w:tcPr>
            <w:tcW w:w="6495" w:type="dxa"/>
            <w:shd w:val="clear" w:color="auto" w:fill="auto"/>
            <w:noWrap/>
            <w:tcMar>
              <w:top w:w="14" w:type="dxa"/>
              <w:left w:w="115" w:type="dxa"/>
              <w:bottom w:w="14" w:type="dxa"/>
              <w:right w:w="115" w:type="dxa"/>
            </w:tcMar>
            <w:vAlign w:val="center"/>
            <w:hideMark/>
          </w:tcPr>
          <w:p w14:paraId="5E81FFF8"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Pittsfield-Greenfield Project</w:t>
            </w:r>
          </w:p>
        </w:tc>
        <w:tc>
          <w:tcPr>
            <w:tcW w:w="2174" w:type="dxa"/>
            <w:shd w:val="clear" w:color="auto" w:fill="auto"/>
            <w:noWrap/>
            <w:tcMar>
              <w:top w:w="14" w:type="dxa"/>
              <w:left w:w="115" w:type="dxa"/>
              <w:bottom w:w="14" w:type="dxa"/>
              <w:right w:w="115" w:type="dxa"/>
            </w:tcMar>
            <w:vAlign w:val="center"/>
            <w:hideMark/>
          </w:tcPr>
          <w:p w14:paraId="3C45BDDD" w14:textId="76262038"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1</w:t>
            </w:r>
            <w:r w:rsidR="006A0FFF">
              <w:rPr>
                <w:rFonts w:asciiTheme="minorHAnsi" w:eastAsia="Times New Roman" w:hAnsiTheme="minorHAnsi" w:cs="Arial"/>
                <w:color w:val="000000"/>
                <w:sz w:val="18"/>
                <w:szCs w:val="18"/>
              </w:rPr>
              <w:t>7</w:t>
            </w:r>
            <w:r w:rsidRPr="00B969ED">
              <w:rPr>
                <w:rFonts w:asciiTheme="minorHAnsi" w:eastAsia="Times New Roman" w:hAnsiTheme="minorHAnsi" w:cs="Arial"/>
                <w:color w:val="000000"/>
                <w:sz w:val="18"/>
                <w:szCs w:val="18"/>
              </w:rPr>
              <w:t>9</w:t>
            </w:r>
          </w:p>
        </w:tc>
      </w:tr>
      <w:tr w:rsidR="00B969ED" w:rsidRPr="00B969ED" w14:paraId="04FD2FBC" w14:textId="77777777" w:rsidTr="004C7089">
        <w:trPr>
          <w:trHeight w:val="278"/>
          <w:jc w:val="center"/>
        </w:trPr>
        <w:tc>
          <w:tcPr>
            <w:tcW w:w="6495" w:type="dxa"/>
            <w:shd w:val="clear" w:color="auto" w:fill="auto"/>
            <w:noWrap/>
            <w:tcMar>
              <w:top w:w="14" w:type="dxa"/>
              <w:left w:w="115" w:type="dxa"/>
              <w:bottom w:w="14" w:type="dxa"/>
              <w:right w:w="115" w:type="dxa"/>
            </w:tcMar>
            <w:vAlign w:val="center"/>
            <w:hideMark/>
          </w:tcPr>
          <w:p w14:paraId="1C3EA412"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14:paraId="2A291451" w14:textId="2FAF0BE4" w:rsidR="00B969ED" w:rsidRPr="00B969ED" w:rsidRDefault="00B969ED" w:rsidP="006A0FFF">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8</w:t>
            </w:r>
            <w:r w:rsidR="006A0FFF">
              <w:rPr>
                <w:rFonts w:asciiTheme="minorHAnsi" w:eastAsia="Times New Roman" w:hAnsiTheme="minorHAnsi" w:cs="Arial"/>
                <w:color w:val="000000"/>
                <w:sz w:val="18"/>
                <w:szCs w:val="18"/>
              </w:rPr>
              <w:t>3</w:t>
            </w:r>
            <w:r w:rsidRPr="00B969ED">
              <w:rPr>
                <w:rFonts w:asciiTheme="minorHAnsi" w:eastAsia="Times New Roman" w:hAnsiTheme="minorHAnsi" w:cs="Arial"/>
                <w:color w:val="000000"/>
                <w:sz w:val="18"/>
                <w:szCs w:val="18"/>
              </w:rPr>
              <w:t>2</w:t>
            </w:r>
          </w:p>
        </w:tc>
      </w:tr>
      <w:tr w:rsidR="00B969ED" w:rsidRPr="00B969ED" w14:paraId="4167527C" w14:textId="77777777" w:rsidTr="004C7089">
        <w:trPr>
          <w:trHeight w:val="278"/>
          <w:jc w:val="center"/>
        </w:trPr>
        <w:tc>
          <w:tcPr>
            <w:tcW w:w="6495" w:type="dxa"/>
            <w:shd w:val="clear" w:color="auto" w:fill="auto"/>
            <w:tcMar>
              <w:top w:w="14" w:type="dxa"/>
              <w:left w:w="115" w:type="dxa"/>
              <w:bottom w:w="14" w:type="dxa"/>
              <w:right w:w="115" w:type="dxa"/>
            </w:tcMar>
            <w:vAlign w:val="center"/>
            <w:hideMark/>
          </w:tcPr>
          <w:p w14:paraId="001CFDA4"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14:paraId="733B34D9" w14:textId="77777777" w:rsidR="00B969ED" w:rsidRPr="00B969ED" w:rsidRDefault="00B969ED" w:rsidP="00B969ED">
            <w:pPr>
              <w:keepNext/>
              <w:keepLines/>
              <w:spacing w:before="20" w:after="20" w:line="240" w:lineRule="auto"/>
              <w:jc w:val="right"/>
              <w:rPr>
                <w:rFonts w:asciiTheme="minorHAnsi" w:eastAsia="Times New Roman" w:hAnsiTheme="minorHAnsi" w:cs="Arial"/>
                <w:color w:val="000000"/>
                <w:sz w:val="18"/>
                <w:szCs w:val="18"/>
              </w:rPr>
            </w:pPr>
            <w:r w:rsidRPr="00B969ED">
              <w:rPr>
                <w:rFonts w:asciiTheme="minorHAnsi" w:eastAsia="Times New Roman" w:hAnsiTheme="minorHAnsi" w:cs="Arial"/>
                <w:color w:val="000000"/>
                <w:sz w:val="18"/>
                <w:szCs w:val="18"/>
              </w:rPr>
              <w:t>328</w:t>
            </w:r>
          </w:p>
        </w:tc>
      </w:tr>
      <w:tr w:rsidR="00B969ED" w:rsidRPr="00B969ED" w14:paraId="39C16EC0" w14:textId="77777777" w:rsidTr="004C7089">
        <w:trPr>
          <w:trHeight w:val="285"/>
          <w:jc w:val="center"/>
        </w:trPr>
        <w:tc>
          <w:tcPr>
            <w:tcW w:w="6495" w:type="dxa"/>
            <w:shd w:val="clear" w:color="auto" w:fill="auto"/>
            <w:tcMar>
              <w:top w:w="14" w:type="dxa"/>
              <w:left w:w="115" w:type="dxa"/>
              <w:bottom w:w="14" w:type="dxa"/>
              <w:right w:w="115" w:type="dxa"/>
            </w:tcMar>
            <w:vAlign w:val="center"/>
            <w:hideMark/>
          </w:tcPr>
          <w:p w14:paraId="33D42541"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Vermont Solution—Southeastern, Connecticut River</w:t>
            </w:r>
          </w:p>
        </w:tc>
        <w:tc>
          <w:tcPr>
            <w:tcW w:w="2174" w:type="dxa"/>
            <w:shd w:val="clear" w:color="auto" w:fill="auto"/>
            <w:noWrap/>
            <w:tcMar>
              <w:top w:w="14" w:type="dxa"/>
              <w:left w:w="115" w:type="dxa"/>
              <w:bottom w:w="14" w:type="dxa"/>
              <w:right w:w="115" w:type="dxa"/>
            </w:tcMar>
            <w:vAlign w:val="center"/>
            <w:hideMark/>
          </w:tcPr>
          <w:p w14:paraId="6CA61005" w14:textId="6967F3EE" w:rsidR="00B969ED" w:rsidRPr="00B969ED" w:rsidRDefault="006A0FFF" w:rsidP="006A0FFF">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82</w:t>
            </w:r>
          </w:p>
        </w:tc>
      </w:tr>
      <w:tr w:rsidR="00B969ED" w:rsidRPr="00B969ED" w14:paraId="5583438F" w14:textId="77777777" w:rsidTr="004C7089">
        <w:trPr>
          <w:trHeight w:val="285"/>
          <w:jc w:val="center"/>
        </w:trPr>
        <w:tc>
          <w:tcPr>
            <w:tcW w:w="6495" w:type="dxa"/>
            <w:shd w:val="clear" w:color="auto" w:fill="auto"/>
            <w:tcMar>
              <w:top w:w="14" w:type="dxa"/>
              <w:left w:w="115" w:type="dxa"/>
              <w:bottom w:w="14" w:type="dxa"/>
              <w:right w:w="115" w:type="dxa"/>
            </w:tcMar>
            <w:vAlign w:val="center"/>
            <w:hideMark/>
          </w:tcPr>
          <w:p w14:paraId="4CC29AFC"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14:paraId="60C08A37" w14:textId="5405E3F3" w:rsidR="00B969ED" w:rsidRPr="00B969ED" w:rsidRDefault="006A0FFF" w:rsidP="006A0FFF">
            <w:pPr>
              <w:keepNext/>
              <w:keepLines/>
              <w:spacing w:before="20" w:after="20" w:line="240" w:lineRule="auto"/>
              <w:jc w:val="right"/>
              <w:rPr>
                <w:rFonts w:asciiTheme="minorHAnsi" w:eastAsia="Times New Roman" w:hAnsiTheme="minorHAnsi" w:cs="Arial"/>
                <w:color w:val="000000"/>
                <w:sz w:val="18"/>
                <w:szCs w:val="18"/>
              </w:rPr>
            </w:pPr>
            <w:r>
              <w:rPr>
                <w:rFonts w:asciiTheme="minorHAnsi" w:eastAsia="Times New Roman" w:hAnsiTheme="minorHAnsi" w:cs="Arial"/>
                <w:color w:val="000000"/>
                <w:sz w:val="18"/>
                <w:szCs w:val="18"/>
              </w:rPr>
              <w:t>399</w:t>
            </w:r>
          </w:p>
        </w:tc>
      </w:tr>
      <w:tr w:rsidR="00B969ED" w:rsidRPr="00B969ED" w14:paraId="33C02710" w14:textId="77777777" w:rsidTr="004C7089">
        <w:trPr>
          <w:trHeight w:val="278"/>
          <w:jc w:val="center"/>
        </w:trPr>
        <w:tc>
          <w:tcPr>
            <w:tcW w:w="6495" w:type="dxa"/>
            <w:shd w:val="clear" w:color="auto" w:fill="CCEAF9" w:themeFill="accent1" w:themeFillTint="33"/>
            <w:noWrap/>
            <w:tcMar>
              <w:top w:w="14" w:type="dxa"/>
              <w:left w:w="115" w:type="dxa"/>
              <w:bottom w:w="14" w:type="dxa"/>
              <w:right w:w="115" w:type="dxa"/>
            </w:tcMar>
            <w:vAlign w:val="center"/>
            <w:hideMark/>
          </w:tcPr>
          <w:p w14:paraId="27C3AE26" w14:textId="77777777"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Subtotal</w:t>
            </w:r>
            <w:r w:rsidRPr="00B969ED">
              <w:rPr>
                <w:rFonts w:asciiTheme="minorHAnsi" w:eastAsia="Times New Roman" w:hAnsiTheme="minorHAnsi" w:cs="Arial"/>
                <w:b/>
                <w:color w:val="000000"/>
                <w:sz w:val="18"/>
                <w:szCs w:val="18"/>
                <w:vertAlign w:val="superscript"/>
              </w:rPr>
              <w:t>(b)</w:t>
            </w:r>
          </w:p>
        </w:tc>
        <w:tc>
          <w:tcPr>
            <w:tcW w:w="2174" w:type="dxa"/>
            <w:shd w:val="clear" w:color="auto" w:fill="CCEAF9" w:themeFill="accent1" w:themeFillTint="33"/>
            <w:noWrap/>
            <w:tcMar>
              <w:top w:w="14" w:type="dxa"/>
              <w:left w:w="115" w:type="dxa"/>
              <w:bottom w:w="14" w:type="dxa"/>
              <w:right w:w="115" w:type="dxa"/>
            </w:tcMar>
            <w:vAlign w:val="center"/>
            <w:hideMark/>
          </w:tcPr>
          <w:p w14:paraId="18FCC28C" w14:textId="0106D01A" w:rsidR="00B969ED" w:rsidRPr="00B969ED" w:rsidRDefault="00B969ED" w:rsidP="006A0FFF">
            <w:pPr>
              <w:keepNext/>
              <w:keepLines/>
              <w:spacing w:before="20" w:after="20" w:line="240" w:lineRule="auto"/>
              <w:jc w:val="right"/>
              <w:rPr>
                <w:rFonts w:asciiTheme="minorHAnsi" w:eastAsia="Times New Roman" w:hAnsiTheme="minorHAnsi" w:cs="Arial"/>
                <w:b/>
                <w:bCs/>
                <w:color w:val="000000"/>
                <w:sz w:val="18"/>
                <w:szCs w:val="18"/>
              </w:rPr>
            </w:pPr>
            <w:r w:rsidRPr="00B969ED">
              <w:rPr>
                <w:rFonts w:asciiTheme="minorHAnsi" w:eastAsia="Times New Roman" w:hAnsiTheme="minorHAnsi" w:cs="Arial"/>
                <w:b/>
                <w:bCs/>
                <w:color w:val="000000"/>
                <w:sz w:val="18"/>
                <w:szCs w:val="18"/>
              </w:rPr>
              <w:t>5,5</w:t>
            </w:r>
            <w:r w:rsidR="006A0FFF">
              <w:rPr>
                <w:rFonts w:asciiTheme="minorHAnsi" w:eastAsia="Times New Roman" w:hAnsiTheme="minorHAnsi" w:cs="Arial"/>
                <w:b/>
                <w:bCs/>
                <w:color w:val="000000"/>
                <w:sz w:val="18"/>
                <w:szCs w:val="18"/>
              </w:rPr>
              <w:t>01</w:t>
            </w:r>
          </w:p>
        </w:tc>
      </w:tr>
      <w:tr w:rsidR="00B969ED" w:rsidRPr="00B969ED" w14:paraId="0741E1D6" w14:textId="77777777" w:rsidTr="004C7089">
        <w:trPr>
          <w:trHeight w:val="323"/>
          <w:jc w:val="center"/>
        </w:trPr>
        <w:tc>
          <w:tcPr>
            <w:tcW w:w="6495" w:type="dxa"/>
            <w:shd w:val="clear" w:color="auto" w:fill="CCEAF9" w:themeFill="accent1" w:themeFillTint="33"/>
            <w:tcMar>
              <w:top w:w="14" w:type="dxa"/>
              <w:left w:w="115" w:type="dxa"/>
              <w:bottom w:w="14" w:type="dxa"/>
              <w:right w:w="115" w:type="dxa"/>
            </w:tcMar>
            <w:vAlign w:val="center"/>
            <w:hideMark/>
          </w:tcPr>
          <w:p w14:paraId="6DA75F1C" w14:textId="77777777"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Other projects</w:t>
            </w:r>
            <w:r w:rsidRPr="00B969ED">
              <w:rPr>
                <w:rFonts w:asciiTheme="minorHAnsi" w:eastAsia="Times New Roman" w:hAnsiTheme="minorHAnsi" w:cs="Arial"/>
                <w:b/>
                <w:bCs/>
                <w:color w:val="000000"/>
                <w:sz w:val="18"/>
                <w:szCs w:val="18"/>
                <w:vertAlign w:val="superscript"/>
              </w:rPr>
              <w:t>(c)</w:t>
            </w:r>
          </w:p>
        </w:tc>
        <w:tc>
          <w:tcPr>
            <w:tcW w:w="2174" w:type="dxa"/>
            <w:shd w:val="clear" w:color="auto" w:fill="CCEAF9" w:themeFill="accent1" w:themeFillTint="33"/>
            <w:noWrap/>
            <w:tcMar>
              <w:top w:w="14" w:type="dxa"/>
              <w:left w:w="115" w:type="dxa"/>
              <w:bottom w:w="14" w:type="dxa"/>
              <w:right w:w="115" w:type="dxa"/>
            </w:tcMar>
            <w:vAlign w:val="center"/>
            <w:hideMark/>
          </w:tcPr>
          <w:p w14:paraId="48F8AE41" w14:textId="7D6A1B5B" w:rsidR="00B969ED" w:rsidRPr="00B969ED" w:rsidRDefault="00B969ED" w:rsidP="006A0FFF">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6,7</w:t>
            </w:r>
            <w:r w:rsidR="006A0FFF">
              <w:rPr>
                <w:rFonts w:asciiTheme="minorHAnsi" w:eastAsia="Times New Roman" w:hAnsiTheme="minorHAnsi" w:cs="Arial"/>
                <w:b/>
                <w:color w:val="000000"/>
                <w:sz w:val="18"/>
                <w:szCs w:val="18"/>
              </w:rPr>
              <w:t>92</w:t>
            </w:r>
          </w:p>
        </w:tc>
      </w:tr>
      <w:tr w:rsidR="00B969ED" w:rsidRPr="00B969ED" w14:paraId="2AAA1605" w14:textId="77777777" w:rsidTr="004C7089">
        <w:trPr>
          <w:trHeight w:val="390"/>
          <w:jc w:val="center"/>
        </w:trPr>
        <w:tc>
          <w:tcPr>
            <w:tcW w:w="6495" w:type="dxa"/>
            <w:shd w:val="clear" w:color="auto" w:fill="CCEAF9" w:themeFill="accent1" w:themeFillTint="33"/>
            <w:tcMar>
              <w:top w:w="14" w:type="dxa"/>
              <w:left w:w="115" w:type="dxa"/>
              <w:bottom w:w="14" w:type="dxa"/>
              <w:right w:w="115" w:type="dxa"/>
            </w:tcMar>
            <w:vAlign w:val="center"/>
            <w:hideMark/>
          </w:tcPr>
          <w:p w14:paraId="058189A4" w14:textId="77777777" w:rsidR="00B969ED" w:rsidRPr="00B969ED" w:rsidRDefault="00B969ED" w:rsidP="00B969ED">
            <w:pPr>
              <w:keepNext/>
              <w:keepLines/>
              <w:spacing w:before="20" w:after="20" w:line="240" w:lineRule="auto"/>
              <w:rPr>
                <w:rFonts w:asciiTheme="minorHAnsi" w:eastAsia="Times New Roman" w:hAnsiTheme="minorHAnsi" w:cs="Arial"/>
                <w:b/>
                <w:bCs/>
                <w:color w:val="000000"/>
                <w:sz w:val="18"/>
                <w:szCs w:val="18"/>
                <w:vertAlign w:val="superscript"/>
              </w:rPr>
            </w:pPr>
            <w:r w:rsidRPr="00B969ED">
              <w:rPr>
                <w:rFonts w:asciiTheme="minorHAnsi" w:eastAsia="Times New Roman" w:hAnsiTheme="minorHAnsi" w:cs="Arial"/>
                <w:b/>
                <w:bCs/>
                <w:color w:val="000000"/>
                <w:sz w:val="18"/>
                <w:szCs w:val="18"/>
              </w:rPr>
              <w:t>New projects</w:t>
            </w:r>
            <w:r w:rsidRPr="00B969ED">
              <w:rPr>
                <w:rFonts w:asciiTheme="minorHAnsi" w:eastAsia="Times New Roman" w:hAnsiTheme="minorHAnsi" w:cs="Arial"/>
                <w:b/>
                <w:bCs/>
                <w:color w:val="000000"/>
                <w:sz w:val="18"/>
                <w:szCs w:val="18"/>
                <w:vertAlign w:val="superscript"/>
              </w:rPr>
              <w:t>(d)</w:t>
            </w:r>
          </w:p>
        </w:tc>
        <w:tc>
          <w:tcPr>
            <w:tcW w:w="2174" w:type="dxa"/>
            <w:shd w:val="clear" w:color="auto" w:fill="CCEAF9" w:themeFill="accent1" w:themeFillTint="33"/>
            <w:noWrap/>
            <w:tcMar>
              <w:top w:w="14" w:type="dxa"/>
              <w:left w:w="115" w:type="dxa"/>
              <w:bottom w:w="14" w:type="dxa"/>
              <w:right w:w="115" w:type="dxa"/>
            </w:tcMar>
            <w:vAlign w:val="center"/>
            <w:hideMark/>
          </w:tcPr>
          <w:p w14:paraId="558A0336" w14:textId="6AA86ED0" w:rsidR="00B969ED" w:rsidRPr="00B969ED" w:rsidRDefault="006A0FFF" w:rsidP="006A0FFF">
            <w:pPr>
              <w:keepNext/>
              <w:keepLines/>
              <w:spacing w:before="20" w:after="20" w:line="240" w:lineRule="auto"/>
              <w:jc w:val="right"/>
              <w:rPr>
                <w:rFonts w:asciiTheme="minorHAnsi" w:eastAsia="Times New Roman" w:hAnsiTheme="minorHAnsi" w:cs="Arial"/>
                <w:b/>
                <w:color w:val="000000"/>
                <w:sz w:val="18"/>
                <w:szCs w:val="18"/>
              </w:rPr>
            </w:pPr>
            <w:r>
              <w:rPr>
                <w:rFonts w:asciiTheme="minorHAnsi" w:eastAsia="Times New Roman" w:hAnsiTheme="minorHAnsi" w:cs="Arial"/>
                <w:b/>
                <w:color w:val="000000"/>
                <w:sz w:val="18"/>
                <w:szCs w:val="18"/>
              </w:rPr>
              <w:t>0</w:t>
            </w:r>
          </w:p>
        </w:tc>
      </w:tr>
      <w:tr w:rsidR="00B969ED" w:rsidRPr="00B969ED" w14:paraId="4B7E8296" w14:textId="77777777" w:rsidTr="004C7089">
        <w:trPr>
          <w:trHeight w:val="349"/>
          <w:jc w:val="center"/>
        </w:trPr>
        <w:tc>
          <w:tcPr>
            <w:tcW w:w="6495" w:type="dxa"/>
            <w:shd w:val="clear" w:color="auto" w:fill="9AD6F4" w:themeFill="accent1" w:themeFillTint="66"/>
            <w:noWrap/>
            <w:tcMar>
              <w:top w:w="14" w:type="dxa"/>
              <w:left w:w="115" w:type="dxa"/>
              <w:bottom w:w="14" w:type="dxa"/>
              <w:right w:w="115" w:type="dxa"/>
            </w:tcMar>
            <w:vAlign w:val="center"/>
            <w:hideMark/>
          </w:tcPr>
          <w:p w14:paraId="5A1B8AC4" w14:textId="77777777" w:rsidR="00B969ED" w:rsidRPr="00B969ED" w:rsidRDefault="00B969ED" w:rsidP="00B969ED">
            <w:pPr>
              <w:keepNext/>
              <w:keepLines/>
              <w:spacing w:before="20" w:after="20" w:line="240" w:lineRule="auto"/>
              <w:jc w:val="right"/>
              <w:rPr>
                <w:rFonts w:asciiTheme="minorHAnsi" w:eastAsia="Times New Roman" w:hAnsiTheme="minorHAnsi" w:cs="Arial"/>
                <w:b/>
                <w:color w:val="FFFFFF" w:themeColor="background1"/>
                <w:sz w:val="18"/>
                <w:szCs w:val="18"/>
              </w:rPr>
            </w:pPr>
            <w:r w:rsidRPr="00B969ED">
              <w:rPr>
                <w:rFonts w:asciiTheme="minorHAnsi" w:eastAsia="Times New Roman" w:hAnsiTheme="minorHAnsi" w:cs="Arial"/>
                <w:b/>
                <w:color w:val="FFFFFF" w:themeColor="background1"/>
                <w:sz w:val="18"/>
                <w:szCs w:val="18"/>
              </w:rPr>
              <w:t>Total</w:t>
            </w:r>
            <w:r w:rsidRPr="00B969ED">
              <w:rPr>
                <w:rFonts w:asciiTheme="minorHAnsi" w:eastAsia="Times New Roman" w:hAnsiTheme="minorHAnsi" w:cs="Arial"/>
                <w:b/>
                <w:color w:val="FFFFFF" w:themeColor="background1"/>
                <w:sz w:val="18"/>
                <w:szCs w:val="18"/>
                <w:vertAlign w:val="superscript"/>
              </w:rPr>
              <w:t>(b)</w:t>
            </w:r>
          </w:p>
        </w:tc>
        <w:tc>
          <w:tcPr>
            <w:tcW w:w="2174" w:type="dxa"/>
            <w:shd w:val="clear" w:color="auto" w:fill="9AD6F4" w:themeFill="accent1" w:themeFillTint="66"/>
            <w:noWrap/>
            <w:tcMar>
              <w:top w:w="14" w:type="dxa"/>
              <w:left w:w="115" w:type="dxa"/>
              <w:bottom w:w="14" w:type="dxa"/>
              <w:right w:w="115" w:type="dxa"/>
            </w:tcMar>
            <w:vAlign w:val="center"/>
            <w:hideMark/>
          </w:tcPr>
          <w:p w14:paraId="6DA76FF2" w14:textId="5AB01793" w:rsidR="00B969ED" w:rsidRPr="00B969ED" w:rsidRDefault="00B969ED" w:rsidP="006A0FFF">
            <w:pPr>
              <w:keepNext/>
              <w:keepLines/>
              <w:spacing w:before="20" w:after="20" w:line="240" w:lineRule="auto"/>
              <w:jc w:val="right"/>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12,</w:t>
            </w:r>
            <w:r w:rsidR="006A0FFF">
              <w:rPr>
                <w:rFonts w:asciiTheme="minorHAnsi" w:eastAsia="Times New Roman" w:hAnsiTheme="minorHAnsi" w:cs="Arial"/>
                <w:b/>
                <w:bCs/>
                <w:color w:val="FFFFFF" w:themeColor="background1"/>
                <w:sz w:val="18"/>
                <w:szCs w:val="18"/>
              </w:rPr>
              <w:t>29</w:t>
            </w:r>
            <w:r w:rsidRPr="00B969ED">
              <w:rPr>
                <w:rFonts w:asciiTheme="minorHAnsi" w:eastAsia="Times New Roman" w:hAnsiTheme="minorHAnsi" w:cs="Arial"/>
                <w:b/>
                <w:bCs/>
                <w:color w:val="FFFFFF" w:themeColor="background1"/>
                <w:sz w:val="18"/>
                <w:szCs w:val="18"/>
              </w:rPr>
              <w:t>4</w:t>
            </w:r>
          </w:p>
        </w:tc>
      </w:tr>
      <w:tr w:rsidR="00B969ED" w:rsidRPr="00B969ED" w14:paraId="12083186" w14:textId="77777777" w:rsidTr="004C7089">
        <w:trPr>
          <w:trHeight w:val="270"/>
          <w:jc w:val="center"/>
        </w:trPr>
        <w:tc>
          <w:tcPr>
            <w:tcW w:w="6495" w:type="dxa"/>
            <w:shd w:val="clear" w:color="auto" w:fill="C8E3F4" w:themeFill="text2" w:themeFillTint="33"/>
            <w:tcMar>
              <w:top w:w="14" w:type="dxa"/>
              <w:left w:w="115" w:type="dxa"/>
              <w:bottom w:w="14" w:type="dxa"/>
              <w:right w:w="115" w:type="dxa"/>
            </w:tcMar>
            <w:vAlign w:val="center"/>
            <w:hideMark/>
          </w:tcPr>
          <w:p w14:paraId="4F648F14"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“concept” projects</w:t>
            </w:r>
          </w:p>
        </w:tc>
        <w:tc>
          <w:tcPr>
            <w:tcW w:w="2174" w:type="dxa"/>
            <w:shd w:val="clear" w:color="auto" w:fill="C8E3F4" w:themeFill="text2" w:themeFillTint="33"/>
            <w:noWrap/>
            <w:tcMar>
              <w:top w:w="14" w:type="dxa"/>
              <w:left w:w="115" w:type="dxa"/>
              <w:bottom w:w="14" w:type="dxa"/>
              <w:right w:w="115" w:type="dxa"/>
            </w:tcMar>
            <w:vAlign w:val="center"/>
            <w:hideMark/>
          </w:tcPr>
          <w:p w14:paraId="5FD1E342" w14:textId="77777777" w:rsidR="00B969ED" w:rsidRPr="00B969ED" w:rsidRDefault="00B969ED" w:rsidP="00B969ED">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0</w:t>
            </w:r>
          </w:p>
        </w:tc>
      </w:tr>
      <w:tr w:rsidR="00B969ED" w:rsidRPr="00B969ED" w14:paraId="5CBEC2C2" w14:textId="77777777" w:rsidTr="004C7089">
        <w:trPr>
          <w:trHeight w:val="338"/>
          <w:jc w:val="center"/>
        </w:trPr>
        <w:tc>
          <w:tcPr>
            <w:tcW w:w="6495" w:type="dxa"/>
            <w:shd w:val="clear" w:color="auto" w:fill="C8E3F4" w:themeFill="text2" w:themeFillTint="33"/>
            <w:tcMar>
              <w:top w:w="14" w:type="dxa"/>
              <w:left w:w="115" w:type="dxa"/>
              <w:bottom w:w="14" w:type="dxa"/>
              <w:right w:w="115" w:type="dxa"/>
            </w:tcMar>
            <w:vAlign w:val="center"/>
            <w:hideMark/>
          </w:tcPr>
          <w:p w14:paraId="5F608D49" w14:textId="77777777" w:rsidR="00B969ED" w:rsidRPr="00B969ED" w:rsidRDefault="00B969ED" w:rsidP="00B969ED">
            <w:pPr>
              <w:keepNext/>
              <w:keepLines/>
              <w:spacing w:before="20" w:after="20" w:line="240" w:lineRule="auto"/>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Minus “in-service” projects</w:t>
            </w:r>
          </w:p>
        </w:tc>
        <w:tc>
          <w:tcPr>
            <w:tcW w:w="2174" w:type="dxa"/>
            <w:shd w:val="clear" w:color="auto" w:fill="C8E3F4" w:themeFill="text2" w:themeFillTint="33"/>
            <w:noWrap/>
            <w:tcMar>
              <w:top w:w="14" w:type="dxa"/>
              <w:left w:w="115" w:type="dxa"/>
              <w:bottom w:w="14" w:type="dxa"/>
              <w:right w:w="115" w:type="dxa"/>
            </w:tcMar>
            <w:vAlign w:val="center"/>
            <w:hideMark/>
          </w:tcPr>
          <w:p w14:paraId="16191EC9" w14:textId="02E082A3" w:rsidR="00B969ED" w:rsidRPr="00B969ED" w:rsidRDefault="00B969ED" w:rsidP="006A0FFF">
            <w:pPr>
              <w:keepNext/>
              <w:keepLines/>
              <w:spacing w:before="20" w:after="20" w:line="240" w:lineRule="auto"/>
              <w:jc w:val="right"/>
              <w:rPr>
                <w:rFonts w:asciiTheme="minorHAnsi" w:eastAsia="Times New Roman" w:hAnsiTheme="minorHAnsi" w:cs="Arial"/>
                <w:b/>
                <w:color w:val="000000"/>
                <w:sz w:val="18"/>
                <w:szCs w:val="18"/>
              </w:rPr>
            </w:pPr>
            <w:r w:rsidRPr="00B969ED">
              <w:rPr>
                <w:rFonts w:asciiTheme="minorHAnsi" w:eastAsia="Times New Roman" w:hAnsiTheme="minorHAnsi" w:cs="Arial"/>
                <w:b/>
                <w:color w:val="000000"/>
                <w:sz w:val="18"/>
                <w:szCs w:val="18"/>
              </w:rPr>
              <w:t>−</w:t>
            </w:r>
            <w:r w:rsidR="006A0FFF">
              <w:rPr>
                <w:rFonts w:asciiTheme="minorHAnsi" w:eastAsia="Times New Roman" w:hAnsiTheme="minorHAnsi" w:cs="Arial"/>
                <w:b/>
                <w:color w:val="000000"/>
                <w:sz w:val="18"/>
                <w:szCs w:val="18"/>
              </w:rPr>
              <w:t>10,9</w:t>
            </w:r>
            <w:r w:rsidRPr="00B969ED">
              <w:rPr>
                <w:rFonts w:asciiTheme="minorHAnsi" w:eastAsia="Times New Roman" w:hAnsiTheme="minorHAnsi" w:cs="Arial"/>
                <w:b/>
                <w:color w:val="000000"/>
                <w:sz w:val="18"/>
                <w:szCs w:val="18"/>
              </w:rPr>
              <w:t>,4</w:t>
            </w:r>
            <w:r w:rsidR="006A0FFF">
              <w:rPr>
                <w:rFonts w:asciiTheme="minorHAnsi" w:eastAsia="Times New Roman" w:hAnsiTheme="minorHAnsi" w:cs="Arial"/>
                <w:b/>
                <w:color w:val="000000"/>
                <w:sz w:val="18"/>
                <w:szCs w:val="18"/>
              </w:rPr>
              <w:t>7</w:t>
            </w:r>
          </w:p>
        </w:tc>
      </w:tr>
      <w:tr w:rsidR="00B969ED" w:rsidRPr="00B969ED" w14:paraId="6E8DF9DB" w14:textId="77777777" w:rsidTr="004C7089">
        <w:trPr>
          <w:trHeight w:val="373"/>
          <w:jc w:val="center"/>
        </w:trPr>
        <w:tc>
          <w:tcPr>
            <w:tcW w:w="6495" w:type="dxa"/>
            <w:shd w:val="clear" w:color="auto" w:fill="1795D2" w:themeFill="accent1"/>
            <w:tcMar>
              <w:top w:w="14" w:type="dxa"/>
              <w:left w:w="115" w:type="dxa"/>
              <w:bottom w:w="14" w:type="dxa"/>
              <w:right w:w="115" w:type="dxa"/>
            </w:tcMar>
            <w:vAlign w:val="center"/>
            <w:hideMark/>
          </w:tcPr>
          <w:p w14:paraId="1D428018" w14:textId="77777777" w:rsidR="00B969ED" w:rsidRPr="00B969ED" w:rsidRDefault="00B969ED" w:rsidP="00B969ED">
            <w:pPr>
              <w:keepNext/>
              <w:keepLines/>
              <w:spacing w:before="20" w:after="20" w:line="240" w:lineRule="auto"/>
              <w:rPr>
                <w:rFonts w:asciiTheme="minorHAnsi" w:eastAsia="Times New Roman" w:hAnsiTheme="minorHAnsi" w:cs="Arial"/>
                <w:b/>
                <w:bCs/>
                <w:color w:val="FFFFFF" w:themeColor="background1"/>
                <w:sz w:val="18"/>
                <w:szCs w:val="18"/>
              </w:rPr>
            </w:pPr>
            <w:r w:rsidRPr="00B969ED">
              <w:rPr>
                <w:rFonts w:asciiTheme="minorHAnsi" w:eastAsia="Times New Roman" w:hAnsiTheme="minorHAnsi" w:cs="Arial"/>
                <w:b/>
                <w:bCs/>
                <w:color w:val="FFFFFF" w:themeColor="background1"/>
                <w:sz w:val="18"/>
                <w:szCs w:val="18"/>
              </w:rPr>
              <w:t>Aggregate estimate of active projects in the plan</w:t>
            </w:r>
            <w:r w:rsidRPr="00B969ED">
              <w:rPr>
                <w:rFonts w:asciiTheme="minorHAnsi" w:eastAsia="Times New Roman" w:hAnsiTheme="minorHAnsi" w:cs="Arial"/>
                <w:b/>
                <w:bCs/>
                <w:color w:val="FFFFFF" w:themeColor="background1"/>
                <w:sz w:val="18"/>
                <w:szCs w:val="18"/>
                <w:vertAlign w:val="superscript"/>
              </w:rPr>
              <w:t>(b)</w:t>
            </w:r>
          </w:p>
        </w:tc>
        <w:tc>
          <w:tcPr>
            <w:tcW w:w="2174" w:type="dxa"/>
            <w:shd w:val="clear" w:color="auto" w:fill="1795D2" w:themeFill="accent1"/>
            <w:noWrap/>
            <w:tcMar>
              <w:top w:w="14" w:type="dxa"/>
              <w:left w:w="115" w:type="dxa"/>
              <w:bottom w:w="14" w:type="dxa"/>
              <w:right w:w="115" w:type="dxa"/>
            </w:tcMar>
            <w:vAlign w:val="center"/>
            <w:hideMark/>
          </w:tcPr>
          <w:p w14:paraId="1B38D69D" w14:textId="40FA398C" w:rsidR="00B969ED" w:rsidRPr="00B969ED" w:rsidRDefault="006A0FFF" w:rsidP="005B232B">
            <w:pPr>
              <w:keepNext/>
              <w:keepLines/>
              <w:spacing w:before="20" w:after="20" w:line="240" w:lineRule="auto"/>
              <w:jc w:val="right"/>
              <w:rPr>
                <w:rFonts w:asciiTheme="minorHAnsi" w:eastAsia="Times New Roman" w:hAnsiTheme="minorHAnsi" w:cs="Arial"/>
                <w:b/>
                <w:bCs/>
                <w:color w:val="FFFFFF" w:themeColor="background1"/>
                <w:sz w:val="18"/>
                <w:szCs w:val="18"/>
              </w:rPr>
            </w:pPr>
            <w:r>
              <w:rPr>
                <w:rFonts w:asciiTheme="minorHAnsi" w:eastAsia="Times New Roman" w:hAnsiTheme="minorHAnsi" w:cs="Arial"/>
                <w:b/>
                <w:bCs/>
                <w:color w:val="FFFFFF" w:themeColor="background1"/>
                <w:sz w:val="18"/>
                <w:szCs w:val="18"/>
              </w:rPr>
              <w:t>1,</w:t>
            </w:r>
            <w:r w:rsidR="00B969ED" w:rsidRPr="00B969ED">
              <w:rPr>
                <w:rFonts w:asciiTheme="minorHAnsi" w:eastAsia="Times New Roman" w:hAnsiTheme="minorHAnsi" w:cs="Arial"/>
                <w:b/>
                <w:bCs/>
                <w:color w:val="FFFFFF" w:themeColor="background1"/>
                <w:sz w:val="18"/>
                <w:szCs w:val="18"/>
              </w:rPr>
              <w:t>3</w:t>
            </w:r>
            <w:r>
              <w:rPr>
                <w:rFonts w:asciiTheme="minorHAnsi" w:eastAsia="Times New Roman" w:hAnsiTheme="minorHAnsi" w:cs="Arial"/>
                <w:b/>
                <w:bCs/>
                <w:color w:val="FFFFFF" w:themeColor="background1"/>
                <w:sz w:val="18"/>
                <w:szCs w:val="18"/>
              </w:rPr>
              <w:t>4</w:t>
            </w:r>
            <w:r w:rsidR="00B969ED" w:rsidRPr="00B969ED">
              <w:rPr>
                <w:rFonts w:asciiTheme="minorHAnsi" w:eastAsia="Times New Roman" w:hAnsiTheme="minorHAnsi" w:cs="Arial"/>
                <w:b/>
                <w:bCs/>
                <w:color w:val="FFFFFF" w:themeColor="background1"/>
                <w:sz w:val="18"/>
                <w:szCs w:val="18"/>
              </w:rPr>
              <w:t>7</w:t>
            </w:r>
          </w:p>
        </w:tc>
      </w:tr>
    </w:tbl>
    <w:p w14:paraId="57B748EF" w14:textId="77777777" w:rsidR="00B969ED" w:rsidRPr="00B969ED" w:rsidRDefault="00B969ED" w:rsidP="00B969ED">
      <w:pPr>
        <w:keepNext/>
        <w:keepLines/>
        <w:spacing w:before="120" w:after="80" w:line="240" w:lineRule="auto"/>
        <w:ind w:left="461"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Transmission owners provided all estimated costs, which may not meet the guidelines described in Planning Procedure No. 4, </w:t>
      </w:r>
      <w:r w:rsidRPr="00B969ED">
        <w:rPr>
          <w:rFonts w:asciiTheme="minorHAnsi" w:hAnsiTheme="minorHAnsi"/>
          <w:i/>
          <w:sz w:val="16"/>
          <w:szCs w:val="16"/>
        </w:rPr>
        <w:t>Procedure for Pool-Supported PTF Cost Review</w:t>
      </w:r>
      <w:r w:rsidRPr="00B969ED">
        <w:rPr>
          <w:rFonts w:asciiTheme="minorHAnsi" w:hAnsiTheme="minorHAnsi"/>
          <w:sz w:val="16"/>
          <w:szCs w:val="16"/>
        </w:rPr>
        <w:t>, Attachment D, “Project Cost Estimating Guidelines” (May 6, 2016),</w:t>
      </w:r>
      <w:r w:rsidRPr="00B969ED">
        <w:t xml:space="preserve"> </w:t>
      </w:r>
      <w:hyperlink r:id="rId53" w:history="1">
        <w:r w:rsidRPr="00B969ED">
          <w:rPr>
            <w:rFonts w:asciiTheme="minorHAnsi" w:hAnsiTheme="minorHAnsi"/>
            <w:color w:val="000000"/>
            <w:sz w:val="16"/>
            <w:szCs w:val="16"/>
          </w:rPr>
          <w:t>https://www.iso-ne.com/static-assets/documents/rules_proceds/isone_plan/pp04_0/pp4_0.pdf</w:t>
        </w:r>
      </w:hyperlink>
      <w:r w:rsidRPr="00B969ED">
        <w:rPr>
          <w:rFonts w:asciiTheme="minorHAnsi" w:hAnsiTheme="minorHAnsi"/>
          <w:sz w:val="16"/>
          <w:szCs w:val="16"/>
        </w:rPr>
        <w:t>.</w:t>
      </w:r>
    </w:p>
    <w:p w14:paraId="2D75D4C3" w14:textId="77777777" w:rsidR="00B969ED" w:rsidRPr="00B969ED" w:rsidRDefault="00B969ED" w:rsidP="00B969ED">
      <w:pPr>
        <w:keepNext/>
        <w:keepLines/>
        <w:spacing w:after="80" w:line="240" w:lineRule="auto"/>
        <w:ind w:left="461" w:hanging="270"/>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Totals may not sum due to rounding.</w:t>
      </w:r>
    </w:p>
    <w:p w14:paraId="1C7011D0" w14:textId="77777777" w:rsidR="00B969ED" w:rsidRPr="00B969ED" w:rsidRDefault="00B969ED" w:rsidP="00B969ED">
      <w:pPr>
        <w:keepNext/>
        <w:keepLines/>
        <w:spacing w:after="80" w:line="240" w:lineRule="auto"/>
        <w:ind w:left="461"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 xml:space="preserve">The "Other Projects" category is the sum of all other project costs in the </w:t>
      </w:r>
      <w:r w:rsidRPr="00B969ED">
        <w:rPr>
          <w:rFonts w:asciiTheme="minorHAnsi" w:hAnsiTheme="minorHAnsi"/>
          <w:i/>
          <w:sz w:val="16"/>
          <w:szCs w:val="16"/>
        </w:rPr>
        <w:t>RSP Project List</w:t>
      </w:r>
      <w:r w:rsidRPr="00B969ED">
        <w:rPr>
          <w:rFonts w:asciiTheme="minorHAnsi" w:hAnsiTheme="minorHAnsi"/>
          <w:sz w:val="16"/>
          <w:szCs w:val="16"/>
        </w:rPr>
        <w:t xml:space="preserve"> not explicitly listed above. The cost estimates for projects in the “Major Projects” category move to the “Other Projects” category once they are completed.</w:t>
      </w:r>
    </w:p>
    <w:p w14:paraId="12680B4B" w14:textId="77777777" w:rsidR="00B969ED" w:rsidRDefault="00B969ED" w:rsidP="00B969ED">
      <w:pPr>
        <w:spacing w:line="240" w:lineRule="auto"/>
        <w:ind w:left="461"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The cost for the “New Projects” category reflects updated costs from the June 2017 project list update compared with the March 2017 update.</w:t>
      </w:r>
    </w:p>
    <w:p w14:paraId="3C85EE99" w14:textId="5DB75E90" w:rsidR="00B969ED" w:rsidRPr="00B969ED" w:rsidRDefault="00B969ED" w:rsidP="00B969ED">
      <w:r w:rsidRPr="00B969ED">
        <w:t xml:space="preserve">The PTO Administrative Committee provides annual informational filings to FERC on the current regional transmission service rates and annual updates to the ISO and NEPOOL on projected regional transmission rates, as shown in </w:t>
      </w:r>
      <w:r w:rsidRPr="00B969ED">
        <w:fldChar w:fldCharType="begin"/>
      </w:r>
      <w:r w:rsidRPr="00B969ED">
        <w:instrText xml:space="preserve"> REF _Ref486007674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2</w:t>
      </w:r>
      <w:r w:rsidRPr="00B969ED">
        <w:fldChar w:fldCharType="end"/>
      </w:r>
      <w:r w:rsidRPr="00B969ED">
        <w:t>.</w:t>
      </w:r>
      <w:r w:rsidRPr="00B969ED">
        <w:rPr>
          <w:vertAlign w:val="superscript"/>
        </w:rPr>
        <w:footnoteReference w:id="213"/>
      </w:r>
    </w:p>
    <w:p w14:paraId="3EE025C5" w14:textId="27CF308B" w:rsidR="001E6E4E" w:rsidRPr="00B969ED" w:rsidRDefault="00B969ED" w:rsidP="00184B7E">
      <w:pPr>
        <w:keepNext/>
        <w:keepLines/>
        <w:spacing w:after="120" w:line="240" w:lineRule="auto"/>
        <w:jc w:val="center"/>
        <w:rPr>
          <w:rFonts w:ascii="Calibri" w:hAnsi="Calibri"/>
          <w:b/>
          <w:szCs w:val="18"/>
          <w:vertAlign w:val="superscript"/>
        </w:rPr>
      </w:pPr>
      <w:bookmarkStart w:id="699" w:name="_Ref486007674"/>
      <w:bookmarkStart w:id="700" w:name="_Toc429063570"/>
      <w:bookmarkStart w:id="701" w:name="_Toc491244015"/>
      <w:bookmarkStart w:id="702" w:name="_Toc12795343"/>
      <w:r w:rsidRPr="00184B7E">
        <w:rPr>
          <w:rFonts w:ascii="Calibri" w:hAnsi="Calibri"/>
          <w:b/>
          <w:bCs/>
          <w:szCs w:val="18"/>
        </w:rPr>
        <w:lastRenderedPageBreak/>
        <w:t xml:space="preserve">Table </w:t>
      </w:r>
      <w:r w:rsidR="0082639A" w:rsidRPr="00184B7E">
        <w:rPr>
          <w:rFonts w:ascii="Calibri" w:hAnsi="Calibri"/>
          <w:b/>
          <w:bCs/>
          <w:szCs w:val="18"/>
        </w:rPr>
        <w:fldChar w:fldCharType="begin"/>
      </w:r>
      <w:r w:rsidR="0082639A" w:rsidRPr="00184B7E">
        <w:rPr>
          <w:rFonts w:ascii="Calibri" w:hAnsi="Calibri"/>
          <w:b/>
          <w:bCs/>
          <w:szCs w:val="18"/>
        </w:rPr>
        <w:instrText xml:space="preserve"> STYLEREF 1 \s </w:instrText>
      </w:r>
      <w:r w:rsidR="0082639A" w:rsidRPr="00184B7E">
        <w:rPr>
          <w:rFonts w:ascii="Calibri" w:hAnsi="Calibri"/>
          <w:b/>
          <w:bCs/>
          <w:szCs w:val="18"/>
        </w:rPr>
        <w:fldChar w:fldCharType="separate"/>
      </w:r>
      <w:r w:rsidR="005D0B73">
        <w:rPr>
          <w:rFonts w:ascii="Calibri" w:hAnsi="Calibri"/>
          <w:b/>
          <w:bCs/>
          <w:noProof/>
          <w:szCs w:val="18"/>
        </w:rPr>
        <w:t>5</w:t>
      </w:r>
      <w:r w:rsidR="0082639A" w:rsidRPr="00184B7E">
        <w:rPr>
          <w:rFonts w:ascii="Calibri" w:hAnsi="Calibri"/>
          <w:b/>
          <w:bCs/>
          <w:szCs w:val="18"/>
        </w:rPr>
        <w:fldChar w:fldCharType="end"/>
      </w:r>
      <w:r w:rsidR="0082639A" w:rsidRPr="00184B7E">
        <w:rPr>
          <w:rFonts w:ascii="Calibri" w:hAnsi="Calibri"/>
          <w:b/>
          <w:bCs/>
          <w:szCs w:val="18"/>
        </w:rPr>
        <w:noBreakHyphen/>
      </w:r>
      <w:r w:rsidR="0082639A" w:rsidRPr="00184B7E">
        <w:rPr>
          <w:rFonts w:ascii="Calibri" w:hAnsi="Calibri"/>
          <w:b/>
          <w:bCs/>
          <w:szCs w:val="18"/>
        </w:rPr>
        <w:fldChar w:fldCharType="begin"/>
      </w:r>
      <w:r w:rsidR="0082639A" w:rsidRPr="00184B7E">
        <w:rPr>
          <w:rFonts w:ascii="Calibri" w:hAnsi="Calibri"/>
          <w:b/>
          <w:bCs/>
          <w:szCs w:val="18"/>
        </w:rPr>
        <w:instrText xml:space="preserve"> SEQ Table \* ARABIC \s 1 </w:instrText>
      </w:r>
      <w:r w:rsidR="0082639A" w:rsidRPr="00184B7E">
        <w:rPr>
          <w:rFonts w:ascii="Calibri" w:hAnsi="Calibri"/>
          <w:b/>
          <w:bCs/>
          <w:szCs w:val="18"/>
        </w:rPr>
        <w:fldChar w:fldCharType="separate"/>
      </w:r>
      <w:r w:rsidR="005D0B73">
        <w:rPr>
          <w:rFonts w:ascii="Calibri" w:hAnsi="Calibri"/>
          <w:b/>
          <w:bCs/>
          <w:noProof/>
          <w:szCs w:val="18"/>
        </w:rPr>
        <w:t>2</w:t>
      </w:r>
      <w:r w:rsidR="0082639A" w:rsidRPr="00184B7E">
        <w:rPr>
          <w:rFonts w:ascii="Calibri" w:hAnsi="Calibri"/>
          <w:b/>
          <w:bCs/>
          <w:szCs w:val="18"/>
        </w:rPr>
        <w:fldChar w:fldCharType="end"/>
      </w:r>
      <w:bookmarkEnd w:id="699"/>
      <w:r w:rsidRPr="00184B7E">
        <w:rPr>
          <w:rFonts w:ascii="Calibri" w:hAnsi="Calibri"/>
          <w:b/>
          <w:szCs w:val="18"/>
        </w:rPr>
        <w:br/>
        <w:t>Actual and Forecast Regional Transmission Service Rates, 201</w:t>
      </w:r>
      <w:r w:rsidR="006A0FFF" w:rsidRPr="00184B7E">
        <w:rPr>
          <w:rFonts w:ascii="Calibri" w:hAnsi="Calibri"/>
          <w:b/>
          <w:szCs w:val="18"/>
        </w:rPr>
        <w:t>8</w:t>
      </w:r>
      <w:r w:rsidRPr="00184B7E">
        <w:rPr>
          <w:rFonts w:ascii="Calibri" w:hAnsi="Calibri"/>
          <w:b/>
          <w:szCs w:val="18"/>
        </w:rPr>
        <w:t xml:space="preserve"> to 202</w:t>
      </w:r>
      <w:r w:rsidR="006A0FFF" w:rsidRPr="00184B7E">
        <w:rPr>
          <w:rFonts w:ascii="Calibri" w:hAnsi="Calibri"/>
          <w:b/>
          <w:szCs w:val="18"/>
        </w:rPr>
        <w:t>3</w:t>
      </w:r>
      <w:r w:rsidRPr="00184B7E">
        <w:rPr>
          <w:rFonts w:ascii="Calibri" w:hAnsi="Calibri"/>
          <w:b/>
          <w:szCs w:val="18"/>
          <w:vertAlign w:val="superscript"/>
        </w:rPr>
        <w:t>(a)</w:t>
      </w:r>
      <w:bookmarkEnd w:id="700"/>
      <w:bookmarkEnd w:id="701"/>
      <w:bookmarkEnd w:id="702"/>
    </w:p>
    <w:tbl>
      <w:tblPr>
        <w:tblStyle w:val="TableGrid3"/>
        <w:tblW w:w="90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729"/>
        <w:gridCol w:w="1050"/>
        <w:gridCol w:w="1050"/>
        <w:gridCol w:w="1050"/>
        <w:gridCol w:w="1051"/>
        <w:gridCol w:w="1051"/>
        <w:gridCol w:w="1051"/>
      </w:tblGrid>
      <w:tr w:rsidR="00B969ED" w:rsidRPr="00B969ED" w14:paraId="31145B79" w14:textId="77777777" w:rsidTr="004C7089">
        <w:trPr>
          <w:cantSplit/>
          <w:trHeight w:val="360"/>
          <w:jc w:val="center"/>
        </w:trPr>
        <w:tc>
          <w:tcPr>
            <w:tcW w:w="2729" w:type="dxa"/>
            <w:vMerge w:val="restart"/>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tcPr>
          <w:p w14:paraId="3815BF53" w14:textId="77777777"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355994F1" w14:textId="0A01E3FE"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w:t>
            </w:r>
            <w:r w:rsidR="006A0FFF">
              <w:rPr>
                <w:rFonts w:asciiTheme="minorHAnsi" w:hAnsiTheme="minorHAnsi" w:cs="Arial"/>
                <w:b/>
                <w:color w:val="FFFFFF" w:themeColor="background1"/>
                <w:sz w:val="18"/>
                <w:szCs w:val="18"/>
              </w:rPr>
              <w:t>8</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48B3A775" w14:textId="0594458B"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201</w:t>
            </w:r>
            <w:r w:rsidR="006A0FFF">
              <w:rPr>
                <w:rFonts w:asciiTheme="minorHAnsi" w:hAnsiTheme="minorHAnsi" w:cs="Arial"/>
                <w:b/>
                <w:color w:val="FFFFFF" w:themeColor="background1"/>
                <w:sz w:val="18"/>
                <w:szCs w:val="18"/>
              </w:rPr>
              <w:t>9</w:t>
            </w:r>
          </w:p>
        </w:tc>
        <w:tc>
          <w:tcPr>
            <w:tcW w:w="1050"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2F2C1F67" w14:textId="243C96CD"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w:t>
            </w:r>
            <w:r w:rsidR="006A0FFF">
              <w:rPr>
                <w:rFonts w:asciiTheme="minorHAnsi" w:hAnsiTheme="minorHAnsi" w:cs="Arial"/>
                <w:b/>
                <w:color w:val="FFFFFF" w:themeColor="background1"/>
                <w:sz w:val="18"/>
                <w:szCs w:val="18"/>
              </w:rPr>
              <w:t>20</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4ABD7B79" w14:textId="4371FDE1"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w:t>
            </w:r>
            <w:r w:rsidR="006A0FFF">
              <w:rPr>
                <w:rFonts w:asciiTheme="minorHAnsi" w:hAnsiTheme="minorHAnsi" w:cs="Arial"/>
                <w:b/>
                <w:color w:val="FFFFFF" w:themeColor="background1"/>
                <w:sz w:val="18"/>
                <w:szCs w:val="18"/>
              </w:rPr>
              <w:t>2</w:t>
            </w:r>
            <w:r w:rsidRPr="00B969ED">
              <w:rPr>
                <w:rFonts w:asciiTheme="minorHAnsi" w:hAnsiTheme="minorHAnsi" w:cs="Arial"/>
                <w:b/>
                <w:color w:val="FFFFFF" w:themeColor="background1"/>
                <w:sz w:val="18"/>
                <w:szCs w:val="18"/>
              </w:rPr>
              <w:t>1</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6236AE9E" w14:textId="07257E8D"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w:t>
            </w:r>
            <w:r w:rsidR="006A0FFF">
              <w:rPr>
                <w:rFonts w:asciiTheme="minorHAnsi" w:hAnsiTheme="minorHAnsi" w:cs="Arial"/>
                <w:b/>
                <w:color w:val="FFFFFF" w:themeColor="background1"/>
                <w:sz w:val="18"/>
                <w:szCs w:val="18"/>
              </w:rPr>
              <w:t>2</w:t>
            </w:r>
          </w:p>
        </w:tc>
        <w:tc>
          <w:tcPr>
            <w:tcW w:w="1051"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66D5BF2F" w14:textId="4474AA95" w:rsidR="00B969ED" w:rsidRPr="00B969ED" w:rsidRDefault="00B969ED" w:rsidP="006A0FFF">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202</w:t>
            </w:r>
            <w:r w:rsidR="006A0FFF">
              <w:rPr>
                <w:rFonts w:asciiTheme="minorHAnsi" w:hAnsiTheme="minorHAnsi" w:cs="Arial"/>
                <w:b/>
                <w:color w:val="FFFFFF" w:themeColor="background1"/>
                <w:sz w:val="18"/>
                <w:szCs w:val="18"/>
              </w:rPr>
              <w:t>3</w:t>
            </w:r>
          </w:p>
        </w:tc>
      </w:tr>
      <w:tr w:rsidR="00B969ED" w:rsidRPr="00B969ED" w14:paraId="7F137DDC" w14:textId="77777777" w:rsidTr="004C7089">
        <w:trPr>
          <w:cantSplit/>
          <w:trHeight w:val="360"/>
          <w:jc w:val="center"/>
        </w:trPr>
        <w:tc>
          <w:tcPr>
            <w:tcW w:w="0" w:type="auto"/>
            <w:vMerge/>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7505EBEC" w14:textId="77777777" w:rsidR="00B969ED" w:rsidRPr="00B969ED" w:rsidRDefault="00B969ED" w:rsidP="00B969ED">
            <w:pPr>
              <w:keepNext/>
              <w:keepLines/>
              <w:spacing w:before="20" w:after="20" w:line="240" w:lineRule="auto"/>
              <w:rPr>
                <w:rFonts w:asciiTheme="minorHAnsi" w:hAnsiTheme="minorHAnsi" w:cs="Arial"/>
                <w:b/>
                <w:bCs/>
                <w:color w:val="FFFFFF" w:themeColor="background1"/>
                <w:sz w:val="18"/>
                <w:szCs w:val="18"/>
              </w:rPr>
            </w:pPr>
          </w:p>
        </w:tc>
        <w:tc>
          <w:tcPr>
            <w:tcW w:w="2100"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7F38BB0F" w14:textId="77777777"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Actual</w:t>
            </w:r>
            <w:r w:rsidRPr="00B969ED">
              <w:rPr>
                <w:rFonts w:asciiTheme="minorHAnsi" w:hAnsiTheme="minorHAnsi" w:cs="Arial"/>
                <w:b/>
                <w:color w:val="FFFFFF" w:themeColor="background1"/>
                <w:sz w:val="18"/>
                <w:szCs w:val="18"/>
                <w:vertAlign w:val="superscript"/>
              </w:rPr>
              <w:t>(b)</w:t>
            </w:r>
          </w:p>
        </w:tc>
        <w:tc>
          <w:tcPr>
            <w:tcW w:w="4203" w:type="dxa"/>
            <w:gridSpan w:val="4"/>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14:paraId="3E6D383E" w14:textId="77777777" w:rsidR="00B969ED" w:rsidRPr="00B969ED" w:rsidRDefault="00B969ED" w:rsidP="00B969ED">
            <w:pPr>
              <w:keepNext/>
              <w:keepLines/>
              <w:spacing w:before="20" w:after="20" w:line="240" w:lineRule="auto"/>
              <w:jc w:val="center"/>
              <w:rPr>
                <w:rFonts w:asciiTheme="minorHAnsi" w:hAnsiTheme="minorHAnsi" w:cs="Arial"/>
                <w:b/>
                <w:color w:val="FFFFFF" w:themeColor="background1"/>
                <w:sz w:val="18"/>
                <w:szCs w:val="18"/>
              </w:rPr>
            </w:pPr>
            <w:r w:rsidRPr="00B969ED">
              <w:rPr>
                <w:rFonts w:asciiTheme="minorHAnsi" w:hAnsiTheme="minorHAnsi" w:cs="Arial"/>
                <w:b/>
                <w:color w:val="FFFFFF" w:themeColor="background1"/>
                <w:sz w:val="18"/>
                <w:szCs w:val="18"/>
              </w:rPr>
              <w:t>Forecast</w:t>
            </w:r>
            <w:r w:rsidRPr="00B969ED">
              <w:rPr>
                <w:rFonts w:asciiTheme="minorHAnsi" w:hAnsiTheme="minorHAnsi" w:cs="Arial"/>
                <w:b/>
                <w:color w:val="FFFFFF" w:themeColor="background1"/>
                <w:sz w:val="18"/>
                <w:szCs w:val="18"/>
                <w:vertAlign w:val="superscript"/>
              </w:rPr>
              <w:t>(c)</w:t>
            </w:r>
          </w:p>
        </w:tc>
      </w:tr>
      <w:tr w:rsidR="006A0FFF" w:rsidRPr="00B969ED" w14:paraId="26FAE72E"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29D04ADF"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Estimated additions in service and CWIP ($ millions)</w:t>
            </w:r>
            <w:r w:rsidRPr="00B969ED">
              <w:rPr>
                <w:rFonts w:asciiTheme="minorHAnsi" w:hAnsiTheme="minorHAnsi" w:cs="Arial"/>
                <w:b/>
                <w:sz w:val="18"/>
                <w:szCs w:val="18"/>
                <w:vertAlign w:val="superscript"/>
              </w:rPr>
              <w:t>(d)</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36D520DB" w14:textId="4AC0FB48"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295A5537" w14:textId="660B8415"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N/A</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0983E8CA" w14:textId="62D6FA0F"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1,076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24863DA3" w14:textId="6C4408E2"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930</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4CF76F27" w14:textId="0915B47A"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1,036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4B701C4F" w14:textId="20B94EDD"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704</w:t>
            </w:r>
          </w:p>
        </w:tc>
      </w:tr>
      <w:tr w:rsidR="006A0FFF" w:rsidRPr="00B969ED" w14:paraId="7B899BD7"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02839972"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Forecasted revenue requirement</w:t>
            </w:r>
          </w:p>
          <w:p w14:paraId="0DA253B4"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 millions)</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2771D718" w14:textId="00134403"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N/A</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5556EC3" w14:textId="7E24E4C1"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N/A</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49870DC6" w14:textId="6868ACC2"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148</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D284416" w14:textId="12B884A4"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125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6CC8F40E" w14:textId="4BC54C36"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Calibri" w:hAnsi="Calibri"/>
                <w:color w:val="000000"/>
                <w:sz w:val="18"/>
                <w:szCs w:val="18"/>
              </w:rPr>
              <w:t>145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7447A4C9" w14:textId="6B099C24"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94</w:t>
            </w:r>
          </w:p>
        </w:tc>
      </w:tr>
      <w:tr w:rsidR="006A0FFF" w:rsidRPr="00B969ED" w14:paraId="26DE7E0A"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692C8BCD" w14:textId="391E0346" w:rsidR="006A0FFF" w:rsidRPr="00B969ED" w:rsidRDefault="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Total revenue requirement</w:t>
            </w:r>
            <w:r>
              <w:rPr>
                <w:rFonts w:asciiTheme="minorHAnsi" w:hAnsiTheme="minorHAnsi" w:cs="Arial"/>
                <w:b/>
                <w:sz w:val="18"/>
                <w:szCs w:val="18"/>
              </w:rPr>
              <w:br/>
              <w:t>($ millions)</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6CFC2BAF" w14:textId="6AB7F9D3"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s="Arial"/>
                <w:sz w:val="18"/>
                <w:szCs w:val="18"/>
              </w:rPr>
              <w:t>2,</w:t>
            </w:r>
            <w:r w:rsidRPr="005B3569">
              <w:rPr>
                <w:rFonts w:asciiTheme="minorHAnsi" w:hAnsiTheme="minorHAnsi" w:cs="Arial"/>
                <w:sz w:val="18"/>
                <w:szCs w:val="18"/>
              </w:rPr>
              <w:t>146</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2124CE37" w14:textId="2EF81175"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2,1</w:t>
            </w:r>
            <w:r w:rsidRPr="005B3569">
              <w:rPr>
                <w:rFonts w:asciiTheme="minorHAnsi" w:hAnsiTheme="minorHAnsi"/>
                <w:color w:val="000000"/>
                <w:sz w:val="18"/>
                <w:szCs w:val="18"/>
              </w:rPr>
              <w:t>88</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1C07CE5A" w14:textId="7DC28E5E"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C500FF">
              <w:rPr>
                <w:rFonts w:asciiTheme="minorHAnsi" w:hAnsiTheme="minorHAnsi"/>
                <w:color w:val="000000"/>
                <w:sz w:val="18"/>
                <w:szCs w:val="18"/>
              </w:rPr>
              <w:t>2,3</w:t>
            </w:r>
            <w:r>
              <w:rPr>
                <w:rFonts w:asciiTheme="minorHAnsi" w:hAnsiTheme="minorHAnsi"/>
                <w:color w:val="000000"/>
                <w:sz w:val="18"/>
                <w:szCs w:val="18"/>
              </w:rPr>
              <w:t>36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72841946" w14:textId="2BDC9653"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2,461</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50CA96AD" w14:textId="487FB077"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2,606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07035B9E" w14:textId="65A1958D" w:rsidR="006A0FFF" w:rsidRPr="00B969ED" w:rsidRDefault="006A0FFF" w:rsidP="006A0FFF">
            <w:pPr>
              <w:keepNext/>
              <w:keepLines/>
              <w:spacing w:before="20" w:after="20" w:line="240" w:lineRule="auto"/>
              <w:jc w:val="center"/>
              <w:rPr>
                <w:rFonts w:asciiTheme="minorHAnsi" w:hAnsiTheme="minorHAnsi"/>
                <w:color w:val="000000"/>
                <w:sz w:val="18"/>
                <w:szCs w:val="18"/>
              </w:rPr>
            </w:pPr>
            <w:r>
              <w:rPr>
                <w:rFonts w:asciiTheme="minorHAnsi" w:hAnsiTheme="minorHAnsi"/>
                <w:color w:val="000000"/>
                <w:sz w:val="18"/>
                <w:szCs w:val="18"/>
              </w:rPr>
              <w:t>2,700</w:t>
            </w:r>
          </w:p>
        </w:tc>
      </w:tr>
      <w:tr w:rsidR="006A0FFF" w:rsidRPr="00B969ED" w14:paraId="0FC9C818"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4095FD9B"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Year-prior 12 CP (kW)</w:t>
            </w:r>
            <w:r w:rsidRPr="00B969ED">
              <w:rPr>
                <w:rFonts w:asciiTheme="minorHAnsi" w:hAnsiTheme="minorHAnsi" w:cs="Arial"/>
                <w:b/>
                <w:sz w:val="18"/>
                <w:szCs w:val="18"/>
                <w:vertAlign w:val="superscript"/>
              </w:rPr>
              <w:t>(e)</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52EF115" w14:textId="02F337A4"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19,</w:t>
            </w:r>
            <w:r w:rsidRPr="005B3569">
              <w:rPr>
                <w:rFonts w:asciiTheme="minorHAnsi" w:hAnsiTheme="minorHAnsi"/>
                <w:color w:val="000000"/>
                <w:sz w:val="18"/>
                <w:szCs w:val="18"/>
              </w:rPr>
              <w:t>436,373</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04E3A14D" w14:textId="47AA33E4"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19,542,342</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2BAFC551" w14:textId="67959D33"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11316CB3" w14:textId="71BCA988"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3023D250" w14:textId="6DC0B7D8"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6948253F" w14:textId="1559D9F9"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512BE7">
              <w:rPr>
                <w:rFonts w:asciiTheme="minorHAnsi" w:hAnsiTheme="minorHAnsi"/>
                <w:color w:val="000000"/>
                <w:sz w:val="18"/>
                <w:szCs w:val="18"/>
              </w:rPr>
              <w:t>19,</w:t>
            </w:r>
            <w:r w:rsidRPr="00BA1C95">
              <w:rPr>
                <w:rFonts w:asciiTheme="minorHAnsi" w:hAnsiTheme="minorHAnsi"/>
                <w:color w:val="000000"/>
                <w:sz w:val="18"/>
                <w:szCs w:val="18"/>
              </w:rPr>
              <w:t>542</w:t>
            </w:r>
            <w:r w:rsidRPr="00512BE7">
              <w:rPr>
                <w:rFonts w:asciiTheme="minorHAnsi" w:hAnsiTheme="minorHAnsi"/>
                <w:color w:val="000000"/>
                <w:sz w:val="18"/>
                <w:szCs w:val="18"/>
              </w:rPr>
              <w:t>,</w:t>
            </w:r>
            <w:r w:rsidRPr="00BA1C95">
              <w:rPr>
                <w:rFonts w:asciiTheme="minorHAnsi" w:hAnsiTheme="minorHAnsi"/>
                <w:color w:val="000000"/>
                <w:sz w:val="18"/>
                <w:szCs w:val="18"/>
              </w:rPr>
              <w:t>342</w:t>
            </w:r>
          </w:p>
        </w:tc>
      </w:tr>
      <w:tr w:rsidR="006A0FFF" w:rsidRPr="00B969ED" w14:paraId="1679B86A" w14:textId="77777777" w:rsidTr="006A0FFF">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4B0DEAE7"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increase from prior year ($/kW-year)</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14:paraId="6FF983DF" w14:textId="66F21C8F" w:rsidR="006A0FFF" w:rsidRPr="00B969ED" w:rsidRDefault="00626AA3" w:rsidP="006A0FFF">
            <w:pPr>
              <w:keepNext/>
              <w:keepLines/>
              <w:spacing w:before="20" w:after="20" w:line="240" w:lineRule="auto"/>
              <w:jc w:val="center"/>
              <w:rPr>
                <w:rFonts w:asciiTheme="minorHAnsi" w:hAnsiTheme="minorHAnsi" w:cs="Arial"/>
                <w:sz w:val="18"/>
                <w:szCs w:val="18"/>
              </w:rPr>
            </w:pPr>
            <w:r>
              <w:rPr>
                <w:rFonts w:asciiTheme="minorHAnsi" w:hAnsiTheme="minorHAnsi" w:cstheme="minorHAnsi"/>
                <w:sz w:val="18"/>
                <w:szCs w:val="18"/>
              </w:rPr>
              <w:t>−</w:t>
            </w:r>
            <w:r w:rsidR="006A0FFF" w:rsidRPr="005B3569">
              <w:rPr>
                <w:rFonts w:asciiTheme="minorHAnsi" w:hAnsiTheme="minorHAnsi" w:cs="Arial"/>
                <w:sz w:val="18"/>
                <w:szCs w:val="18"/>
              </w:rPr>
              <w:t>1.53</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5244E7B0" w14:textId="6B84F85A" w:rsidR="006A0FFF" w:rsidRPr="00B969ED" w:rsidRDefault="006A0FFF" w:rsidP="006A0FFF">
            <w:pPr>
              <w:keepNext/>
              <w:keepLines/>
              <w:spacing w:before="20" w:after="20" w:line="240" w:lineRule="auto"/>
              <w:jc w:val="center"/>
              <w:rPr>
                <w:rFonts w:asciiTheme="minorHAnsi" w:hAnsiTheme="minorHAnsi" w:cs="Arial"/>
                <w:sz w:val="18"/>
                <w:szCs w:val="18"/>
              </w:rPr>
            </w:pPr>
            <w:r w:rsidRPr="005B3569">
              <w:rPr>
                <w:rFonts w:asciiTheme="minorHAnsi" w:hAnsiTheme="minorHAnsi" w:cs="Arial"/>
                <w:sz w:val="18"/>
                <w:szCs w:val="18"/>
              </w:rPr>
              <w:t>1.51</w:t>
            </w:r>
          </w:p>
        </w:tc>
        <w:tc>
          <w:tcPr>
            <w:tcW w:w="1050"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38793782" w14:textId="673886A9"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8</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1D5357A3" w14:textId="7E92E5DF"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6</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2155C0CA" w14:textId="64898C1A"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7</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71D1BE2D" w14:textId="0BD0B776"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5</w:t>
            </w:r>
          </w:p>
        </w:tc>
      </w:tr>
      <w:tr w:rsidR="006A0FFF" w:rsidRPr="00B969ED" w14:paraId="1D627225"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6A47BEB"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RNS rate ($/kW-year)</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7F32D629" w14:textId="611AE090"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1</w:t>
            </w:r>
            <w:r w:rsidRPr="005B3569">
              <w:rPr>
                <w:rFonts w:asciiTheme="minorHAnsi" w:hAnsiTheme="minorHAnsi" w:cs="Arial"/>
                <w:sz w:val="18"/>
                <w:szCs w:val="18"/>
              </w:rPr>
              <w:t>10</w:t>
            </w:r>
            <w:r w:rsidRPr="00D12DCA">
              <w:rPr>
                <w:rFonts w:asciiTheme="minorHAnsi" w:hAnsiTheme="minorHAnsi" w:cs="Arial"/>
                <w:sz w:val="18"/>
                <w:szCs w:val="18"/>
              </w:rPr>
              <w:t>.</w:t>
            </w:r>
            <w:r w:rsidRPr="005B3569">
              <w:rPr>
                <w:rFonts w:asciiTheme="minorHAnsi" w:hAnsiTheme="minorHAnsi" w:cs="Arial"/>
                <w:sz w:val="18"/>
                <w:szCs w:val="18"/>
              </w:rPr>
              <w:t>43</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C4EE365" w14:textId="5F25E514"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111.9</w:t>
            </w:r>
            <w:r w:rsidRPr="005B3569">
              <w:rPr>
                <w:rFonts w:asciiTheme="minorHAnsi" w:hAnsiTheme="minorHAnsi" w:cs="Arial"/>
                <w:sz w:val="18"/>
                <w:szCs w:val="18"/>
              </w:rPr>
              <w:t>4</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5976874F" w14:textId="4BD21844"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120</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3331D7F0" w14:textId="55F9C709"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126</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1A35DDCB" w14:textId="6A559868"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133</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1F8A72CA" w14:textId="70C4BC73"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138</w:t>
            </w:r>
          </w:p>
        </w:tc>
      </w:tr>
      <w:tr w:rsidR="006A0FFF" w:rsidRPr="00B969ED" w14:paraId="58D7AF8A" w14:textId="77777777" w:rsidTr="006A0FFF">
        <w:trPr>
          <w:cantSplit/>
          <w:trHeight w:val="360"/>
          <w:jc w:val="center"/>
        </w:trPr>
        <w:tc>
          <w:tcPr>
            <w:tcW w:w="2729"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64C1C936" w14:textId="5473E6F1"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 xml:space="preserve">RNS rate </w:t>
            </w:r>
            <w:r>
              <w:rPr>
                <w:rFonts w:asciiTheme="minorHAnsi" w:hAnsiTheme="minorHAnsi" w:cs="Arial"/>
                <w:b/>
                <w:sz w:val="18"/>
                <w:szCs w:val="18"/>
              </w:rPr>
              <w:t xml:space="preserve">assuming </w:t>
            </w:r>
            <w:r w:rsidRPr="00B969ED">
              <w:rPr>
                <w:rFonts w:asciiTheme="minorHAnsi" w:hAnsiTheme="minorHAnsi" w:cs="Arial"/>
                <w:b/>
                <w:sz w:val="18"/>
                <w:szCs w:val="18"/>
              </w:rPr>
              <w:t>a 5</w:t>
            </w:r>
            <w:r>
              <w:rPr>
                <w:rFonts w:asciiTheme="minorHAnsi" w:hAnsiTheme="minorHAnsi" w:cs="Arial"/>
                <w:b/>
                <w:sz w:val="18"/>
                <w:szCs w:val="18"/>
              </w:rPr>
              <w:t>4</w:t>
            </w:r>
            <w:r w:rsidRPr="00B969ED">
              <w:rPr>
                <w:rFonts w:asciiTheme="minorHAnsi" w:hAnsiTheme="minorHAnsi" w:cs="Arial"/>
                <w:b/>
                <w:sz w:val="18"/>
                <w:szCs w:val="18"/>
              </w:rPr>
              <w:t>.</w:t>
            </w:r>
            <w:r>
              <w:rPr>
                <w:rFonts w:asciiTheme="minorHAnsi" w:hAnsiTheme="minorHAnsi" w:cs="Arial"/>
                <w:b/>
                <w:sz w:val="18"/>
                <w:szCs w:val="18"/>
              </w:rPr>
              <w:t>1</w:t>
            </w:r>
            <w:r w:rsidRPr="00B969ED">
              <w:rPr>
                <w:rFonts w:asciiTheme="minorHAnsi" w:hAnsiTheme="minorHAnsi" w:cs="Arial"/>
                <w:b/>
                <w:sz w:val="18"/>
                <w:szCs w:val="18"/>
              </w:rPr>
              <w:t>% load factor) ($/kWh)</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14:paraId="7950F94D" w14:textId="467E6C7B"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w:t>
            </w:r>
            <w:r>
              <w:rPr>
                <w:rFonts w:asciiTheme="minorHAnsi" w:hAnsiTheme="minorHAnsi" w:cs="Arial"/>
                <w:sz w:val="18"/>
                <w:szCs w:val="18"/>
              </w:rPr>
              <w:t>18</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14:paraId="3278F343" w14:textId="7B148951"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w:t>
            </w:r>
            <w:r>
              <w:rPr>
                <w:rFonts w:asciiTheme="minorHAnsi" w:hAnsiTheme="minorHAnsi" w:cs="Arial"/>
                <w:sz w:val="18"/>
                <w:szCs w:val="18"/>
              </w:rPr>
              <w:t>19</w:t>
            </w:r>
          </w:p>
        </w:tc>
        <w:tc>
          <w:tcPr>
            <w:tcW w:w="1050" w:type="dxa"/>
            <w:tcBorders>
              <w:top w:val="single" w:sz="2" w:space="0" w:color="auto"/>
              <w:left w:val="single" w:sz="2" w:space="0" w:color="auto"/>
              <w:bottom w:val="single" w:sz="2" w:space="0" w:color="auto"/>
              <w:right w:val="single" w:sz="2" w:space="0" w:color="auto"/>
            </w:tcBorders>
            <w:shd w:val="clear" w:color="auto" w:fill="auto"/>
            <w:tcMar>
              <w:top w:w="14" w:type="dxa"/>
              <w:left w:w="115" w:type="dxa"/>
              <w:bottom w:w="14" w:type="dxa"/>
              <w:right w:w="115" w:type="dxa"/>
            </w:tcMar>
            <w:vAlign w:val="center"/>
            <w:hideMark/>
          </w:tcPr>
          <w:p w14:paraId="65192795" w14:textId="5DE4D213" w:rsidR="006A0FFF" w:rsidRPr="00B969ED" w:rsidRDefault="006A0FFF" w:rsidP="006A0FFF">
            <w:pPr>
              <w:keepNext/>
              <w:keepLines/>
              <w:spacing w:before="20" w:after="20" w:line="240" w:lineRule="auto"/>
              <w:jc w:val="center"/>
              <w:rPr>
                <w:rFonts w:asciiTheme="minorHAnsi" w:hAnsiTheme="minorHAnsi" w:cs="Arial"/>
                <w:sz w:val="18"/>
                <w:szCs w:val="18"/>
              </w:rPr>
            </w:pPr>
            <w:r w:rsidRPr="00D12DCA">
              <w:rPr>
                <w:rFonts w:asciiTheme="minorHAnsi" w:hAnsiTheme="minorHAnsi" w:cs="Arial"/>
                <w:sz w:val="18"/>
                <w:szCs w:val="18"/>
              </w:rPr>
              <w:t>0.019</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11105B98" w14:textId="2E5C013D"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0.020</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3B968F3D" w14:textId="1AA84EF0"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0.021</w:t>
            </w:r>
          </w:p>
        </w:tc>
        <w:tc>
          <w:tcPr>
            <w:tcW w:w="105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14:paraId="1A01F9C5" w14:textId="45E9157E" w:rsidR="006A0FFF" w:rsidRPr="00B969ED" w:rsidRDefault="006A0FFF" w:rsidP="006A0FFF">
            <w:pPr>
              <w:keepNext/>
              <w:keepLines/>
              <w:spacing w:before="20" w:after="20" w:line="240" w:lineRule="auto"/>
              <w:jc w:val="center"/>
              <w:rPr>
                <w:rFonts w:asciiTheme="minorHAnsi" w:hAnsiTheme="minorHAnsi" w:cs="Arial"/>
                <w:sz w:val="18"/>
                <w:szCs w:val="18"/>
              </w:rPr>
            </w:pPr>
            <w:r w:rsidRPr="00FF16C4">
              <w:rPr>
                <w:rFonts w:asciiTheme="minorHAnsi" w:hAnsiTheme="minorHAnsi" w:cs="Arial"/>
                <w:sz w:val="18"/>
                <w:szCs w:val="18"/>
              </w:rPr>
              <w:t>0.022</w:t>
            </w:r>
          </w:p>
        </w:tc>
      </w:tr>
      <w:tr w:rsidR="006A0FFF" w:rsidRPr="00B969ED" w14:paraId="7F396452" w14:textId="77777777" w:rsidTr="004C7089">
        <w:trPr>
          <w:cantSplit/>
          <w:trHeight w:val="360"/>
          <w:jc w:val="center"/>
        </w:trPr>
        <w:tc>
          <w:tcPr>
            <w:tcW w:w="2729"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65762B14" w14:textId="77777777" w:rsidR="006A0FFF" w:rsidRPr="00B969ED" w:rsidRDefault="006A0FFF" w:rsidP="006A0FFF">
            <w:pPr>
              <w:keepNext/>
              <w:keepLines/>
              <w:spacing w:before="20" w:after="20" w:line="240" w:lineRule="auto"/>
              <w:rPr>
                <w:rFonts w:asciiTheme="minorHAnsi" w:hAnsiTheme="minorHAnsi" w:cs="Arial"/>
                <w:b/>
                <w:sz w:val="18"/>
                <w:szCs w:val="18"/>
              </w:rPr>
            </w:pPr>
            <w:r w:rsidRPr="00B969ED">
              <w:rPr>
                <w:rFonts w:asciiTheme="minorHAnsi" w:hAnsiTheme="minorHAnsi" w:cs="Arial"/>
                <w:b/>
                <w:sz w:val="18"/>
                <w:szCs w:val="18"/>
              </w:rPr>
              <w:t>TOUT service rate ($/kWh)</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015F9854" w14:textId="19EA677B"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0.01</w:t>
            </w:r>
            <w:r w:rsidRPr="005B3569">
              <w:rPr>
                <w:rFonts w:asciiTheme="minorHAnsi" w:hAnsiTheme="minorHAnsi"/>
                <w:color w:val="000000"/>
                <w:sz w:val="18"/>
                <w:szCs w:val="18"/>
              </w:rPr>
              <w:t>261</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4B637DDF" w14:textId="509091F4"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D12DCA">
              <w:rPr>
                <w:rFonts w:asciiTheme="minorHAnsi" w:hAnsiTheme="minorHAnsi"/>
                <w:color w:val="000000"/>
                <w:sz w:val="18"/>
                <w:szCs w:val="18"/>
              </w:rPr>
              <w:t>0.01278</w:t>
            </w:r>
          </w:p>
        </w:tc>
        <w:tc>
          <w:tcPr>
            <w:tcW w:w="1050"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42E0A60F" w14:textId="553C274A"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0.014</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3F4F6EC8" w14:textId="7FBC2010"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w:t>
            </w:r>
            <w:r w:rsidRPr="005B3569">
              <w:rPr>
                <w:rFonts w:asciiTheme="minorHAnsi" w:hAnsiTheme="minorHAnsi"/>
                <w:color w:val="000000"/>
                <w:sz w:val="18"/>
                <w:szCs w:val="18"/>
              </w:rPr>
              <w:t>4</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6559C69F" w14:textId="6F271260"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0.015</w:t>
            </w:r>
          </w:p>
        </w:tc>
        <w:tc>
          <w:tcPr>
            <w:tcW w:w="105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14:paraId="4025A50B" w14:textId="48F8E3C9" w:rsidR="006A0FFF" w:rsidRPr="00B969ED" w:rsidRDefault="006A0FFF" w:rsidP="006A0FFF">
            <w:pPr>
              <w:keepNext/>
              <w:keepLines/>
              <w:spacing w:before="20" w:after="20" w:line="240" w:lineRule="auto"/>
              <w:jc w:val="center"/>
              <w:rPr>
                <w:rFonts w:asciiTheme="minorHAnsi" w:hAnsiTheme="minorHAnsi"/>
                <w:color w:val="000000"/>
                <w:sz w:val="18"/>
                <w:szCs w:val="18"/>
              </w:rPr>
            </w:pPr>
            <w:r w:rsidRPr="00FF16C4">
              <w:rPr>
                <w:rFonts w:asciiTheme="minorHAnsi" w:hAnsiTheme="minorHAnsi"/>
                <w:color w:val="000000"/>
                <w:sz w:val="18"/>
                <w:szCs w:val="18"/>
              </w:rPr>
              <w:t>0.016</w:t>
            </w:r>
          </w:p>
        </w:tc>
      </w:tr>
    </w:tbl>
    <w:p w14:paraId="57CA8903" w14:textId="77777777" w:rsidR="00B969ED" w:rsidRPr="003039EF" w:rsidRDefault="00B969ED" w:rsidP="00B969ED">
      <w:pPr>
        <w:keepNext/>
        <w:keepLines/>
        <w:tabs>
          <w:tab w:val="left" w:pos="720"/>
        </w:tabs>
        <w:spacing w:before="120"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 xml:space="preserve">(a) </w:t>
      </w:r>
      <w:r w:rsidRPr="00B969ED">
        <w:rPr>
          <w:rFonts w:asciiTheme="minorHAnsi" w:hAnsiTheme="minorHAnsi" w:cs="Arial"/>
          <w:sz w:val="16"/>
          <w:szCs w:val="16"/>
        </w:rPr>
        <w:tab/>
      </w:r>
      <w:r w:rsidRPr="003039EF">
        <w:rPr>
          <w:rFonts w:asciiTheme="minorHAnsi" w:hAnsiTheme="minorHAnsi" w:cs="Arial"/>
          <w:sz w:val="16"/>
          <w:szCs w:val="16"/>
        </w:rPr>
        <w:t>The figures may not agree because of rounding.</w:t>
      </w:r>
    </w:p>
    <w:p w14:paraId="0FF70F3C" w14:textId="5A5ABE76" w:rsidR="00B969ED" w:rsidRPr="003039EF" w:rsidRDefault="00B969ED" w:rsidP="00B969ED">
      <w:pPr>
        <w:keepNext/>
        <w:keepLines/>
        <w:tabs>
          <w:tab w:val="left" w:pos="720"/>
        </w:tabs>
        <w:spacing w:after="80" w:line="240" w:lineRule="auto"/>
        <w:ind w:left="270" w:right="270" w:hanging="270"/>
        <w:rPr>
          <w:rFonts w:ascii="Calibri" w:eastAsia="Calibri" w:hAnsi="Calibri" w:cs="Arial"/>
          <w:color w:val="000000"/>
          <w:sz w:val="16"/>
          <w:szCs w:val="16"/>
        </w:rPr>
      </w:pPr>
      <w:r w:rsidRPr="003039EF">
        <w:rPr>
          <w:rFonts w:asciiTheme="minorHAnsi" w:hAnsiTheme="minorHAnsi" w:cs="Arial"/>
          <w:sz w:val="16"/>
          <w:szCs w:val="16"/>
        </w:rPr>
        <w:t xml:space="preserve">(b) </w:t>
      </w:r>
      <w:r w:rsidRPr="003039EF">
        <w:rPr>
          <w:rFonts w:asciiTheme="minorHAnsi" w:hAnsiTheme="minorHAnsi" w:cs="Arial"/>
          <w:sz w:val="16"/>
          <w:szCs w:val="16"/>
        </w:rPr>
        <w:tab/>
      </w:r>
      <w:r w:rsidR="006A0FFF" w:rsidRPr="003039EF">
        <w:rPr>
          <w:rFonts w:asciiTheme="minorHAnsi" w:hAnsiTheme="minorHAnsi" w:cs="Arial"/>
          <w:sz w:val="16"/>
          <w:szCs w:val="16"/>
        </w:rPr>
        <w:t xml:space="preserve">August 3, </w:t>
      </w:r>
      <w:r w:rsidRPr="003039EF">
        <w:rPr>
          <w:rFonts w:ascii="Calibri" w:eastAsia="Calibri" w:hAnsi="Calibri" w:cs="Arial"/>
          <w:color w:val="000000"/>
          <w:sz w:val="16"/>
          <w:szCs w:val="16"/>
        </w:rPr>
        <w:t>201</w:t>
      </w:r>
      <w:r w:rsidR="006A0FFF" w:rsidRPr="003039EF">
        <w:rPr>
          <w:rFonts w:ascii="Calibri" w:eastAsia="Calibri" w:hAnsi="Calibri" w:cs="Arial"/>
          <w:color w:val="000000"/>
          <w:sz w:val="16"/>
          <w:szCs w:val="16"/>
        </w:rPr>
        <w:t>8</w:t>
      </w:r>
      <w:r w:rsidRPr="003039EF">
        <w:rPr>
          <w:rFonts w:ascii="Calibri" w:eastAsia="Calibri" w:hAnsi="Calibri" w:cs="Arial"/>
          <w:color w:val="000000"/>
          <w:sz w:val="16"/>
          <w:szCs w:val="16"/>
        </w:rPr>
        <w:t xml:space="preserve"> PTO Administrative Committee (PTO-AC) Informational Filing, </w:t>
      </w:r>
      <w:r w:rsidR="006A0FFF" w:rsidRPr="003039EF">
        <w:rPr>
          <w:rFonts w:ascii="Calibri" w:eastAsia="Calibri" w:hAnsi="Calibri" w:cs="Arial"/>
          <w:color w:val="000000"/>
          <w:sz w:val="16"/>
          <w:szCs w:val="16"/>
        </w:rPr>
        <w:t xml:space="preserve">June 14, </w:t>
      </w:r>
      <w:r w:rsidRPr="003039EF">
        <w:rPr>
          <w:rFonts w:ascii="Calibri" w:eastAsia="Calibri" w:hAnsi="Calibri" w:cs="Arial"/>
          <w:color w:val="000000"/>
          <w:sz w:val="16"/>
          <w:szCs w:val="16"/>
        </w:rPr>
        <w:t>201</w:t>
      </w:r>
      <w:r w:rsidR="006A0FFF" w:rsidRPr="003039EF">
        <w:rPr>
          <w:rFonts w:ascii="Calibri" w:eastAsia="Calibri" w:hAnsi="Calibri" w:cs="Arial"/>
          <w:color w:val="000000"/>
          <w:sz w:val="16"/>
          <w:szCs w:val="16"/>
        </w:rPr>
        <w:t>9</w:t>
      </w:r>
      <w:r w:rsidRPr="003039EF">
        <w:rPr>
          <w:rFonts w:ascii="Calibri" w:eastAsia="Calibri" w:hAnsi="Calibri" w:cs="Arial"/>
          <w:color w:val="000000"/>
          <w:sz w:val="16"/>
          <w:szCs w:val="16"/>
        </w:rPr>
        <w:t xml:space="preserve"> PTO-AC </w:t>
      </w:r>
      <w:r w:rsidR="006A0FFF" w:rsidRPr="003039EF">
        <w:rPr>
          <w:rFonts w:ascii="Calibri" w:eastAsia="Calibri" w:hAnsi="Calibri" w:cs="Arial"/>
          <w:color w:val="000000"/>
          <w:sz w:val="16"/>
          <w:szCs w:val="16"/>
        </w:rPr>
        <w:t>i</w:t>
      </w:r>
      <w:r w:rsidRPr="003039EF">
        <w:rPr>
          <w:rFonts w:ascii="Calibri" w:eastAsia="Calibri" w:hAnsi="Calibri" w:cs="Arial"/>
          <w:color w:val="000000"/>
          <w:sz w:val="16"/>
          <w:szCs w:val="16"/>
        </w:rPr>
        <w:t xml:space="preserve">nformational </w:t>
      </w:r>
      <w:r w:rsidR="006A0FFF" w:rsidRPr="003039EF">
        <w:rPr>
          <w:rFonts w:ascii="Calibri" w:eastAsia="Calibri" w:hAnsi="Calibri" w:cs="Arial"/>
          <w:color w:val="000000"/>
          <w:sz w:val="16"/>
          <w:szCs w:val="16"/>
        </w:rPr>
        <w:t>f</w:t>
      </w:r>
      <w:r w:rsidRPr="003039EF">
        <w:rPr>
          <w:rFonts w:ascii="Calibri" w:eastAsia="Calibri" w:hAnsi="Calibri" w:cs="Arial"/>
          <w:color w:val="000000"/>
          <w:sz w:val="16"/>
          <w:szCs w:val="16"/>
        </w:rPr>
        <w:t>iling.</w:t>
      </w:r>
    </w:p>
    <w:p w14:paraId="14102DCB" w14:textId="5AA5B55B"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3039EF">
        <w:rPr>
          <w:rFonts w:asciiTheme="minorHAnsi" w:hAnsiTheme="minorHAnsi" w:cs="Arial"/>
          <w:sz w:val="16"/>
          <w:szCs w:val="16"/>
        </w:rPr>
        <w:t>(c)</w:t>
      </w:r>
      <w:r w:rsidRPr="003039EF">
        <w:rPr>
          <w:rFonts w:asciiTheme="minorHAnsi" w:hAnsiTheme="minorHAnsi" w:cs="Arial"/>
          <w:sz w:val="16"/>
          <w:szCs w:val="16"/>
        </w:rPr>
        <w:tab/>
        <w:t xml:space="preserve">Source: </w:t>
      </w:r>
      <w:r w:rsidRPr="003039EF">
        <w:rPr>
          <w:rFonts w:asciiTheme="minorHAnsi" w:hAnsiTheme="minorHAnsi" w:cs="Arial"/>
          <w:i/>
          <w:sz w:val="16"/>
          <w:szCs w:val="16"/>
        </w:rPr>
        <w:t>RNS Rates:</w:t>
      </w:r>
      <w:r w:rsidR="006A0FFF" w:rsidRPr="009F3091">
        <w:rPr>
          <w:sz w:val="16"/>
          <w:szCs w:val="16"/>
        </w:rPr>
        <w:t xml:space="preserve"> </w:t>
      </w:r>
      <w:r w:rsidR="006A0FFF" w:rsidRPr="003039EF">
        <w:rPr>
          <w:rFonts w:asciiTheme="minorHAnsi" w:hAnsiTheme="minorHAnsi" w:cs="Arial"/>
          <w:i/>
          <w:sz w:val="16"/>
          <w:szCs w:val="16"/>
        </w:rPr>
        <w:t xml:space="preserve">2019–2023 PTF Forecast, </w:t>
      </w:r>
      <w:r w:rsidR="006A0FFF" w:rsidRPr="009F3091">
        <w:rPr>
          <w:rFonts w:asciiTheme="minorHAnsi" w:hAnsiTheme="minorHAnsi" w:cs="Arial"/>
          <w:sz w:val="16"/>
          <w:szCs w:val="16"/>
        </w:rPr>
        <w:t xml:space="preserve">PTO-AC Rates Working Group presentation at the NEPOOL RC /TC Summer Meeting (July 16–17, 2019), </w:t>
      </w:r>
      <w:hyperlink r:id="rId54" w:history="1">
        <w:r w:rsidR="004976F9" w:rsidRPr="009F3091">
          <w:rPr>
            <w:rStyle w:val="Hyperlink"/>
            <w:rFonts w:asciiTheme="majorHAnsi" w:hAnsiTheme="majorHAnsi" w:cstheme="majorHAnsi"/>
            <w:sz w:val="16"/>
            <w:szCs w:val="16"/>
          </w:rPr>
          <w:t xml:space="preserve">https://www.iso-ne.com/static-assets/documents/2019/07/a03_rc_tc_2019_07_16_17_five_year_forecast.pptx. </w:t>
        </w:r>
        <w:r w:rsidR="006A0FFF" w:rsidRPr="009F3091">
          <w:rPr>
            <w:rStyle w:val="Hyperlink"/>
            <w:rFonts w:asciiTheme="majorHAnsi" w:hAnsiTheme="majorHAnsi" w:cstheme="majorHAnsi"/>
            <w:sz w:val="16"/>
            <w:szCs w:val="16"/>
          </w:rPr>
          <w:t>The 2020–2023</w:t>
        </w:r>
      </w:hyperlink>
      <w:r w:rsidR="004976F9" w:rsidRPr="009F3091">
        <w:rPr>
          <w:rFonts w:asciiTheme="majorHAnsi" w:hAnsiTheme="majorHAnsi" w:cstheme="majorHAnsi"/>
          <w:sz w:val="16"/>
          <w:szCs w:val="16"/>
        </w:rPr>
        <w:t xml:space="preserve"> </w:t>
      </w:r>
      <w:r w:rsidRPr="003039EF">
        <w:rPr>
          <w:rFonts w:asciiTheme="minorHAnsi" w:hAnsiTheme="minorHAnsi" w:cs="Arial"/>
          <w:sz w:val="16"/>
          <w:szCs w:val="16"/>
        </w:rPr>
        <w:t>rate forecast reflects P</w:t>
      </w:r>
      <w:r w:rsidRPr="00B969ED">
        <w:rPr>
          <w:rFonts w:asciiTheme="minorHAnsi" w:hAnsiTheme="minorHAnsi" w:cs="Arial"/>
          <w:sz w:val="16"/>
          <w:szCs w:val="16"/>
        </w:rPr>
        <w:t>TO Administrative Committee estimated data and assumptions and is preliminary and for illustrative purposes only. Therefore, such estimates, assumptions, and rates are expected to change as current data become available.</w:t>
      </w:r>
    </w:p>
    <w:p w14:paraId="4BB972AD" w14:textId="77777777" w:rsidR="00B969ED" w:rsidRPr="00B969ED" w:rsidRDefault="00B969ED" w:rsidP="00B969ED">
      <w:pPr>
        <w:keepNext/>
        <w:keepLines/>
        <w:tabs>
          <w:tab w:val="left" w:pos="720"/>
        </w:tabs>
        <w:spacing w:after="80" w:line="240" w:lineRule="auto"/>
        <w:ind w:left="270" w:right="270" w:hanging="270"/>
        <w:rPr>
          <w:rFonts w:asciiTheme="minorHAnsi" w:hAnsiTheme="minorHAnsi" w:cs="Arial"/>
          <w:sz w:val="16"/>
          <w:szCs w:val="16"/>
        </w:rPr>
      </w:pPr>
      <w:r w:rsidRPr="00B969ED">
        <w:rPr>
          <w:rFonts w:asciiTheme="minorHAnsi" w:hAnsiTheme="minorHAnsi" w:cs="Arial"/>
          <w:sz w:val="16"/>
          <w:szCs w:val="16"/>
        </w:rPr>
        <w:t>(d)</w:t>
      </w:r>
      <w:r w:rsidRPr="00B969ED">
        <w:rPr>
          <w:rFonts w:asciiTheme="minorHAnsi" w:hAnsiTheme="minorHAnsi" w:cs="Arial"/>
          <w:sz w:val="16"/>
          <w:szCs w:val="16"/>
        </w:rPr>
        <w:tab/>
        <w:t>“CWIP” refers to construction work in progress.</w:t>
      </w:r>
    </w:p>
    <w:p w14:paraId="24713DF3" w14:textId="77777777" w:rsidR="00B969ED" w:rsidRDefault="00B969ED" w:rsidP="00B969ED">
      <w:pPr>
        <w:keepNext/>
        <w:keepLines/>
        <w:spacing w:line="240" w:lineRule="auto"/>
        <w:ind w:left="270" w:right="270" w:hanging="270"/>
        <w:rPr>
          <w:rFonts w:asciiTheme="minorHAnsi" w:hAnsiTheme="minorHAnsi" w:cs="Arial"/>
          <w:sz w:val="16"/>
          <w:szCs w:val="16"/>
        </w:rPr>
      </w:pPr>
      <w:r w:rsidRPr="00B969ED">
        <w:rPr>
          <w:rFonts w:asciiTheme="minorHAnsi" w:hAnsiTheme="minorHAnsi" w:cs="Arial"/>
          <w:sz w:val="16"/>
          <w:szCs w:val="16"/>
        </w:rPr>
        <w:t>(e)</w:t>
      </w:r>
      <w:r w:rsidRPr="00B969ED">
        <w:rPr>
          <w:rFonts w:asciiTheme="minorHAnsi" w:hAnsiTheme="minorHAnsi" w:cs="Arial"/>
          <w:sz w:val="16"/>
          <w:szCs w:val="16"/>
        </w:rPr>
        <w:tab/>
        <w:t>“12 CP” refers to the average of all the monthly regional network loads (per the OATT, Section 21.2) for the 12 months of the calendar year on which the rate is based.</w:t>
      </w:r>
    </w:p>
    <w:p w14:paraId="27626AB8" w14:textId="77777777" w:rsidR="00B969ED" w:rsidRPr="00B969ED" w:rsidRDefault="00B969ED" w:rsidP="009F43F0">
      <w:pPr>
        <w:pStyle w:val="Heading3"/>
      </w:pPr>
      <w:bookmarkStart w:id="703" w:name="_Ref419207215"/>
      <w:bookmarkStart w:id="704" w:name="_Ref419228512"/>
      <w:bookmarkStart w:id="705" w:name="_Toc429063422"/>
      <w:bookmarkStart w:id="706" w:name="_Toc490323058"/>
      <w:bookmarkStart w:id="707" w:name="_Toc12795200"/>
      <w:r w:rsidRPr="00B969ED">
        <w:t>Lack of Need for Market-Efficiency-Related Transmission Upgrades</w:t>
      </w:r>
      <w:bookmarkEnd w:id="703"/>
      <w:bookmarkEnd w:id="704"/>
      <w:bookmarkEnd w:id="705"/>
      <w:bookmarkEnd w:id="706"/>
      <w:bookmarkEnd w:id="707"/>
    </w:p>
    <w:p w14:paraId="05A4EDB6" w14:textId="77777777" w:rsidR="00B969ED" w:rsidRPr="00B969ED" w:rsidRDefault="00B969ED" w:rsidP="00B969ED">
      <w:r w:rsidRPr="00B969ED">
        <w:t>To date, the ISO has not identified the need for METUs, primarily designed to reduce the total net production cost to supply the system load, because of the following:</w:t>
      </w:r>
    </w:p>
    <w:p w14:paraId="234022EE" w14:textId="77777777" w:rsidR="00B969ED" w:rsidRPr="00B969ED" w:rsidRDefault="00B969ED" w:rsidP="00955D2D">
      <w:pPr>
        <w:numPr>
          <w:ilvl w:val="0"/>
          <w:numId w:val="26"/>
        </w:numPr>
        <w:spacing w:after="120"/>
        <w:rPr>
          <w:rFonts w:eastAsia="Times New Roman"/>
        </w:rPr>
      </w:pPr>
      <w:r w:rsidRPr="00B969ED">
        <w:rPr>
          <w:rFonts w:eastAsia="Times New Roman"/>
        </w:rPr>
        <w:t>Reliability transmission upgrades have resulted in significant market-efficiency benefits, particularly when out-of-merit operating costs were reduced.</w:t>
      </w:r>
    </w:p>
    <w:p w14:paraId="6E88C6B2" w14:textId="77777777" w:rsidR="00B969ED" w:rsidRPr="00B969ED" w:rsidRDefault="00B969ED" w:rsidP="00955D2D">
      <w:pPr>
        <w:numPr>
          <w:ilvl w:val="0"/>
          <w:numId w:val="26"/>
        </w:numPr>
        <w:rPr>
          <w:rFonts w:eastAsia="Times New Roman"/>
        </w:rPr>
      </w:pPr>
      <w:r w:rsidRPr="00B969ED">
        <w:rPr>
          <w:rFonts w:eastAsia="Times New Roman"/>
        </w:rPr>
        <w:t>The development of economic resources and fast-start resources in response to the ISO’s wholesale electricity markets has also helped eliminate congestion and Net Commitment-Period Compensation (NCPC).</w:t>
      </w:r>
      <w:r w:rsidRPr="00B969ED">
        <w:rPr>
          <w:rFonts w:eastAsia="Times New Roman"/>
          <w:vertAlign w:val="superscript"/>
        </w:rPr>
        <w:footnoteReference w:id="214"/>
      </w:r>
      <w:r w:rsidRPr="00B969ED">
        <w:rPr>
          <w:rFonts w:eastAsia="Times New Roman"/>
        </w:rPr>
        <w:t xml:space="preserve"> </w:t>
      </w:r>
    </w:p>
    <w:p w14:paraId="103B8A63" w14:textId="2C27783E" w:rsidR="00B969ED" w:rsidRPr="00B969ED" w:rsidRDefault="00B969ED" w:rsidP="00B969ED">
      <w:r w:rsidRPr="00B969ED">
        <w:t>This section summarizes the historical systemwide congestion and NCPC. Economic studies are analyzing future system performance that may identify future need for METUs (see Section</w:t>
      </w:r>
      <w:r w:rsidR="00D20C0F">
        <w:t xml:space="preserve"> </w:t>
      </w:r>
      <w:r w:rsidR="00A34908">
        <w:fldChar w:fldCharType="begin"/>
      </w:r>
      <w:r w:rsidR="00A34908">
        <w:instrText xml:space="preserve"> REF _Ref418965112 \r \h </w:instrText>
      </w:r>
      <w:r w:rsidR="00A34908">
        <w:fldChar w:fldCharType="separate"/>
      </w:r>
      <w:r w:rsidR="005D0B73">
        <w:t>2.1.1.2</w:t>
      </w:r>
      <w:r w:rsidR="00A34908">
        <w:fldChar w:fldCharType="end"/>
      </w:r>
      <w:r w:rsidRPr="00B969ED">
        <w:t>).</w:t>
      </w:r>
    </w:p>
    <w:p w14:paraId="5738A4D9" w14:textId="77777777" w:rsidR="00B969ED" w:rsidRPr="00B969ED" w:rsidRDefault="00B969ED" w:rsidP="007012DC">
      <w:pPr>
        <w:pStyle w:val="Heading4"/>
      </w:pPr>
      <w:r w:rsidRPr="00B969ED">
        <w:lastRenderedPageBreak/>
        <w:t>Transmission Congestion</w:t>
      </w:r>
    </w:p>
    <w:p w14:paraId="3318EB1B" w14:textId="170695DC" w:rsidR="00BC16BD" w:rsidRDefault="00BC16BD" w:rsidP="00BC16BD">
      <w:r w:rsidRPr="00F645C1">
        <w:t xml:space="preserve">As shown in </w:t>
      </w:r>
      <w:r w:rsidRPr="00F645C1">
        <w:fldChar w:fldCharType="begin"/>
      </w:r>
      <w:r w:rsidRPr="00F645C1">
        <w:instrText xml:space="preserve"> REF _Ref418947088 \h  \* MERGEFORMAT </w:instrText>
      </w:r>
      <w:r w:rsidRPr="00F645C1">
        <w:fldChar w:fldCharType="separate"/>
      </w:r>
      <w:r w:rsidR="005D0B73" w:rsidRPr="005D0B73">
        <w:rPr>
          <w:bCs/>
          <w:szCs w:val="18"/>
        </w:rPr>
        <w:t>Table 5</w:t>
      </w:r>
      <w:r w:rsidR="005D0B73" w:rsidRPr="005D0B73">
        <w:rPr>
          <w:bCs/>
          <w:szCs w:val="18"/>
        </w:rPr>
        <w:noBreakHyphen/>
        <w:t>3</w:t>
      </w:r>
      <w:r w:rsidRPr="00F645C1">
        <w:fldChar w:fldCharType="end"/>
      </w:r>
      <w:r w:rsidRPr="00F645C1">
        <w:t xml:space="preserve">, recent experience has demonstrated that the regional transmission system has </w:t>
      </w:r>
      <w:r>
        <w:t>low</w:t>
      </w:r>
      <w:r w:rsidRPr="00F645C1">
        <w:t xml:space="preserve"> congestion among the New England load zones relative to the Hub. At approximately </w:t>
      </w:r>
      <w:r>
        <w:t xml:space="preserve">negative </w:t>
      </w:r>
      <w:r w:rsidRPr="00F645C1">
        <w:t>$</w:t>
      </w:r>
      <w:r>
        <w:t>65</w:t>
      </w:r>
      <w:r w:rsidR="009F43F0">
        <w:t> </w:t>
      </w:r>
      <w:r w:rsidRPr="00F645C1">
        <w:t>million in 201</w:t>
      </w:r>
      <w:r>
        <w:t>8</w:t>
      </w:r>
      <w:r w:rsidRPr="00F645C1">
        <w:t xml:space="preserve">, the total day-ahead and real-time congestion costs remain </w:t>
      </w:r>
      <w:r>
        <w:t>small</w:t>
      </w:r>
      <w:r w:rsidR="00700BF3">
        <w:t>,</w:t>
      </w:r>
      <w:r w:rsidRPr="00F645C1">
        <w:t xml:space="preserve"> and mitigation by additional transmission upgrades </w:t>
      </w:r>
      <w:r>
        <w:t xml:space="preserve">does </w:t>
      </w:r>
      <w:r w:rsidRPr="00F645C1">
        <w:t xml:space="preserve">not </w:t>
      </w:r>
      <w:r>
        <w:t xml:space="preserve">appear </w:t>
      </w:r>
      <w:r w:rsidRPr="00F645C1">
        <w:t xml:space="preserve">warranted. </w:t>
      </w:r>
      <w:r>
        <w:t xml:space="preserve">The congestion occurred primarily in the day-ahead market and was driven by cleared energy supplies in </w:t>
      </w:r>
      <w:r w:rsidR="00F700C1">
        <w:t>n</w:t>
      </w:r>
      <w:r>
        <w:t>orthern Maine imports from New Brunswick, and imports on the New York</w:t>
      </w:r>
      <w:r w:rsidR="00F700C1">
        <w:t xml:space="preserve"> </w:t>
      </w:r>
      <w:r>
        <w:t xml:space="preserve">North </w:t>
      </w:r>
      <w:r w:rsidR="00F700C1">
        <w:t>i</w:t>
      </w:r>
      <w:r>
        <w:t>nterface.</w:t>
      </w:r>
      <w:r w:rsidR="00700BF3">
        <w:rPr>
          <w:rStyle w:val="FootnoteReference"/>
        </w:rPr>
        <w:footnoteReference w:id="215"/>
      </w:r>
      <w:r>
        <w:t xml:space="preserve"> An economic study for the BHE area is underway and, if warranted, the ISO would follow up with a METU analysis (</w:t>
      </w:r>
      <w:r w:rsidR="00700BF3" w:rsidRPr="0003567C">
        <w:t>s</w:t>
      </w:r>
      <w:r w:rsidRPr="007C7C94">
        <w:t xml:space="preserve">ee Section </w:t>
      </w:r>
      <w:r w:rsidR="00A34908" w:rsidRPr="002B396B">
        <w:fldChar w:fldCharType="begin"/>
      </w:r>
      <w:r w:rsidR="00A34908" w:rsidRPr="00A34908">
        <w:instrText xml:space="preserve"> REF _Ref11667339 \r \h </w:instrText>
      </w:r>
      <w:r w:rsidR="00A34908">
        <w:instrText xml:space="preserve"> \* MERGEFORMAT </w:instrText>
      </w:r>
      <w:r w:rsidR="00A34908" w:rsidRPr="002B396B">
        <w:fldChar w:fldCharType="separate"/>
      </w:r>
      <w:r w:rsidR="005D0B73">
        <w:t>9.3.5</w:t>
      </w:r>
      <w:r w:rsidR="00A34908" w:rsidRPr="002B396B">
        <w:fldChar w:fldCharType="end"/>
      </w:r>
      <w:r w:rsidRPr="005658C2">
        <w:t>)</w:t>
      </w:r>
      <w:r w:rsidR="00700BF3" w:rsidRPr="00A34908">
        <w:t>.</w:t>
      </w:r>
      <w:r>
        <w:t xml:space="preserve"> Planned</w:t>
      </w:r>
      <w:r w:rsidRPr="00F645C1">
        <w:t xml:space="preserve"> reliability transmission upgrades could reduce congestion costs further, as well as reduce transmission system losses.</w:t>
      </w:r>
    </w:p>
    <w:p w14:paraId="5E002F37" w14:textId="725719EA" w:rsidR="00B969ED" w:rsidRDefault="00B969ED" w:rsidP="00B969ED">
      <w:pPr>
        <w:keepNext/>
        <w:keepLines/>
        <w:spacing w:after="120" w:line="240" w:lineRule="auto"/>
        <w:ind w:left="547" w:right="547"/>
        <w:jc w:val="center"/>
        <w:rPr>
          <w:rFonts w:ascii="Calibri" w:hAnsi="Calibri"/>
          <w:b/>
          <w:bCs/>
          <w:szCs w:val="18"/>
        </w:rPr>
      </w:pPr>
      <w:bookmarkStart w:id="708" w:name="_Ref418947088"/>
      <w:bookmarkStart w:id="709" w:name="_Toc429063571"/>
      <w:bookmarkStart w:id="710" w:name="_Toc491244016"/>
      <w:bookmarkStart w:id="711" w:name="_Toc12795344"/>
      <w:r w:rsidRPr="00B969ED">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708"/>
      <w:r w:rsidRPr="00B969ED">
        <w:rPr>
          <w:rFonts w:ascii="Calibri" w:hAnsi="Calibri"/>
          <w:b/>
          <w:bCs/>
          <w:szCs w:val="18"/>
        </w:rPr>
        <w:br/>
        <w:t>ISO New England Transmission System Day-Ahead, Real-Time,</w:t>
      </w:r>
      <w:r w:rsidRPr="00B969ED">
        <w:rPr>
          <w:rFonts w:ascii="Calibri" w:hAnsi="Calibri"/>
          <w:b/>
          <w:bCs/>
          <w:szCs w:val="18"/>
        </w:rPr>
        <w:br/>
        <w:t>and Total Congestion Costs and Credits, 2003 to 201</w:t>
      </w:r>
      <w:r w:rsidR="00BC16BD">
        <w:rPr>
          <w:rFonts w:ascii="Calibri" w:hAnsi="Calibri"/>
          <w:b/>
          <w:bCs/>
          <w:szCs w:val="18"/>
        </w:rPr>
        <w:t>8</w:t>
      </w:r>
      <w:r w:rsidRPr="00B969ED">
        <w:rPr>
          <w:rFonts w:ascii="Calibri" w:hAnsi="Calibri"/>
          <w:b/>
          <w:bCs/>
          <w:szCs w:val="18"/>
        </w:rPr>
        <w:t xml:space="preserve"> ($)</w:t>
      </w:r>
      <w:bookmarkEnd w:id="709"/>
      <w:bookmarkEnd w:id="710"/>
      <w:bookmarkEnd w:id="711"/>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B969ED" w:rsidRPr="00B969ED" w14:paraId="029AAB72" w14:textId="77777777" w:rsidTr="004C7089">
        <w:trPr>
          <w:trHeight w:val="690"/>
          <w:jc w:val="center"/>
        </w:trPr>
        <w:tc>
          <w:tcPr>
            <w:tcW w:w="1120" w:type="dxa"/>
            <w:shd w:val="clear" w:color="auto" w:fill="1795D2" w:themeFill="accent1"/>
            <w:vAlign w:val="center"/>
            <w:hideMark/>
          </w:tcPr>
          <w:p w14:paraId="48204AF7" w14:textId="77777777"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Year</w:t>
            </w:r>
          </w:p>
        </w:tc>
        <w:tc>
          <w:tcPr>
            <w:tcW w:w="1678" w:type="dxa"/>
            <w:shd w:val="clear" w:color="auto" w:fill="1795D2" w:themeFill="accent1"/>
            <w:vAlign w:val="center"/>
            <w:hideMark/>
          </w:tcPr>
          <w:p w14:paraId="19E8B47C" w14:textId="77777777"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Day-Ahead Congestion</w:t>
            </w:r>
            <w:r w:rsidRPr="00B969ED">
              <w:rPr>
                <w:rFonts w:asciiTheme="majorHAnsi" w:eastAsia="Times New Roman" w:hAnsiTheme="majorHAnsi" w:cs="Arial"/>
                <w:b/>
                <w:bCs/>
                <w:color w:val="FFFFFF"/>
                <w:sz w:val="18"/>
                <w:szCs w:val="18"/>
                <w:vertAlign w:val="superscript"/>
              </w:rPr>
              <w:t>(a, b)</w:t>
            </w:r>
          </w:p>
        </w:tc>
        <w:tc>
          <w:tcPr>
            <w:tcW w:w="1678" w:type="dxa"/>
            <w:shd w:val="clear" w:color="auto" w:fill="1795D2" w:themeFill="accent1"/>
            <w:vAlign w:val="center"/>
            <w:hideMark/>
          </w:tcPr>
          <w:p w14:paraId="0F60A8DB" w14:textId="77777777"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Real-Time Congestion</w:t>
            </w:r>
            <w:r w:rsidRPr="00B969ED">
              <w:rPr>
                <w:rFonts w:asciiTheme="majorHAnsi" w:eastAsia="Times New Roman" w:hAnsiTheme="majorHAnsi" w:cs="Arial"/>
                <w:b/>
                <w:bCs/>
                <w:color w:val="FFFFFF"/>
                <w:sz w:val="18"/>
                <w:szCs w:val="18"/>
                <w:vertAlign w:val="superscript"/>
              </w:rPr>
              <w:t>(a, c)</w:t>
            </w:r>
          </w:p>
        </w:tc>
        <w:tc>
          <w:tcPr>
            <w:tcW w:w="1679" w:type="dxa"/>
            <w:shd w:val="clear" w:color="auto" w:fill="1795D2" w:themeFill="accent1"/>
            <w:vAlign w:val="center"/>
            <w:hideMark/>
          </w:tcPr>
          <w:p w14:paraId="0A3A88B1" w14:textId="77777777" w:rsidR="00B969ED" w:rsidRPr="00B969ED" w:rsidRDefault="00B969ED" w:rsidP="00B969ED">
            <w:pPr>
              <w:keepNext/>
              <w:spacing w:before="40" w:after="40" w:line="240" w:lineRule="auto"/>
              <w:jc w:val="center"/>
              <w:rPr>
                <w:rFonts w:asciiTheme="majorHAnsi" w:eastAsia="Times New Roman" w:hAnsiTheme="majorHAnsi" w:cs="Arial"/>
                <w:b/>
                <w:bCs/>
                <w:color w:val="FFFFFF"/>
                <w:sz w:val="18"/>
                <w:szCs w:val="18"/>
              </w:rPr>
            </w:pPr>
            <w:r w:rsidRPr="00B969ED">
              <w:rPr>
                <w:rFonts w:asciiTheme="majorHAnsi" w:eastAsia="Times New Roman" w:hAnsiTheme="majorHAnsi" w:cs="Arial"/>
                <w:b/>
                <w:bCs/>
                <w:color w:val="FFFFFF"/>
                <w:sz w:val="18"/>
                <w:szCs w:val="18"/>
              </w:rPr>
              <w:t>Total</w:t>
            </w:r>
            <w:r w:rsidRPr="00B969ED">
              <w:rPr>
                <w:rFonts w:asciiTheme="majorHAnsi" w:eastAsia="Times New Roman" w:hAnsiTheme="majorHAnsi" w:cs="Arial"/>
                <w:b/>
                <w:bCs/>
                <w:color w:val="FFFFFF"/>
                <w:sz w:val="18"/>
                <w:szCs w:val="18"/>
              </w:rPr>
              <w:br/>
              <w:t>Congestion</w:t>
            </w:r>
            <w:r w:rsidRPr="00B969ED">
              <w:rPr>
                <w:rFonts w:asciiTheme="majorHAnsi" w:eastAsia="Times New Roman" w:hAnsiTheme="majorHAnsi" w:cs="Arial"/>
                <w:b/>
                <w:bCs/>
                <w:color w:val="FFFFFF"/>
                <w:sz w:val="18"/>
                <w:szCs w:val="18"/>
                <w:vertAlign w:val="superscript"/>
              </w:rPr>
              <w:t>(a, d)</w:t>
            </w:r>
          </w:p>
        </w:tc>
      </w:tr>
      <w:tr w:rsidR="00B969ED" w:rsidRPr="00B969ED" w14:paraId="04A7A102" w14:textId="77777777" w:rsidTr="004C7089">
        <w:trPr>
          <w:trHeight w:val="270"/>
          <w:jc w:val="center"/>
        </w:trPr>
        <w:tc>
          <w:tcPr>
            <w:tcW w:w="1120" w:type="dxa"/>
            <w:shd w:val="clear" w:color="auto" w:fill="auto"/>
            <w:vAlign w:val="center"/>
            <w:hideMark/>
          </w:tcPr>
          <w:p w14:paraId="02AFF049"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2003</w:t>
            </w:r>
          </w:p>
        </w:tc>
        <w:tc>
          <w:tcPr>
            <w:tcW w:w="1678" w:type="dxa"/>
            <w:shd w:val="clear" w:color="auto" w:fill="auto"/>
            <w:vAlign w:val="center"/>
            <w:hideMark/>
          </w:tcPr>
          <w:p w14:paraId="32A1D90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−$85,964,588</w:t>
            </w:r>
          </w:p>
        </w:tc>
        <w:tc>
          <w:tcPr>
            <w:tcW w:w="1678" w:type="dxa"/>
            <w:shd w:val="clear" w:color="auto" w:fill="auto"/>
            <w:vAlign w:val="center"/>
            <w:hideMark/>
          </w:tcPr>
          <w:p w14:paraId="060F5DA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−$1,385,442</w:t>
            </w:r>
          </w:p>
        </w:tc>
        <w:tc>
          <w:tcPr>
            <w:tcW w:w="1679" w:type="dxa"/>
            <w:shd w:val="clear" w:color="auto" w:fill="auto"/>
            <w:vAlign w:val="center"/>
            <w:hideMark/>
          </w:tcPr>
          <w:p w14:paraId="1688440F"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−$87,350,030</w:t>
            </w:r>
          </w:p>
        </w:tc>
      </w:tr>
      <w:tr w:rsidR="00B969ED" w:rsidRPr="00B969ED" w14:paraId="15AEE4CF" w14:textId="77777777" w:rsidTr="004C7089">
        <w:trPr>
          <w:trHeight w:val="270"/>
          <w:jc w:val="center"/>
        </w:trPr>
        <w:tc>
          <w:tcPr>
            <w:tcW w:w="1120" w:type="dxa"/>
            <w:shd w:val="clear" w:color="auto" w:fill="CCEAF9" w:themeFill="accent1" w:themeFillTint="33"/>
            <w:vAlign w:val="center"/>
            <w:hideMark/>
          </w:tcPr>
          <w:p w14:paraId="2DD88DFD"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2004</w:t>
            </w:r>
          </w:p>
        </w:tc>
        <w:tc>
          <w:tcPr>
            <w:tcW w:w="1678" w:type="dxa"/>
            <w:shd w:val="clear" w:color="auto" w:fill="CCEAF9" w:themeFill="accent1" w:themeFillTint="33"/>
            <w:vAlign w:val="center"/>
            <w:hideMark/>
          </w:tcPr>
          <w:p w14:paraId="67CBE897"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−$82,384,177</w:t>
            </w:r>
          </w:p>
        </w:tc>
        <w:tc>
          <w:tcPr>
            <w:tcW w:w="1678" w:type="dxa"/>
            <w:shd w:val="clear" w:color="auto" w:fill="CCEAF9" w:themeFill="accent1" w:themeFillTint="33"/>
            <w:vAlign w:val="center"/>
            <w:hideMark/>
          </w:tcPr>
          <w:p w14:paraId="14A6E637"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$2,833,577</w:t>
            </w:r>
          </w:p>
        </w:tc>
        <w:tc>
          <w:tcPr>
            <w:tcW w:w="1679" w:type="dxa"/>
            <w:shd w:val="clear" w:color="auto" w:fill="CCEAF9" w:themeFill="accent1" w:themeFillTint="33"/>
            <w:vAlign w:val="center"/>
            <w:hideMark/>
          </w:tcPr>
          <w:p w14:paraId="61DA7B09"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−$79,550,600</w:t>
            </w:r>
          </w:p>
        </w:tc>
      </w:tr>
      <w:tr w:rsidR="00B969ED" w:rsidRPr="00B969ED" w14:paraId="45FFAB73" w14:textId="77777777" w:rsidTr="004C7089">
        <w:trPr>
          <w:trHeight w:val="270"/>
          <w:jc w:val="center"/>
        </w:trPr>
        <w:tc>
          <w:tcPr>
            <w:tcW w:w="1120" w:type="dxa"/>
            <w:shd w:val="clear" w:color="auto" w:fill="auto"/>
            <w:vAlign w:val="center"/>
            <w:hideMark/>
          </w:tcPr>
          <w:p w14:paraId="718C992F"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2005</w:t>
            </w:r>
          </w:p>
        </w:tc>
        <w:tc>
          <w:tcPr>
            <w:tcW w:w="1678" w:type="dxa"/>
            <w:shd w:val="clear" w:color="auto" w:fill="auto"/>
            <w:vAlign w:val="center"/>
            <w:hideMark/>
          </w:tcPr>
          <w:p w14:paraId="39DDA4EC"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−$273,449,871</w:t>
            </w:r>
          </w:p>
        </w:tc>
        <w:tc>
          <w:tcPr>
            <w:tcW w:w="1678" w:type="dxa"/>
            <w:shd w:val="clear" w:color="auto" w:fill="auto"/>
            <w:vAlign w:val="center"/>
            <w:hideMark/>
          </w:tcPr>
          <w:p w14:paraId="070CCD86"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$6,814,010</w:t>
            </w:r>
          </w:p>
        </w:tc>
        <w:tc>
          <w:tcPr>
            <w:tcW w:w="1679" w:type="dxa"/>
            <w:shd w:val="clear" w:color="auto" w:fill="auto"/>
            <w:vAlign w:val="center"/>
            <w:hideMark/>
          </w:tcPr>
          <w:p w14:paraId="113554B7"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−$266,635,861</w:t>
            </w:r>
          </w:p>
        </w:tc>
      </w:tr>
      <w:tr w:rsidR="00B969ED" w:rsidRPr="00B969ED" w14:paraId="432D375B" w14:textId="77777777" w:rsidTr="004C7089">
        <w:trPr>
          <w:trHeight w:val="270"/>
          <w:jc w:val="center"/>
        </w:trPr>
        <w:tc>
          <w:tcPr>
            <w:tcW w:w="1120" w:type="dxa"/>
            <w:shd w:val="clear" w:color="auto" w:fill="CCEAF9" w:themeFill="accent1" w:themeFillTint="33"/>
            <w:vAlign w:val="center"/>
            <w:hideMark/>
          </w:tcPr>
          <w:p w14:paraId="7C6132BD"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2006</w:t>
            </w:r>
          </w:p>
        </w:tc>
        <w:tc>
          <w:tcPr>
            <w:tcW w:w="1678" w:type="dxa"/>
            <w:shd w:val="clear" w:color="auto" w:fill="CCEAF9" w:themeFill="accent1" w:themeFillTint="33"/>
            <w:vAlign w:val="center"/>
            <w:hideMark/>
          </w:tcPr>
          <w:p w14:paraId="37E4864E"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−$192,419,271</w:t>
            </w:r>
          </w:p>
        </w:tc>
        <w:tc>
          <w:tcPr>
            <w:tcW w:w="1678" w:type="dxa"/>
            <w:shd w:val="clear" w:color="auto" w:fill="CCEAF9" w:themeFill="accent1" w:themeFillTint="33"/>
            <w:vAlign w:val="center"/>
            <w:hideMark/>
          </w:tcPr>
          <w:p w14:paraId="55012BBC"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$12,683,233</w:t>
            </w:r>
          </w:p>
        </w:tc>
        <w:tc>
          <w:tcPr>
            <w:tcW w:w="1679" w:type="dxa"/>
            <w:shd w:val="clear" w:color="auto" w:fill="CCEAF9" w:themeFill="accent1" w:themeFillTint="33"/>
            <w:vAlign w:val="center"/>
            <w:hideMark/>
          </w:tcPr>
          <w:p w14:paraId="28F7BD7D"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−$179,736,038</w:t>
            </w:r>
          </w:p>
        </w:tc>
      </w:tr>
      <w:tr w:rsidR="00B969ED" w:rsidRPr="00B969ED" w14:paraId="52B58ADC" w14:textId="77777777" w:rsidTr="004C7089">
        <w:trPr>
          <w:trHeight w:val="270"/>
          <w:jc w:val="center"/>
        </w:trPr>
        <w:tc>
          <w:tcPr>
            <w:tcW w:w="1120" w:type="dxa"/>
            <w:shd w:val="clear" w:color="auto" w:fill="auto"/>
            <w:vAlign w:val="center"/>
            <w:hideMark/>
          </w:tcPr>
          <w:p w14:paraId="38B17AD2"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2007</w:t>
            </w:r>
          </w:p>
        </w:tc>
        <w:tc>
          <w:tcPr>
            <w:tcW w:w="1678" w:type="dxa"/>
            <w:shd w:val="clear" w:color="auto" w:fill="auto"/>
            <w:vAlign w:val="center"/>
            <w:hideMark/>
          </w:tcPr>
          <w:p w14:paraId="0BC19F30"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−$130,145,862</w:t>
            </w:r>
          </w:p>
        </w:tc>
        <w:tc>
          <w:tcPr>
            <w:tcW w:w="1678" w:type="dxa"/>
            <w:shd w:val="clear" w:color="auto" w:fill="auto"/>
            <w:vAlign w:val="center"/>
            <w:hideMark/>
          </w:tcPr>
          <w:p w14:paraId="1E04A033"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$17,721,136</w:t>
            </w:r>
          </w:p>
        </w:tc>
        <w:tc>
          <w:tcPr>
            <w:tcW w:w="1679" w:type="dxa"/>
            <w:shd w:val="clear" w:color="auto" w:fill="auto"/>
            <w:vAlign w:val="center"/>
            <w:hideMark/>
          </w:tcPr>
          <w:p w14:paraId="32827B00"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−$112,424,726</w:t>
            </w:r>
          </w:p>
        </w:tc>
      </w:tr>
      <w:tr w:rsidR="00B969ED" w:rsidRPr="00B969ED" w14:paraId="7BD496AB" w14:textId="77777777" w:rsidTr="004C7089">
        <w:trPr>
          <w:trHeight w:val="270"/>
          <w:jc w:val="center"/>
        </w:trPr>
        <w:tc>
          <w:tcPr>
            <w:tcW w:w="1120" w:type="dxa"/>
            <w:shd w:val="clear" w:color="auto" w:fill="CCEAF9" w:themeFill="accent1" w:themeFillTint="33"/>
            <w:vAlign w:val="center"/>
            <w:hideMark/>
          </w:tcPr>
          <w:p w14:paraId="199D0E4A"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2008</w:t>
            </w:r>
          </w:p>
        </w:tc>
        <w:tc>
          <w:tcPr>
            <w:tcW w:w="1678" w:type="dxa"/>
            <w:shd w:val="clear" w:color="auto" w:fill="CCEAF9" w:themeFill="accent1" w:themeFillTint="33"/>
            <w:vAlign w:val="center"/>
            <w:hideMark/>
          </w:tcPr>
          <w:p w14:paraId="3939E3BB"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−$125,358,187</w:t>
            </w:r>
          </w:p>
        </w:tc>
        <w:tc>
          <w:tcPr>
            <w:tcW w:w="1678" w:type="dxa"/>
            <w:shd w:val="clear" w:color="auto" w:fill="CCEAF9" w:themeFill="accent1" w:themeFillTint="33"/>
            <w:vAlign w:val="center"/>
            <w:hideMark/>
          </w:tcPr>
          <w:p w14:paraId="7CE2554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$4,295,716</w:t>
            </w:r>
          </w:p>
        </w:tc>
        <w:tc>
          <w:tcPr>
            <w:tcW w:w="1679" w:type="dxa"/>
            <w:shd w:val="clear" w:color="auto" w:fill="CCEAF9" w:themeFill="accent1" w:themeFillTint="33"/>
            <w:vAlign w:val="center"/>
            <w:hideMark/>
          </w:tcPr>
          <w:p w14:paraId="11EE3E31"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−$121,062,471</w:t>
            </w:r>
          </w:p>
        </w:tc>
      </w:tr>
      <w:tr w:rsidR="00B969ED" w:rsidRPr="00B969ED" w14:paraId="44740968" w14:textId="77777777" w:rsidTr="004C7089">
        <w:trPr>
          <w:trHeight w:val="270"/>
          <w:jc w:val="center"/>
        </w:trPr>
        <w:tc>
          <w:tcPr>
            <w:tcW w:w="1120" w:type="dxa"/>
            <w:shd w:val="clear" w:color="auto" w:fill="auto"/>
            <w:vAlign w:val="center"/>
            <w:hideMark/>
          </w:tcPr>
          <w:p w14:paraId="25A51928"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2009</w:t>
            </w:r>
          </w:p>
        </w:tc>
        <w:tc>
          <w:tcPr>
            <w:tcW w:w="1678" w:type="dxa"/>
            <w:shd w:val="clear" w:color="auto" w:fill="auto"/>
            <w:vAlign w:val="center"/>
            <w:hideMark/>
          </w:tcPr>
          <w:p w14:paraId="49C2D0E6"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−$26,681,125</w:t>
            </w:r>
          </w:p>
        </w:tc>
        <w:tc>
          <w:tcPr>
            <w:tcW w:w="1678" w:type="dxa"/>
            <w:shd w:val="clear" w:color="auto" w:fill="auto"/>
            <w:vAlign w:val="center"/>
            <w:hideMark/>
          </w:tcPr>
          <w:p w14:paraId="51D4D854"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$1,593,273</w:t>
            </w:r>
          </w:p>
        </w:tc>
        <w:tc>
          <w:tcPr>
            <w:tcW w:w="1679" w:type="dxa"/>
            <w:shd w:val="clear" w:color="auto" w:fill="auto"/>
            <w:vAlign w:val="center"/>
            <w:hideMark/>
          </w:tcPr>
          <w:p w14:paraId="6D7BE102"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−$25,087,852</w:t>
            </w:r>
          </w:p>
        </w:tc>
      </w:tr>
      <w:tr w:rsidR="00B969ED" w:rsidRPr="00B969ED" w14:paraId="270C19FF" w14:textId="77777777" w:rsidTr="004C7089">
        <w:trPr>
          <w:trHeight w:val="270"/>
          <w:jc w:val="center"/>
        </w:trPr>
        <w:tc>
          <w:tcPr>
            <w:tcW w:w="1120" w:type="dxa"/>
            <w:shd w:val="clear" w:color="auto" w:fill="CCEAF9" w:themeFill="accent1" w:themeFillTint="33"/>
            <w:vAlign w:val="center"/>
            <w:hideMark/>
          </w:tcPr>
          <w:p w14:paraId="3299A20A"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2010</w:t>
            </w:r>
          </w:p>
        </w:tc>
        <w:tc>
          <w:tcPr>
            <w:tcW w:w="1678" w:type="dxa"/>
            <w:shd w:val="clear" w:color="auto" w:fill="CCEAF9" w:themeFill="accent1" w:themeFillTint="33"/>
            <w:vAlign w:val="center"/>
            <w:hideMark/>
          </w:tcPr>
          <w:p w14:paraId="4AEA2982"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−$37,321,849</w:t>
            </w:r>
          </w:p>
        </w:tc>
        <w:tc>
          <w:tcPr>
            <w:tcW w:w="1678" w:type="dxa"/>
            <w:shd w:val="clear" w:color="auto" w:fill="CCEAF9" w:themeFill="accent1" w:themeFillTint="33"/>
            <w:vAlign w:val="center"/>
            <w:hideMark/>
          </w:tcPr>
          <w:p w14:paraId="14472BD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−$622,287</w:t>
            </w:r>
          </w:p>
        </w:tc>
        <w:tc>
          <w:tcPr>
            <w:tcW w:w="1679" w:type="dxa"/>
            <w:shd w:val="clear" w:color="auto" w:fill="CCEAF9" w:themeFill="accent1" w:themeFillTint="33"/>
            <w:vAlign w:val="center"/>
            <w:hideMark/>
          </w:tcPr>
          <w:p w14:paraId="0969486C"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−$37,944,136</w:t>
            </w:r>
          </w:p>
        </w:tc>
      </w:tr>
      <w:tr w:rsidR="00B969ED" w:rsidRPr="00B969ED" w14:paraId="0A90D87D" w14:textId="77777777" w:rsidTr="004C7089">
        <w:trPr>
          <w:trHeight w:val="270"/>
          <w:jc w:val="center"/>
        </w:trPr>
        <w:tc>
          <w:tcPr>
            <w:tcW w:w="1120" w:type="dxa"/>
            <w:shd w:val="clear" w:color="auto" w:fill="auto"/>
            <w:vAlign w:val="center"/>
            <w:hideMark/>
          </w:tcPr>
          <w:p w14:paraId="164E1F69"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2011</w:t>
            </w:r>
          </w:p>
        </w:tc>
        <w:tc>
          <w:tcPr>
            <w:tcW w:w="1678" w:type="dxa"/>
            <w:shd w:val="clear" w:color="auto" w:fill="auto"/>
            <w:vAlign w:val="center"/>
            <w:hideMark/>
          </w:tcPr>
          <w:p w14:paraId="4E17B578"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−$17,957,036</w:t>
            </w:r>
          </w:p>
        </w:tc>
        <w:tc>
          <w:tcPr>
            <w:tcW w:w="1678" w:type="dxa"/>
            <w:shd w:val="clear" w:color="auto" w:fill="auto"/>
            <w:vAlign w:val="center"/>
            <w:hideMark/>
          </w:tcPr>
          <w:p w14:paraId="7E998A84"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−$246,892</w:t>
            </w:r>
          </w:p>
        </w:tc>
        <w:tc>
          <w:tcPr>
            <w:tcW w:w="1679" w:type="dxa"/>
            <w:shd w:val="clear" w:color="auto" w:fill="auto"/>
            <w:vAlign w:val="center"/>
            <w:hideMark/>
          </w:tcPr>
          <w:p w14:paraId="6363E68F"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−$18,203,928</w:t>
            </w:r>
          </w:p>
        </w:tc>
      </w:tr>
      <w:tr w:rsidR="00B969ED" w:rsidRPr="00B969ED" w14:paraId="38660B89" w14:textId="77777777" w:rsidTr="004C7089">
        <w:trPr>
          <w:trHeight w:val="270"/>
          <w:jc w:val="center"/>
        </w:trPr>
        <w:tc>
          <w:tcPr>
            <w:tcW w:w="1120" w:type="dxa"/>
            <w:shd w:val="clear" w:color="auto" w:fill="CCEAF9" w:themeFill="accent1" w:themeFillTint="33"/>
            <w:vAlign w:val="center"/>
            <w:hideMark/>
          </w:tcPr>
          <w:p w14:paraId="71CDF365"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2012</w:t>
            </w:r>
          </w:p>
        </w:tc>
        <w:tc>
          <w:tcPr>
            <w:tcW w:w="1678" w:type="dxa"/>
            <w:shd w:val="clear" w:color="auto" w:fill="CCEAF9" w:themeFill="accent1" w:themeFillTint="33"/>
            <w:vAlign w:val="center"/>
            <w:hideMark/>
          </w:tcPr>
          <w:p w14:paraId="04FF6E8B"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−$29,326,997</w:t>
            </w:r>
          </w:p>
        </w:tc>
        <w:tc>
          <w:tcPr>
            <w:tcW w:w="1678" w:type="dxa"/>
            <w:shd w:val="clear" w:color="auto" w:fill="CCEAF9" w:themeFill="accent1" w:themeFillTint="33"/>
            <w:vAlign w:val="center"/>
            <w:hideMark/>
          </w:tcPr>
          <w:p w14:paraId="56407FEB"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−$174,471</w:t>
            </w:r>
          </w:p>
        </w:tc>
        <w:tc>
          <w:tcPr>
            <w:tcW w:w="1679" w:type="dxa"/>
            <w:shd w:val="clear" w:color="auto" w:fill="CCEAF9" w:themeFill="accent1" w:themeFillTint="33"/>
            <w:vAlign w:val="center"/>
            <w:hideMark/>
          </w:tcPr>
          <w:p w14:paraId="037847C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−$29,501,468</w:t>
            </w:r>
          </w:p>
        </w:tc>
      </w:tr>
      <w:tr w:rsidR="00B969ED" w:rsidRPr="00B969ED" w14:paraId="5131E9D5" w14:textId="77777777" w:rsidTr="004C7089">
        <w:trPr>
          <w:trHeight w:val="270"/>
          <w:jc w:val="center"/>
        </w:trPr>
        <w:tc>
          <w:tcPr>
            <w:tcW w:w="1120" w:type="dxa"/>
            <w:shd w:val="clear" w:color="auto" w:fill="auto"/>
            <w:vAlign w:val="center"/>
            <w:hideMark/>
          </w:tcPr>
          <w:p w14:paraId="3DD55EBC"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2013</w:t>
            </w:r>
          </w:p>
        </w:tc>
        <w:tc>
          <w:tcPr>
            <w:tcW w:w="1678" w:type="dxa"/>
            <w:shd w:val="clear" w:color="auto" w:fill="auto"/>
            <w:vAlign w:val="center"/>
            <w:hideMark/>
          </w:tcPr>
          <w:p w14:paraId="3DA03594"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−$46,186,914</w:t>
            </w:r>
          </w:p>
        </w:tc>
        <w:tc>
          <w:tcPr>
            <w:tcW w:w="1678" w:type="dxa"/>
            <w:shd w:val="clear" w:color="auto" w:fill="auto"/>
            <w:vAlign w:val="center"/>
            <w:hideMark/>
          </w:tcPr>
          <w:p w14:paraId="46343C17"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−$175,059</w:t>
            </w:r>
          </w:p>
        </w:tc>
        <w:tc>
          <w:tcPr>
            <w:tcW w:w="1679" w:type="dxa"/>
            <w:shd w:val="clear" w:color="auto" w:fill="auto"/>
            <w:vAlign w:val="center"/>
            <w:hideMark/>
          </w:tcPr>
          <w:p w14:paraId="5CF22994"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−$46,361,973</w:t>
            </w:r>
          </w:p>
        </w:tc>
      </w:tr>
      <w:tr w:rsidR="00B969ED" w:rsidRPr="00B969ED" w14:paraId="6B5AA142" w14:textId="77777777" w:rsidTr="004C7089">
        <w:trPr>
          <w:trHeight w:val="270"/>
          <w:jc w:val="center"/>
        </w:trPr>
        <w:tc>
          <w:tcPr>
            <w:tcW w:w="1120" w:type="dxa"/>
            <w:shd w:val="clear" w:color="auto" w:fill="CCEAF9" w:themeFill="accent1" w:themeFillTint="33"/>
            <w:vAlign w:val="center"/>
            <w:hideMark/>
          </w:tcPr>
          <w:p w14:paraId="02E46CC5"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2014</w:t>
            </w:r>
          </w:p>
        </w:tc>
        <w:tc>
          <w:tcPr>
            <w:tcW w:w="1678" w:type="dxa"/>
            <w:shd w:val="clear" w:color="auto" w:fill="CCEAF9" w:themeFill="accent1" w:themeFillTint="33"/>
            <w:vAlign w:val="center"/>
            <w:hideMark/>
          </w:tcPr>
          <w:p w14:paraId="102D739F"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−$34,218,158</w:t>
            </w:r>
          </w:p>
        </w:tc>
        <w:tc>
          <w:tcPr>
            <w:tcW w:w="1678" w:type="dxa"/>
            <w:shd w:val="clear" w:color="auto" w:fill="CCEAF9" w:themeFill="accent1" w:themeFillTint="33"/>
            <w:vAlign w:val="center"/>
            <w:hideMark/>
          </w:tcPr>
          <w:p w14:paraId="3AB95B21"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$2,153,173</w:t>
            </w:r>
          </w:p>
        </w:tc>
        <w:tc>
          <w:tcPr>
            <w:tcW w:w="1679" w:type="dxa"/>
            <w:shd w:val="clear" w:color="auto" w:fill="CCEAF9" w:themeFill="accent1" w:themeFillTint="33"/>
            <w:vAlign w:val="center"/>
            <w:hideMark/>
          </w:tcPr>
          <w:p w14:paraId="73E9CC97"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−$32,064,985</w:t>
            </w:r>
          </w:p>
        </w:tc>
      </w:tr>
      <w:tr w:rsidR="00B969ED" w:rsidRPr="00B969ED" w14:paraId="497F59CE" w14:textId="77777777" w:rsidTr="004C7089">
        <w:trPr>
          <w:trHeight w:val="270"/>
          <w:jc w:val="center"/>
        </w:trPr>
        <w:tc>
          <w:tcPr>
            <w:tcW w:w="1120" w:type="dxa"/>
            <w:shd w:val="clear" w:color="auto" w:fill="auto"/>
            <w:vAlign w:val="center"/>
            <w:hideMark/>
          </w:tcPr>
          <w:p w14:paraId="0EE94A1B"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2015</w:t>
            </w:r>
          </w:p>
        </w:tc>
        <w:tc>
          <w:tcPr>
            <w:tcW w:w="1678" w:type="dxa"/>
            <w:shd w:val="clear" w:color="auto" w:fill="auto"/>
            <w:vAlign w:val="center"/>
            <w:hideMark/>
          </w:tcPr>
          <w:p w14:paraId="26CC9B4B"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−$30,168,691</w:t>
            </w:r>
          </w:p>
        </w:tc>
        <w:tc>
          <w:tcPr>
            <w:tcW w:w="1678" w:type="dxa"/>
            <w:shd w:val="clear" w:color="auto" w:fill="auto"/>
            <w:vAlign w:val="center"/>
            <w:hideMark/>
          </w:tcPr>
          <w:p w14:paraId="126E498A"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−$1,038,608</w:t>
            </w:r>
          </w:p>
        </w:tc>
        <w:tc>
          <w:tcPr>
            <w:tcW w:w="1679" w:type="dxa"/>
            <w:shd w:val="clear" w:color="auto" w:fill="auto"/>
            <w:vAlign w:val="center"/>
            <w:hideMark/>
          </w:tcPr>
          <w:p w14:paraId="2C07FCF0"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−$31,207,299</w:t>
            </w:r>
          </w:p>
        </w:tc>
      </w:tr>
      <w:tr w:rsidR="00B969ED" w:rsidRPr="00B969ED" w14:paraId="492AFB82" w14:textId="77777777" w:rsidTr="004C7089">
        <w:trPr>
          <w:trHeight w:val="270"/>
          <w:jc w:val="center"/>
        </w:trPr>
        <w:tc>
          <w:tcPr>
            <w:tcW w:w="1120" w:type="dxa"/>
            <w:shd w:val="clear" w:color="auto" w:fill="CCEAF9" w:themeFill="accent1" w:themeFillTint="33"/>
            <w:vAlign w:val="center"/>
            <w:hideMark/>
          </w:tcPr>
          <w:p w14:paraId="35A50CC7" w14:textId="77777777" w:rsidR="00B969ED" w:rsidRPr="00B969ED" w:rsidRDefault="00B969ED" w:rsidP="00B969ED">
            <w:pPr>
              <w:keepNext/>
              <w:spacing w:before="40" w:after="40" w:line="240" w:lineRule="auto"/>
              <w:jc w:val="center"/>
              <w:rPr>
                <w:rFonts w:asciiTheme="majorHAnsi" w:eastAsia="Times New Roman" w:hAnsiTheme="majorHAnsi" w:cs="Arial"/>
                <w:b/>
                <w:bCs/>
                <w:color w:val="000000"/>
                <w:sz w:val="18"/>
                <w:szCs w:val="18"/>
              </w:rPr>
            </w:pPr>
            <w:r w:rsidRPr="00B969ED">
              <w:rPr>
                <w:rFonts w:asciiTheme="majorHAnsi" w:eastAsia="Times New Roman" w:hAnsiTheme="majorHAnsi" w:cs="Arial"/>
                <w:b/>
                <w:bCs/>
                <w:color w:val="000000"/>
                <w:sz w:val="18"/>
                <w:szCs w:val="18"/>
              </w:rPr>
              <w:t>2016</w:t>
            </w:r>
          </w:p>
        </w:tc>
        <w:tc>
          <w:tcPr>
            <w:tcW w:w="1678" w:type="dxa"/>
            <w:shd w:val="clear" w:color="auto" w:fill="CCEAF9" w:themeFill="accent1" w:themeFillTint="33"/>
            <w:vAlign w:val="center"/>
            <w:hideMark/>
          </w:tcPr>
          <w:p w14:paraId="17E7F913"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−$34,272,410</w:t>
            </w:r>
          </w:p>
        </w:tc>
        <w:tc>
          <w:tcPr>
            <w:tcW w:w="1678" w:type="dxa"/>
            <w:shd w:val="clear" w:color="auto" w:fill="CCEAF9" w:themeFill="accent1" w:themeFillTint="33"/>
            <w:vAlign w:val="center"/>
            <w:hideMark/>
          </w:tcPr>
          <w:p w14:paraId="394B0C05"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−$4,599,343</w:t>
            </w:r>
          </w:p>
        </w:tc>
        <w:tc>
          <w:tcPr>
            <w:tcW w:w="1679" w:type="dxa"/>
            <w:shd w:val="clear" w:color="auto" w:fill="CCEAF9" w:themeFill="accent1" w:themeFillTint="33"/>
            <w:vAlign w:val="center"/>
            <w:hideMark/>
          </w:tcPr>
          <w:p w14:paraId="0F18E58D" w14:textId="77777777" w:rsidR="00B969ED" w:rsidRPr="00B969ED" w:rsidRDefault="00B969ED" w:rsidP="00B969ED">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−$38,871,754</w:t>
            </w:r>
          </w:p>
        </w:tc>
      </w:tr>
      <w:tr w:rsidR="009F43F0" w:rsidRPr="00B969ED" w14:paraId="0EB62472" w14:textId="77777777" w:rsidTr="009F43F0">
        <w:trPr>
          <w:trHeight w:val="270"/>
          <w:jc w:val="center"/>
        </w:trPr>
        <w:tc>
          <w:tcPr>
            <w:tcW w:w="1120" w:type="dxa"/>
            <w:shd w:val="clear" w:color="auto" w:fill="auto"/>
            <w:vAlign w:val="center"/>
          </w:tcPr>
          <w:p w14:paraId="10FF874A" w14:textId="77777777"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2017</w:t>
            </w:r>
          </w:p>
        </w:tc>
        <w:tc>
          <w:tcPr>
            <w:tcW w:w="1678" w:type="dxa"/>
            <w:shd w:val="clear" w:color="auto" w:fill="auto"/>
          </w:tcPr>
          <w:p w14:paraId="35F5EC4A"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$39,213,542</w:t>
            </w:r>
          </w:p>
        </w:tc>
        <w:tc>
          <w:tcPr>
            <w:tcW w:w="1678" w:type="dxa"/>
            <w:shd w:val="clear" w:color="auto" w:fill="auto"/>
          </w:tcPr>
          <w:p w14:paraId="36769485"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$2,171,319</w:t>
            </w:r>
          </w:p>
        </w:tc>
        <w:tc>
          <w:tcPr>
            <w:tcW w:w="1679" w:type="dxa"/>
            <w:shd w:val="clear" w:color="auto" w:fill="auto"/>
          </w:tcPr>
          <w:p w14:paraId="7E2C90A6"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$41,384,861</w:t>
            </w:r>
          </w:p>
        </w:tc>
      </w:tr>
      <w:tr w:rsidR="009F43F0" w:rsidRPr="00B969ED" w14:paraId="2380C3F1" w14:textId="77777777" w:rsidTr="009F43F0">
        <w:trPr>
          <w:trHeight w:val="270"/>
          <w:jc w:val="center"/>
        </w:trPr>
        <w:tc>
          <w:tcPr>
            <w:tcW w:w="1120" w:type="dxa"/>
            <w:shd w:val="clear" w:color="auto" w:fill="CCEAF9" w:themeFill="accent1" w:themeFillTint="33"/>
            <w:vAlign w:val="center"/>
          </w:tcPr>
          <w:p w14:paraId="7CA0F1DE" w14:textId="77777777" w:rsidR="009F43F0" w:rsidRPr="00B969ED" w:rsidRDefault="009F43F0" w:rsidP="009F43F0">
            <w:pPr>
              <w:keepNext/>
              <w:spacing w:before="40" w:after="40" w:line="240" w:lineRule="auto"/>
              <w:jc w:val="center"/>
              <w:rPr>
                <w:rFonts w:asciiTheme="majorHAnsi" w:eastAsia="Times New Roman" w:hAnsiTheme="majorHAnsi" w:cs="Arial"/>
                <w:b/>
                <w:bCs/>
                <w:color w:val="000000"/>
                <w:sz w:val="18"/>
                <w:szCs w:val="18"/>
              </w:rPr>
            </w:pPr>
            <w:r>
              <w:rPr>
                <w:rFonts w:asciiTheme="majorHAnsi" w:eastAsia="Times New Roman" w:hAnsiTheme="majorHAnsi" w:cs="Arial"/>
                <w:b/>
                <w:bCs/>
                <w:color w:val="000000"/>
                <w:sz w:val="18"/>
                <w:szCs w:val="18"/>
              </w:rPr>
              <w:t>2018</w:t>
            </w:r>
          </w:p>
        </w:tc>
        <w:tc>
          <w:tcPr>
            <w:tcW w:w="1678" w:type="dxa"/>
            <w:shd w:val="clear" w:color="auto" w:fill="CCEAF9" w:themeFill="accent1" w:themeFillTint="33"/>
          </w:tcPr>
          <w:p w14:paraId="456BC44A"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$67,792,715</w:t>
            </w:r>
          </w:p>
        </w:tc>
        <w:tc>
          <w:tcPr>
            <w:tcW w:w="1678" w:type="dxa"/>
            <w:shd w:val="clear" w:color="auto" w:fill="CCEAF9" w:themeFill="accent1" w:themeFillTint="33"/>
          </w:tcPr>
          <w:p w14:paraId="5256216D"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6F7522">
              <w:rPr>
                <w:rFonts w:asciiTheme="majorHAnsi" w:eastAsia="Times New Roman" w:hAnsiTheme="majorHAnsi" w:cs="Arial"/>
                <w:color w:val="000000"/>
                <w:sz w:val="18"/>
                <w:szCs w:val="18"/>
              </w:rPr>
              <w:t>$3,260,036</w:t>
            </w:r>
          </w:p>
        </w:tc>
        <w:tc>
          <w:tcPr>
            <w:tcW w:w="1679" w:type="dxa"/>
            <w:shd w:val="clear" w:color="auto" w:fill="CCEAF9" w:themeFill="accent1" w:themeFillTint="33"/>
          </w:tcPr>
          <w:p w14:paraId="4D4D2492" w14:textId="77777777" w:rsidR="009F43F0" w:rsidRPr="00B969ED" w:rsidRDefault="009F43F0" w:rsidP="009F43F0">
            <w:pPr>
              <w:keepNext/>
              <w:spacing w:before="40" w:after="40" w:line="240" w:lineRule="auto"/>
              <w:jc w:val="right"/>
              <w:rPr>
                <w:rFonts w:asciiTheme="majorHAnsi" w:eastAsia="Times New Roman" w:hAnsiTheme="majorHAnsi" w:cs="Arial"/>
                <w:color w:val="000000"/>
                <w:sz w:val="18"/>
                <w:szCs w:val="18"/>
              </w:rPr>
            </w:pPr>
            <w:r w:rsidRPr="00B969ED">
              <w:rPr>
                <w:rFonts w:asciiTheme="majorHAnsi" w:eastAsia="Times New Roman" w:hAnsiTheme="majorHAnsi" w:cs="Arial"/>
                <w:color w:val="000000"/>
                <w:sz w:val="18"/>
                <w:szCs w:val="18"/>
              </w:rPr>
              <w:t>−</w:t>
            </w:r>
            <w:r w:rsidRPr="006F7522">
              <w:rPr>
                <w:rFonts w:asciiTheme="majorHAnsi" w:eastAsia="Times New Roman" w:hAnsiTheme="majorHAnsi" w:cs="Arial"/>
                <w:color w:val="000000"/>
                <w:sz w:val="18"/>
                <w:szCs w:val="18"/>
              </w:rPr>
              <w:t>$64,532,680</w:t>
            </w:r>
          </w:p>
        </w:tc>
      </w:tr>
    </w:tbl>
    <w:p w14:paraId="1DE9B24B" w14:textId="77777777" w:rsidR="00B969ED" w:rsidRPr="00B969ED" w:rsidRDefault="00B969ED" w:rsidP="00D20C0F">
      <w:pPr>
        <w:keepNext/>
        <w:keepLines/>
        <w:autoSpaceDE w:val="0"/>
        <w:autoSpaceDN w:val="0"/>
        <w:adjustRightInd w:val="0"/>
        <w:spacing w:before="120"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(a) </w:t>
      </w:r>
      <w:r w:rsidRPr="00B969ED">
        <w:rPr>
          <w:rFonts w:ascii="Calibri" w:eastAsia="Times New Roman" w:hAnsi="Calibri" w:cs="Arial"/>
          <w:sz w:val="16"/>
          <w:szCs w:val="16"/>
        </w:rPr>
        <w:tab/>
        <w:t>Negative numbers indicate charges to load; positive numbers indicate credits to load.</w:t>
      </w:r>
    </w:p>
    <w:p w14:paraId="2969B480" w14:textId="77777777" w:rsidR="00B969ED" w:rsidRPr="00B969ED" w:rsidRDefault="00B969ED" w:rsidP="00D20C0F">
      <w:pPr>
        <w:keepNext/>
        <w:keepLines/>
        <w:autoSpaceDE w:val="0"/>
        <w:autoSpaceDN w:val="0"/>
        <w:adjustRightInd w:val="0"/>
        <w:spacing w:after="80" w:line="240" w:lineRule="auto"/>
        <w:ind w:left="1710" w:right="1350" w:hanging="270"/>
        <w:rPr>
          <w:rFonts w:ascii="Calibri" w:eastAsia="Times New Roman" w:hAnsi="Calibri" w:cs="Arial"/>
          <w:sz w:val="16"/>
          <w:szCs w:val="16"/>
        </w:rPr>
      </w:pPr>
      <w:r w:rsidRPr="00B969ED">
        <w:rPr>
          <w:rFonts w:ascii="Calibri" w:eastAsia="Times New Roman" w:hAnsi="Calibri" w:cs="Arial"/>
          <w:sz w:val="16"/>
          <w:szCs w:val="16"/>
        </w:rPr>
        <w:t xml:space="preserve">(b) </w:t>
      </w:r>
      <w:r w:rsidRPr="00B969ED">
        <w:rPr>
          <w:rFonts w:ascii="Calibri" w:eastAsia="Times New Roman" w:hAnsi="Calibri" w:cs="Arial"/>
          <w:sz w:val="16"/>
          <w:szCs w:val="16"/>
        </w:rPr>
        <w:tab/>
        <w:t xml:space="preserve">Day-ahead congestion charges = the amount billed to load minus payments to the generators. </w:t>
      </w:r>
    </w:p>
    <w:p w14:paraId="573E5064" w14:textId="77777777" w:rsidR="00B969ED" w:rsidRPr="00B969ED" w:rsidRDefault="00B969ED" w:rsidP="005658C2">
      <w:pPr>
        <w:keepNext/>
        <w:keepLines/>
        <w:autoSpaceDE w:val="0"/>
        <w:autoSpaceDN w:val="0"/>
        <w:adjustRightInd w:val="0"/>
        <w:spacing w:after="80" w:line="240" w:lineRule="auto"/>
        <w:ind w:left="1714" w:right="1354" w:hanging="274"/>
        <w:rPr>
          <w:rFonts w:ascii="Calibri" w:eastAsia="Times New Roman" w:hAnsi="Calibri" w:cs="Arial"/>
          <w:sz w:val="16"/>
          <w:szCs w:val="16"/>
        </w:rPr>
      </w:pPr>
      <w:r w:rsidRPr="00B969ED">
        <w:rPr>
          <w:rFonts w:ascii="Calibri" w:eastAsia="Times New Roman" w:hAnsi="Calibri" w:cs="Arial"/>
          <w:sz w:val="16"/>
          <w:szCs w:val="16"/>
        </w:rPr>
        <w:t xml:space="preserve">(c) </w:t>
      </w:r>
      <w:r w:rsidRPr="00B969ED">
        <w:rPr>
          <w:rFonts w:ascii="Calibri" w:eastAsia="Times New Roman" w:hAnsi="Calibri" w:cs="Arial"/>
          <w:sz w:val="16"/>
          <w:szCs w:val="16"/>
        </w:rPr>
        <w:tab/>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14:paraId="0C9EE785" w14:textId="77777777" w:rsidR="00B969ED" w:rsidRPr="00B969ED" w:rsidRDefault="00B969ED" w:rsidP="005658C2">
      <w:pPr>
        <w:autoSpaceDE w:val="0"/>
        <w:autoSpaceDN w:val="0"/>
        <w:adjustRightInd w:val="0"/>
        <w:spacing w:line="240" w:lineRule="auto"/>
        <w:ind w:left="1714" w:right="1354" w:hanging="274"/>
        <w:rPr>
          <w:rFonts w:ascii="Calibri" w:eastAsia="Times New Roman" w:hAnsi="Calibri" w:cs="Arial"/>
          <w:sz w:val="18"/>
          <w:szCs w:val="18"/>
        </w:rPr>
      </w:pPr>
      <w:r w:rsidRPr="00B969ED">
        <w:rPr>
          <w:rFonts w:ascii="Calibri" w:eastAsia="Times New Roman" w:hAnsi="Calibri" w:cs="Arial"/>
          <w:sz w:val="16"/>
          <w:szCs w:val="16"/>
        </w:rPr>
        <w:t xml:space="preserve">(d) </w:t>
      </w:r>
      <w:r w:rsidRPr="00B969ED">
        <w:rPr>
          <w:rFonts w:ascii="Calibri" w:eastAsia="Times New Roman" w:hAnsi="Calibri" w:cs="Arial"/>
          <w:sz w:val="16"/>
          <w:szCs w:val="16"/>
        </w:rPr>
        <w:tab/>
        <w:t>Total congestion refers to money the ISO uses to pay FTR holders</w:t>
      </w:r>
      <w:r w:rsidRPr="00B969ED">
        <w:rPr>
          <w:rFonts w:ascii="Calibri" w:eastAsia="Times New Roman" w:hAnsi="Calibri" w:cs="Arial"/>
          <w:sz w:val="18"/>
          <w:szCs w:val="18"/>
        </w:rPr>
        <w:t xml:space="preserve">. </w:t>
      </w:r>
    </w:p>
    <w:p w14:paraId="47248EF7" w14:textId="2CF087EC" w:rsidR="00BC16BD" w:rsidRPr="00BC16BD" w:rsidRDefault="00BC16BD" w:rsidP="00BC16BD">
      <w:r w:rsidRPr="00BC16BD">
        <w:lastRenderedPageBreak/>
        <w:t xml:space="preserve">The </w:t>
      </w:r>
      <w:r w:rsidRPr="000E6ED0">
        <w:t xml:space="preserve">transmission system has remained operable. Major operating interfaces have remained within acceptable transfer limits </w:t>
      </w:r>
      <w:r w:rsidR="007402E8">
        <w:t xml:space="preserve">at </w:t>
      </w:r>
      <w:r w:rsidRPr="000E6ED0">
        <w:t>all time</w:t>
      </w:r>
      <w:r w:rsidR="007402E8">
        <w:t>s</w:t>
      </w:r>
      <w:r w:rsidRPr="000E6ED0">
        <w:t>.</w:t>
      </w:r>
      <w:r w:rsidR="00700BF3" w:rsidRPr="000E6ED0">
        <w:rPr>
          <w:rStyle w:val="FootnoteReference"/>
        </w:rPr>
        <w:footnoteReference w:id="216"/>
      </w:r>
      <w:r w:rsidRPr="000E6ED0">
        <w:t xml:space="preserve"> </w:t>
      </w:r>
      <w:r w:rsidR="00700BF3" w:rsidRPr="000E6ED0">
        <w:fldChar w:fldCharType="begin"/>
      </w:r>
      <w:r w:rsidR="00700BF3" w:rsidRPr="000E6ED0">
        <w:instrText xml:space="preserve"> REF _Ref418947088 \h  \* MERGEFORMAT </w:instrText>
      </w:r>
      <w:r w:rsidR="00700BF3" w:rsidRPr="000E6ED0">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3</w:t>
      </w:r>
      <w:r w:rsidR="00700BF3" w:rsidRPr="000E6ED0">
        <w:fldChar w:fldCharType="end"/>
      </w:r>
      <w:r w:rsidRPr="000E6ED0">
        <w:t xml:space="preserve"> shows the real-time congestion on the</w:t>
      </w:r>
      <w:r w:rsidRPr="00BC16BD">
        <w:t xml:space="preserve"> system is approximately $3</w:t>
      </w:r>
      <w:r w:rsidR="00700BF3">
        <w:t xml:space="preserve"> million</w:t>
      </w:r>
      <w:r w:rsidR="002B396B">
        <w:t xml:space="preserve">. </w:t>
      </w:r>
    </w:p>
    <w:p w14:paraId="608D75AA" w14:textId="77777777" w:rsidR="00B969ED" w:rsidRPr="00B969ED" w:rsidRDefault="00B969ED" w:rsidP="00B969ED">
      <w:r w:rsidRPr="00B969ED">
        <w:t>The highest mean annual positive difference in the congestion component of the LMPs was $0.</w:t>
      </w:r>
      <w:r w:rsidR="00BC16BD">
        <w:t>15</w:t>
      </w:r>
      <w:r w:rsidRPr="00B969ED">
        <w:t>/MWh at the BOSTON RSP subarea relative to the Hub.</w:t>
      </w:r>
      <w:r w:rsidRPr="00B969ED">
        <w:rPr>
          <w:vertAlign w:val="superscript"/>
        </w:rPr>
        <w:footnoteReference w:id="217"/>
      </w:r>
      <w:r w:rsidRPr="00B969ED">
        <w:t> </w:t>
      </w:r>
      <w:r w:rsidR="00BC16BD" w:rsidRPr="00BC16BD">
        <w:rPr>
          <w:rFonts w:eastAsia="Calibri"/>
        </w:rPr>
        <w:t xml:space="preserve">The BHE RSP subarea had the highest mean negative congestion difference at $7.83/MWh. Portions of the system remote from load centers, especially northern Maine, have high negative loss components. </w:t>
      </w:r>
    </w:p>
    <w:p w14:paraId="2DE7F617" w14:textId="77777777" w:rsidR="00B969ED" w:rsidRPr="00B969ED" w:rsidRDefault="00B969ED" w:rsidP="0081780C">
      <w:pPr>
        <w:pStyle w:val="Heading4"/>
      </w:pPr>
      <w:r w:rsidRPr="00B969ED">
        <w:t>Transmission Improvements to Load Pockets Addressing Reliability Issues</w:t>
      </w:r>
    </w:p>
    <w:p w14:paraId="36D8A972" w14:textId="77777777" w:rsidR="00B969ED" w:rsidRPr="00B969ED" w:rsidRDefault="00B969ED" w:rsidP="00B969ED">
      <w:r w:rsidRPr="00B969ED">
        <w:t>The performance of the transmission system depend</w:t>
      </w:r>
      <w:r w:rsidR="002871FD">
        <w:t xml:space="preserve">s </w:t>
      </w:r>
      <w:r w:rsidRPr="00B969ED">
        <w:t xml:space="preserve">on embedded generators operating to maintain reliability in several smaller areas of the system. Consistent with ISO operating requirements, the generators may be required to provide second-contingency protection or voltage support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w:t>
      </w:r>
      <w:r w:rsidRPr="007650A3">
        <w:t>electricity market costs in New England of $</w:t>
      </w:r>
      <w:r w:rsidR="009F43F0" w:rsidRPr="007650A3">
        <w:t>9.8</w:t>
      </w:r>
      <w:r w:rsidRPr="007650A3">
        <w:t xml:space="preserve"> billion in 201</w:t>
      </w:r>
      <w:r w:rsidR="009F43F0" w:rsidRPr="007650A3">
        <w:t>8</w:t>
      </w:r>
      <w:r w:rsidRPr="007650A3">
        <w:t>.</w:t>
      </w:r>
    </w:p>
    <w:p w14:paraId="30E95321" w14:textId="3636B707" w:rsidR="00B969ED" w:rsidRPr="005658C2" w:rsidRDefault="00B969ED" w:rsidP="00B969ED">
      <w:r w:rsidRPr="00B969ED">
        <w:t>Some areas currently depend on out-of-merit generating units to some degree to maintain reliability</w:t>
      </w:r>
      <w:r w:rsidR="00200127">
        <w:t>.</w:t>
      </w:r>
      <w:r w:rsidR="009F43F0">
        <w:t xml:space="preserve"> </w:t>
      </w:r>
      <w:r w:rsidRPr="00B969ED">
        <w:t>The NCPC in the Boston area totaled approximately $</w:t>
      </w:r>
      <w:r w:rsidR="009F43F0">
        <w:t>14.5</w:t>
      </w:r>
      <w:r w:rsidRPr="00B969ED">
        <w:t xml:space="preserve"> million for 201</w:t>
      </w:r>
      <w:r w:rsidR="009F43F0">
        <w:t>8</w:t>
      </w:r>
      <w:r w:rsidRPr="00B969ED">
        <w:t>, approximately 8</w:t>
      </w:r>
      <w:r w:rsidR="009F43F0">
        <w:t>2</w:t>
      </w:r>
      <w:r w:rsidRPr="00B969ED">
        <w:t xml:space="preserve">% of the New England total. After the upgrades being pursued as part of the Greater Boston projects are placed in service, the need to run units out of merit (and subsequent NCPC) is expected to decline (see </w:t>
      </w:r>
      <w:r w:rsidR="002871FD" w:rsidRPr="00B969ED">
        <w:t>Section</w:t>
      </w:r>
      <w:r w:rsidR="002871FD">
        <w:t> </w:t>
      </w:r>
      <w:r w:rsidRPr="00B969ED">
        <w:fldChar w:fldCharType="begin"/>
      </w:r>
      <w:r w:rsidRPr="00B969ED">
        <w:instrText xml:space="preserve"> REF _Ref485805455 \r \h </w:instrText>
      </w:r>
      <w:r w:rsidRPr="00B969ED">
        <w:fldChar w:fldCharType="separate"/>
      </w:r>
      <w:r w:rsidR="005D0B73">
        <w:t>5.5.4</w:t>
      </w:r>
      <w:r w:rsidRPr="00B969ED">
        <w:fldChar w:fldCharType="end"/>
      </w:r>
      <w:r w:rsidRPr="00B969ED">
        <w:t xml:space="preserve">). </w:t>
      </w:r>
    </w:p>
    <w:p w14:paraId="0226F53B" w14:textId="53AA8D07" w:rsidR="00B969ED" w:rsidRPr="00B969ED" w:rsidRDefault="00B969ED" w:rsidP="00B969ED">
      <w:r w:rsidRPr="00B969ED">
        <w:t xml:space="preserve">Generating units in load pockets may receive second-contingency or voltage-control payments for must-run situations. </w:t>
      </w:r>
      <w:r w:rsidRPr="00B969ED">
        <w:fldChar w:fldCharType="begin"/>
      </w:r>
      <w:r w:rsidRPr="00B969ED">
        <w:instrText xml:space="preserve"> REF _Ref418948080 \h  \* MERGEFORMAT </w:instrText>
      </w:r>
      <w:r w:rsidRPr="00B969ED">
        <w:fldChar w:fldCharType="separate"/>
      </w:r>
      <w:r w:rsidR="005D0B73" w:rsidRPr="005D0B73">
        <w:rPr>
          <w:bCs/>
          <w:szCs w:val="18"/>
        </w:rPr>
        <w:t xml:space="preserve">Table </w:t>
      </w:r>
      <w:r w:rsidR="005D0B73" w:rsidRPr="005D0B73">
        <w:rPr>
          <w:bCs/>
          <w:noProof/>
          <w:szCs w:val="18"/>
        </w:rPr>
        <w:t>5</w:t>
      </w:r>
      <w:r w:rsidR="005D0B73" w:rsidRPr="005D0B73">
        <w:rPr>
          <w:bCs/>
          <w:noProof/>
          <w:szCs w:val="18"/>
        </w:rPr>
        <w:noBreakHyphen/>
        <w:t>4</w:t>
      </w:r>
      <w:r w:rsidRPr="00B969ED">
        <w:fldChar w:fldCharType="end"/>
      </w:r>
      <w:r w:rsidRPr="00B969ED">
        <w:t xml:space="preserve"> shows the NCPC by type and year. The 2009, 2010, 2011, and 2012 figures showed a significant decrease from the preceding years, averaging less than $17 million per year. The 2013, 2014, 2015, and 2016 figures show a modest increase, averaging approximately $43 million per year. </w:t>
      </w:r>
      <w:r w:rsidR="009F43F0" w:rsidRPr="009F43F0">
        <w:t>Payments were lower again during 2017 and 2018 at under $18 million. Reliability transmission upgrades typically improve the economic performance of the system, however, upgrading transmission solely to reduce NCPC is has not been justified.</w:t>
      </w:r>
    </w:p>
    <w:p w14:paraId="2B9A7C8D" w14:textId="60914223" w:rsidR="00B969ED" w:rsidRPr="00B969ED" w:rsidRDefault="00B969ED" w:rsidP="005658C2">
      <w:pPr>
        <w:keepNext/>
        <w:keepLines/>
        <w:spacing w:after="80" w:line="240" w:lineRule="auto"/>
        <w:ind w:left="547" w:right="547"/>
        <w:jc w:val="center"/>
        <w:rPr>
          <w:rFonts w:ascii="Calibri" w:hAnsi="Calibri"/>
          <w:b/>
          <w:bCs/>
          <w:szCs w:val="18"/>
        </w:rPr>
      </w:pPr>
      <w:bookmarkStart w:id="712" w:name="_Ref418948080"/>
      <w:bookmarkStart w:id="713" w:name="_Toc429063572"/>
      <w:bookmarkStart w:id="714" w:name="_Toc491244017"/>
      <w:bookmarkStart w:id="715" w:name="_Toc12795345"/>
      <w:r w:rsidRPr="00B969E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5</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4</w:t>
      </w:r>
      <w:r w:rsidR="0082639A">
        <w:rPr>
          <w:rFonts w:ascii="Calibri" w:hAnsi="Calibri"/>
          <w:b/>
          <w:bCs/>
          <w:szCs w:val="18"/>
        </w:rPr>
        <w:fldChar w:fldCharType="end"/>
      </w:r>
      <w:bookmarkEnd w:id="712"/>
      <w:r w:rsidRPr="00B969ED">
        <w:rPr>
          <w:rFonts w:ascii="Calibri" w:hAnsi="Calibri"/>
          <w:b/>
          <w:bCs/>
          <w:szCs w:val="18"/>
        </w:rPr>
        <w:br/>
        <w:t>Net Commitment-Period Compensation by Type and Year (Million $)</w:t>
      </w:r>
      <w:bookmarkEnd w:id="713"/>
      <w:bookmarkEnd w:id="714"/>
      <w:bookmarkEnd w:id="715"/>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B969ED" w:rsidRPr="00B969ED" w14:paraId="762D3223" w14:textId="77777777" w:rsidTr="005658C2">
        <w:trPr>
          <w:trHeight w:val="400"/>
          <w:jc w:val="center"/>
        </w:trPr>
        <w:tc>
          <w:tcPr>
            <w:tcW w:w="987" w:type="dxa"/>
            <w:shd w:val="clear" w:color="auto" w:fill="1795D2" w:themeFill="accent1"/>
            <w:vAlign w:val="center"/>
            <w:hideMark/>
          </w:tcPr>
          <w:p w14:paraId="60A8F5D4" w14:textId="77777777"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Year</w:t>
            </w:r>
          </w:p>
        </w:tc>
        <w:tc>
          <w:tcPr>
            <w:tcW w:w="1869" w:type="dxa"/>
            <w:shd w:val="clear" w:color="auto" w:fill="1795D2" w:themeFill="accent1"/>
            <w:vAlign w:val="center"/>
            <w:hideMark/>
          </w:tcPr>
          <w:p w14:paraId="4CEBB73B" w14:textId="77777777"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Second Contingency</w:t>
            </w:r>
            <w:r w:rsidRPr="00B969ED">
              <w:rPr>
                <w:rFonts w:asciiTheme="minorHAnsi" w:eastAsia="Times New Roman" w:hAnsiTheme="minorHAnsi" w:cs="Arial"/>
                <w:b/>
                <w:bCs/>
                <w:color w:val="FFFFFF"/>
                <w:sz w:val="18"/>
                <w:szCs w:val="18"/>
                <w:vertAlign w:val="superscript"/>
              </w:rPr>
              <w:t>(a)</w:t>
            </w:r>
          </w:p>
        </w:tc>
        <w:tc>
          <w:tcPr>
            <w:tcW w:w="1269" w:type="dxa"/>
            <w:shd w:val="clear" w:color="auto" w:fill="1795D2" w:themeFill="accent1"/>
            <w:vAlign w:val="center"/>
            <w:hideMark/>
          </w:tcPr>
          <w:p w14:paraId="09E13DE2" w14:textId="77777777"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Voltage</w:t>
            </w:r>
          </w:p>
        </w:tc>
        <w:tc>
          <w:tcPr>
            <w:tcW w:w="1269" w:type="dxa"/>
            <w:shd w:val="clear" w:color="auto" w:fill="1795D2" w:themeFill="accent1"/>
            <w:vAlign w:val="center"/>
            <w:hideMark/>
          </w:tcPr>
          <w:p w14:paraId="210FCCB6" w14:textId="77777777" w:rsidR="00B969ED" w:rsidRPr="00B969ED" w:rsidRDefault="00B969ED" w:rsidP="00B969ED">
            <w:pPr>
              <w:keepNext/>
              <w:keepLines/>
              <w:spacing w:after="0" w:line="240" w:lineRule="auto"/>
              <w:jc w:val="center"/>
              <w:rPr>
                <w:rFonts w:asciiTheme="minorHAnsi" w:eastAsia="Times New Roman" w:hAnsiTheme="minorHAnsi" w:cs="Arial"/>
                <w:b/>
                <w:bCs/>
                <w:color w:val="FFFFFF"/>
                <w:sz w:val="18"/>
                <w:szCs w:val="18"/>
              </w:rPr>
            </w:pPr>
            <w:r w:rsidRPr="00B969ED">
              <w:rPr>
                <w:rFonts w:asciiTheme="minorHAnsi" w:eastAsia="Times New Roman" w:hAnsiTheme="minorHAnsi" w:cs="Arial"/>
                <w:b/>
                <w:bCs/>
                <w:color w:val="FFFFFF"/>
                <w:sz w:val="18"/>
                <w:szCs w:val="18"/>
              </w:rPr>
              <w:t>Total</w:t>
            </w:r>
            <w:r w:rsidRPr="00B969ED">
              <w:rPr>
                <w:rFonts w:asciiTheme="minorHAnsi" w:eastAsia="Times New Roman" w:hAnsiTheme="minorHAnsi" w:cs="Arial"/>
                <w:b/>
                <w:bCs/>
                <w:color w:val="FFFFFF"/>
                <w:sz w:val="18"/>
                <w:szCs w:val="18"/>
                <w:vertAlign w:val="superscript"/>
              </w:rPr>
              <w:t>(b)</w:t>
            </w:r>
          </w:p>
        </w:tc>
      </w:tr>
      <w:tr w:rsidR="009F43F0" w:rsidRPr="00B969ED" w14:paraId="69C27647" w14:textId="77777777" w:rsidTr="005658C2">
        <w:trPr>
          <w:trHeight w:val="270"/>
          <w:jc w:val="center"/>
        </w:trPr>
        <w:tc>
          <w:tcPr>
            <w:tcW w:w="987" w:type="dxa"/>
            <w:shd w:val="clear" w:color="auto" w:fill="auto"/>
            <w:vAlign w:val="center"/>
            <w:hideMark/>
          </w:tcPr>
          <w:p w14:paraId="3EE9689E"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2003</w:t>
            </w:r>
            <w:r w:rsidRPr="00B969ED">
              <w:rPr>
                <w:rFonts w:asciiTheme="minorHAnsi" w:eastAsia="Times New Roman" w:hAnsiTheme="minorHAnsi" w:cs="Arial"/>
                <w:b/>
                <w:bCs/>
                <w:sz w:val="18"/>
                <w:szCs w:val="18"/>
                <w:vertAlign w:val="superscript"/>
              </w:rPr>
              <w:t>(c)</w:t>
            </w:r>
          </w:p>
        </w:tc>
        <w:tc>
          <w:tcPr>
            <w:tcW w:w="1869" w:type="dxa"/>
            <w:vAlign w:val="center"/>
            <w:hideMark/>
          </w:tcPr>
          <w:p w14:paraId="1B5F51A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36.0</w:t>
            </w:r>
          </w:p>
        </w:tc>
        <w:tc>
          <w:tcPr>
            <w:tcW w:w="1269" w:type="dxa"/>
            <w:vAlign w:val="center"/>
            <w:hideMark/>
          </w:tcPr>
          <w:p w14:paraId="32CBA4B2"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14.4</w:t>
            </w:r>
          </w:p>
        </w:tc>
        <w:tc>
          <w:tcPr>
            <w:tcW w:w="1269" w:type="dxa"/>
            <w:vAlign w:val="center"/>
            <w:hideMark/>
          </w:tcPr>
          <w:p w14:paraId="497A0945"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50.4</w:t>
            </w:r>
          </w:p>
        </w:tc>
      </w:tr>
      <w:tr w:rsidR="009F43F0" w:rsidRPr="00B969ED" w14:paraId="0AA8CB52" w14:textId="77777777" w:rsidTr="005658C2">
        <w:trPr>
          <w:trHeight w:val="270"/>
          <w:jc w:val="center"/>
        </w:trPr>
        <w:tc>
          <w:tcPr>
            <w:tcW w:w="987" w:type="dxa"/>
            <w:shd w:val="clear" w:color="auto" w:fill="CCEAF9" w:themeFill="accent1" w:themeFillTint="33"/>
            <w:vAlign w:val="center"/>
            <w:hideMark/>
          </w:tcPr>
          <w:p w14:paraId="6440764E"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2004</w:t>
            </w:r>
          </w:p>
        </w:tc>
        <w:tc>
          <w:tcPr>
            <w:tcW w:w="1869" w:type="dxa"/>
            <w:shd w:val="clear" w:color="auto" w:fill="CCEAF9" w:themeFill="accent1" w:themeFillTint="33"/>
            <w:vAlign w:val="center"/>
            <w:hideMark/>
          </w:tcPr>
          <w:p w14:paraId="1807797C"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43.9</w:t>
            </w:r>
          </w:p>
        </w:tc>
        <w:tc>
          <w:tcPr>
            <w:tcW w:w="1269" w:type="dxa"/>
            <w:shd w:val="clear" w:color="auto" w:fill="CCEAF9" w:themeFill="accent1" w:themeFillTint="33"/>
            <w:vAlign w:val="center"/>
            <w:hideMark/>
          </w:tcPr>
          <w:p w14:paraId="71CC5A24"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68.0</w:t>
            </w:r>
          </w:p>
        </w:tc>
        <w:tc>
          <w:tcPr>
            <w:tcW w:w="1269" w:type="dxa"/>
            <w:shd w:val="clear" w:color="auto" w:fill="CCEAF9" w:themeFill="accent1" w:themeFillTint="33"/>
            <w:vAlign w:val="center"/>
            <w:hideMark/>
          </w:tcPr>
          <w:p w14:paraId="47AB1DF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111.9</w:t>
            </w:r>
          </w:p>
        </w:tc>
      </w:tr>
      <w:tr w:rsidR="009F43F0" w:rsidRPr="00B969ED" w14:paraId="71119C05" w14:textId="77777777" w:rsidTr="005658C2">
        <w:trPr>
          <w:trHeight w:val="270"/>
          <w:jc w:val="center"/>
        </w:trPr>
        <w:tc>
          <w:tcPr>
            <w:tcW w:w="987" w:type="dxa"/>
            <w:shd w:val="clear" w:color="auto" w:fill="auto"/>
            <w:vAlign w:val="center"/>
            <w:hideMark/>
          </w:tcPr>
          <w:p w14:paraId="088CCCAE"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2005</w:t>
            </w:r>
          </w:p>
        </w:tc>
        <w:tc>
          <w:tcPr>
            <w:tcW w:w="1869" w:type="dxa"/>
            <w:vAlign w:val="center"/>
            <w:hideMark/>
          </w:tcPr>
          <w:p w14:paraId="1C94D20E"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133.7</w:t>
            </w:r>
          </w:p>
        </w:tc>
        <w:tc>
          <w:tcPr>
            <w:tcW w:w="1269" w:type="dxa"/>
            <w:vAlign w:val="center"/>
            <w:hideMark/>
          </w:tcPr>
          <w:p w14:paraId="144B285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75.1</w:t>
            </w:r>
          </w:p>
        </w:tc>
        <w:tc>
          <w:tcPr>
            <w:tcW w:w="1269" w:type="dxa"/>
            <w:vAlign w:val="center"/>
            <w:hideMark/>
          </w:tcPr>
          <w:p w14:paraId="2256A556"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208.8</w:t>
            </w:r>
          </w:p>
        </w:tc>
      </w:tr>
      <w:tr w:rsidR="009F43F0" w:rsidRPr="00B969ED" w14:paraId="08DEDE33" w14:textId="77777777" w:rsidTr="005658C2">
        <w:trPr>
          <w:trHeight w:val="270"/>
          <w:jc w:val="center"/>
        </w:trPr>
        <w:tc>
          <w:tcPr>
            <w:tcW w:w="987" w:type="dxa"/>
            <w:shd w:val="clear" w:color="auto" w:fill="CCEAF9" w:themeFill="accent1" w:themeFillTint="33"/>
            <w:vAlign w:val="center"/>
            <w:hideMark/>
          </w:tcPr>
          <w:p w14:paraId="4B9B6C78"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2006</w:t>
            </w:r>
          </w:p>
        </w:tc>
        <w:tc>
          <w:tcPr>
            <w:tcW w:w="1869" w:type="dxa"/>
            <w:shd w:val="clear" w:color="auto" w:fill="CCEAF9" w:themeFill="accent1" w:themeFillTint="33"/>
            <w:vAlign w:val="center"/>
            <w:hideMark/>
          </w:tcPr>
          <w:p w14:paraId="249D0CCA"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179.9</w:t>
            </w:r>
          </w:p>
        </w:tc>
        <w:tc>
          <w:tcPr>
            <w:tcW w:w="1269" w:type="dxa"/>
            <w:shd w:val="clear" w:color="auto" w:fill="CCEAF9" w:themeFill="accent1" w:themeFillTint="33"/>
            <w:vAlign w:val="center"/>
            <w:hideMark/>
          </w:tcPr>
          <w:p w14:paraId="38006904"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19.0</w:t>
            </w:r>
          </w:p>
        </w:tc>
        <w:tc>
          <w:tcPr>
            <w:tcW w:w="1269" w:type="dxa"/>
            <w:shd w:val="clear" w:color="auto" w:fill="CCEAF9" w:themeFill="accent1" w:themeFillTint="33"/>
            <w:vAlign w:val="center"/>
            <w:hideMark/>
          </w:tcPr>
          <w:p w14:paraId="02C98ACF"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199.0</w:t>
            </w:r>
          </w:p>
        </w:tc>
      </w:tr>
      <w:tr w:rsidR="009F43F0" w:rsidRPr="00B969ED" w14:paraId="105FF849" w14:textId="77777777" w:rsidTr="005658C2">
        <w:trPr>
          <w:trHeight w:val="270"/>
          <w:jc w:val="center"/>
        </w:trPr>
        <w:tc>
          <w:tcPr>
            <w:tcW w:w="987" w:type="dxa"/>
            <w:shd w:val="clear" w:color="auto" w:fill="auto"/>
            <w:vAlign w:val="center"/>
            <w:hideMark/>
          </w:tcPr>
          <w:p w14:paraId="68FF0A71"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2007</w:t>
            </w:r>
          </w:p>
        </w:tc>
        <w:tc>
          <w:tcPr>
            <w:tcW w:w="1869" w:type="dxa"/>
            <w:vAlign w:val="center"/>
            <w:hideMark/>
          </w:tcPr>
          <w:p w14:paraId="1B407F90"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169.5</w:t>
            </w:r>
          </w:p>
        </w:tc>
        <w:tc>
          <w:tcPr>
            <w:tcW w:w="1269" w:type="dxa"/>
            <w:vAlign w:val="center"/>
            <w:hideMark/>
          </w:tcPr>
          <w:p w14:paraId="146A7ECC"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46.0</w:t>
            </w:r>
          </w:p>
        </w:tc>
        <w:tc>
          <w:tcPr>
            <w:tcW w:w="1269" w:type="dxa"/>
            <w:vAlign w:val="center"/>
            <w:hideMark/>
          </w:tcPr>
          <w:p w14:paraId="548F1686"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215.5</w:t>
            </w:r>
          </w:p>
        </w:tc>
      </w:tr>
      <w:tr w:rsidR="009F43F0" w:rsidRPr="00B969ED" w14:paraId="65F8A071" w14:textId="77777777" w:rsidTr="005658C2">
        <w:trPr>
          <w:trHeight w:val="270"/>
          <w:jc w:val="center"/>
        </w:trPr>
        <w:tc>
          <w:tcPr>
            <w:tcW w:w="987" w:type="dxa"/>
            <w:shd w:val="clear" w:color="auto" w:fill="CCEAF9" w:themeFill="accent1" w:themeFillTint="33"/>
            <w:vAlign w:val="center"/>
            <w:hideMark/>
          </w:tcPr>
          <w:p w14:paraId="4CC4C7AF"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2008</w:t>
            </w:r>
          </w:p>
        </w:tc>
        <w:tc>
          <w:tcPr>
            <w:tcW w:w="1869" w:type="dxa"/>
            <w:shd w:val="clear" w:color="auto" w:fill="CCEAF9" w:themeFill="accent1" w:themeFillTint="33"/>
            <w:vAlign w:val="center"/>
            <w:hideMark/>
          </w:tcPr>
          <w:p w14:paraId="342D632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182.9</w:t>
            </w:r>
          </w:p>
        </w:tc>
        <w:tc>
          <w:tcPr>
            <w:tcW w:w="1269" w:type="dxa"/>
            <w:shd w:val="clear" w:color="auto" w:fill="CCEAF9" w:themeFill="accent1" w:themeFillTint="33"/>
            <w:vAlign w:val="center"/>
            <w:hideMark/>
          </w:tcPr>
          <w:p w14:paraId="4C40F208"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29.4</w:t>
            </w:r>
          </w:p>
        </w:tc>
        <w:tc>
          <w:tcPr>
            <w:tcW w:w="1269" w:type="dxa"/>
            <w:shd w:val="clear" w:color="auto" w:fill="CCEAF9" w:themeFill="accent1" w:themeFillTint="33"/>
            <w:vAlign w:val="center"/>
            <w:hideMark/>
          </w:tcPr>
          <w:p w14:paraId="7291FF36"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212.3</w:t>
            </w:r>
          </w:p>
        </w:tc>
      </w:tr>
      <w:tr w:rsidR="009F43F0" w:rsidRPr="00B969ED" w14:paraId="3493F9B9" w14:textId="77777777" w:rsidTr="005658C2">
        <w:trPr>
          <w:trHeight w:val="270"/>
          <w:jc w:val="center"/>
        </w:trPr>
        <w:tc>
          <w:tcPr>
            <w:tcW w:w="987" w:type="dxa"/>
            <w:shd w:val="clear" w:color="auto" w:fill="auto"/>
            <w:vAlign w:val="center"/>
            <w:hideMark/>
          </w:tcPr>
          <w:p w14:paraId="0E300990"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2009</w:t>
            </w:r>
          </w:p>
        </w:tc>
        <w:tc>
          <w:tcPr>
            <w:tcW w:w="1869" w:type="dxa"/>
            <w:vAlign w:val="center"/>
            <w:hideMark/>
          </w:tcPr>
          <w:p w14:paraId="63EB8C1D"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17.5</w:t>
            </w:r>
          </w:p>
        </w:tc>
        <w:tc>
          <w:tcPr>
            <w:tcW w:w="1269" w:type="dxa"/>
            <w:vAlign w:val="center"/>
            <w:hideMark/>
          </w:tcPr>
          <w:p w14:paraId="5E6B1438"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5.0</w:t>
            </w:r>
          </w:p>
        </w:tc>
        <w:tc>
          <w:tcPr>
            <w:tcW w:w="1269" w:type="dxa"/>
            <w:vAlign w:val="center"/>
            <w:hideMark/>
          </w:tcPr>
          <w:p w14:paraId="4CF38075"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22.5</w:t>
            </w:r>
          </w:p>
        </w:tc>
      </w:tr>
      <w:tr w:rsidR="009F43F0" w:rsidRPr="00B969ED" w14:paraId="10EEAB49" w14:textId="77777777" w:rsidTr="005658C2">
        <w:trPr>
          <w:trHeight w:val="270"/>
          <w:jc w:val="center"/>
        </w:trPr>
        <w:tc>
          <w:tcPr>
            <w:tcW w:w="987" w:type="dxa"/>
            <w:shd w:val="clear" w:color="auto" w:fill="CCEAF9" w:themeFill="accent1" w:themeFillTint="33"/>
            <w:vAlign w:val="center"/>
            <w:hideMark/>
          </w:tcPr>
          <w:p w14:paraId="2BDFF34B"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2010</w:t>
            </w:r>
          </w:p>
        </w:tc>
        <w:tc>
          <w:tcPr>
            <w:tcW w:w="1869" w:type="dxa"/>
            <w:shd w:val="clear" w:color="auto" w:fill="CCEAF9" w:themeFill="accent1" w:themeFillTint="33"/>
            <w:vAlign w:val="center"/>
            <w:hideMark/>
          </w:tcPr>
          <w:p w14:paraId="498549DB"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3.9</w:t>
            </w:r>
          </w:p>
        </w:tc>
        <w:tc>
          <w:tcPr>
            <w:tcW w:w="1269" w:type="dxa"/>
            <w:shd w:val="clear" w:color="auto" w:fill="CCEAF9" w:themeFill="accent1" w:themeFillTint="33"/>
            <w:vAlign w:val="center"/>
            <w:hideMark/>
          </w:tcPr>
          <w:p w14:paraId="196F2696"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5.1</w:t>
            </w:r>
          </w:p>
        </w:tc>
        <w:tc>
          <w:tcPr>
            <w:tcW w:w="1269" w:type="dxa"/>
            <w:shd w:val="clear" w:color="auto" w:fill="CCEAF9" w:themeFill="accent1" w:themeFillTint="33"/>
            <w:vAlign w:val="center"/>
            <w:hideMark/>
          </w:tcPr>
          <w:p w14:paraId="5827FBAB"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9.0</w:t>
            </w:r>
          </w:p>
        </w:tc>
      </w:tr>
      <w:tr w:rsidR="009F43F0" w:rsidRPr="00B969ED" w14:paraId="5FF922D8" w14:textId="77777777" w:rsidTr="005658C2">
        <w:trPr>
          <w:trHeight w:val="270"/>
          <w:jc w:val="center"/>
        </w:trPr>
        <w:tc>
          <w:tcPr>
            <w:tcW w:w="987" w:type="dxa"/>
            <w:shd w:val="clear" w:color="auto" w:fill="auto"/>
            <w:vAlign w:val="center"/>
            <w:hideMark/>
          </w:tcPr>
          <w:p w14:paraId="2F2DD308"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2011</w:t>
            </w:r>
          </w:p>
        </w:tc>
        <w:tc>
          <w:tcPr>
            <w:tcW w:w="1869" w:type="dxa"/>
            <w:vAlign w:val="center"/>
            <w:hideMark/>
          </w:tcPr>
          <w:p w14:paraId="0C05A6A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6.0</w:t>
            </w:r>
          </w:p>
        </w:tc>
        <w:tc>
          <w:tcPr>
            <w:tcW w:w="1269" w:type="dxa"/>
            <w:vAlign w:val="center"/>
            <w:hideMark/>
          </w:tcPr>
          <w:p w14:paraId="4FD66EB1"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5.8</w:t>
            </w:r>
          </w:p>
        </w:tc>
        <w:tc>
          <w:tcPr>
            <w:tcW w:w="1269" w:type="dxa"/>
            <w:vAlign w:val="center"/>
            <w:hideMark/>
          </w:tcPr>
          <w:p w14:paraId="70614DF8"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11.9</w:t>
            </w:r>
          </w:p>
        </w:tc>
      </w:tr>
      <w:tr w:rsidR="009F43F0" w:rsidRPr="00B969ED" w14:paraId="4AD0B84B" w14:textId="77777777" w:rsidTr="005658C2">
        <w:trPr>
          <w:trHeight w:val="270"/>
          <w:jc w:val="center"/>
        </w:trPr>
        <w:tc>
          <w:tcPr>
            <w:tcW w:w="987" w:type="dxa"/>
            <w:shd w:val="clear" w:color="auto" w:fill="CCEAF9" w:themeFill="accent1" w:themeFillTint="33"/>
            <w:vAlign w:val="center"/>
            <w:hideMark/>
          </w:tcPr>
          <w:p w14:paraId="73BAAD21"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2012</w:t>
            </w:r>
          </w:p>
        </w:tc>
        <w:tc>
          <w:tcPr>
            <w:tcW w:w="1869" w:type="dxa"/>
            <w:shd w:val="clear" w:color="auto" w:fill="CCEAF9" w:themeFill="accent1" w:themeFillTint="33"/>
            <w:vAlign w:val="center"/>
            <w:hideMark/>
          </w:tcPr>
          <w:p w14:paraId="5B90C412"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8.8</w:t>
            </w:r>
          </w:p>
        </w:tc>
        <w:tc>
          <w:tcPr>
            <w:tcW w:w="1269" w:type="dxa"/>
            <w:shd w:val="clear" w:color="auto" w:fill="CCEAF9" w:themeFill="accent1" w:themeFillTint="33"/>
            <w:vAlign w:val="center"/>
            <w:hideMark/>
          </w:tcPr>
          <w:p w14:paraId="5BBED4C2"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14.9</w:t>
            </w:r>
          </w:p>
        </w:tc>
        <w:tc>
          <w:tcPr>
            <w:tcW w:w="1269" w:type="dxa"/>
            <w:shd w:val="clear" w:color="auto" w:fill="CCEAF9" w:themeFill="accent1" w:themeFillTint="33"/>
            <w:vAlign w:val="center"/>
            <w:hideMark/>
          </w:tcPr>
          <w:p w14:paraId="42F4F7BC"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23.6</w:t>
            </w:r>
          </w:p>
        </w:tc>
      </w:tr>
      <w:tr w:rsidR="009F43F0" w:rsidRPr="00B969ED" w14:paraId="381B9F73" w14:textId="77777777" w:rsidTr="005658C2">
        <w:trPr>
          <w:trHeight w:val="270"/>
          <w:jc w:val="center"/>
        </w:trPr>
        <w:tc>
          <w:tcPr>
            <w:tcW w:w="987" w:type="dxa"/>
            <w:shd w:val="clear" w:color="auto" w:fill="auto"/>
            <w:vAlign w:val="center"/>
            <w:hideMark/>
          </w:tcPr>
          <w:p w14:paraId="443AFCA6"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2013</w:t>
            </w:r>
          </w:p>
        </w:tc>
        <w:tc>
          <w:tcPr>
            <w:tcW w:w="1869" w:type="dxa"/>
            <w:vAlign w:val="center"/>
            <w:hideMark/>
          </w:tcPr>
          <w:p w14:paraId="25FB3942"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38.0</w:t>
            </w:r>
          </w:p>
        </w:tc>
        <w:tc>
          <w:tcPr>
            <w:tcW w:w="1269" w:type="dxa"/>
            <w:vAlign w:val="center"/>
            <w:hideMark/>
          </w:tcPr>
          <w:p w14:paraId="31D0615C"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16.6</w:t>
            </w:r>
          </w:p>
        </w:tc>
        <w:tc>
          <w:tcPr>
            <w:tcW w:w="1269" w:type="dxa"/>
            <w:vAlign w:val="center"/>
            <w:hideMark/>
          </w:tcPr>
          <w:p w14:paraId="2233CBBC"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54.6</w:t>
            </w:r>
          </w:p>
        </w:tc>
      </w:tr>
      <w:tr w:rsidR="009F43F0" w:rsidRPr="00B969ED" w14:paraId="53B69456" w14:textId="77777777" w:rsidTr="005658C2">
        <w:trPr>
          <w:trHeight w:val="270"/>
          <w:jc w:val="center"/>
        </w:trPr>
        <w:tc>
          <w:tcPr>
            <w:tcW w:w="987" w:type="dxa"/>
            <w:shd w:val="clear" w:color="auto" w:fill="CCEAF9" w:themeFill="accent1" w:themeFillTint="33"/>
            <w:vAlign w:val="center"/>
            <w:hideMark/>
          </w:tcPr>
          <w:p w14:paraId="16C0C271"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2014</w:t>
            </w:r>
          </w:p>
        </w:tc>
        <w:tc>
          <w:tcPr>
            <w:tcW w:w="1869" w:type="dxa"/>
            <w:shd w:val="clear" w:color="auto" w:fill="CCEAF9" w:themeFill="accent1" w:themeFillTint="33"/>
            <w:vAlign w:val="center"/>
            <w:hideMark/>
          </w:tcPr>
          <w:p w14:paraId="7BF01D59"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32.4</w:t>
            </w:r>
          </w:p>
        </w:tc>
        <w:tc>
          <w:tcPr>
            <w:tcW w:w="1269" w:type="dxa"/>
            <w:shd w:val="clear" w:color="auto" w:fill="CCEAF9" w:themeFill="accent1" w:themeFillTint="33"/>
            <w:vAlign w:val="center"/>
            <w:hideMark/>
          </w:tcPr>
          <w:p w14:paraId="45A2D74B"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6.2</w:t>
            </w:r>
          </w:p>
        </w:tc>
        <w:tc>
          <w:tcPr>
            <w:tcW w:w="1269" w:type="dxa"/>
            <w:shd w:val="clear" w:color="auto" w:fill="CCEAF9" w:themeFill="accent1" w:themeFillTint="33"/>
            <w:vAlign w:val="center"/>
            <w:hideMark/>
          </w:tcPr>
          <w:p w14:paraId="132A2ABF"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38.5</w:t>
            </w:r>
          </w:p>
        </w:tc>
      </w:tr>
      <w:tr w:rsidR="009F43F0" w:rsidRPr="00B969ED" w14:paraId="43203D42" w14:textId="77777777" w:rsidTr="005658C2">
        <w:trPr>
          <w:trHeight w:val="270"/>
          <w:jc w:val="center"/>
        </w:trPr>
        <w:tc>
          <w:tcPr>
            <w:tcW w:w="987" w:type="dxa"/>
            <w:shd w:val="clear" w:color="auto" w:fill="auto"/>
            <w:vAlign w:val="center"/>
            <w:hideMark/>
          </w:tcPr>
          <w:p w14:paraId="1E6594DD"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2015</w:t>
            </w:r>
          </w:p>
        </w:tc>
        <w:tc>
          <w:tcPr>
            <w:tcW w:w="1869" w:type="dxa"/>
            <w:vAlign w:val="center"/>
            <w:hideMark/>
          </w:tcPr>
          <w:p w14:paraId="3A0CB229"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42.7</w:t>
            </w:r>
          </w:p>
        </w:tc>
        <w:tc>
          <w:tcPr>
            <w:tcW w:w="1269" w:type="dxa"/>
            <w:vAlign w:val="center"/>
            <w:hideMark/>
          </w:tcPr>
          <w:p w14:paraId="141B9A80"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5.4</w:t>
            </w:r>
          </w:p>
        </w:tc>
        <w:tc>
          <w:tcPr>
            <w:tcW w:w="1269" w:type="dxa"/>
            <w:vAlign w:val="center"/>
            <w:hideMark/>
          </w:tcPr>
          <w:p w14:paraId="0202DE8B"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403015">
              <w:rPr>
                <w:rFonts w:asciiTheme="minorHAnsi" w:eastAsia="Times New Roman" w:hAnsiTheme="minorHAnsi" w:cs="Arial"/>
                <w:sz w:val="18"/>
                <w:szCs w:val="18"/>
              </w:rPr>
              <w:t>48.1</w:t>
            </w:r>
          </w:p>
        </w:tc>
      </w:tr>
      <w:tr w:rsidR="009F43F0" w:rsidRPr="00B969ED" w14:paraId="4228DFD6" w14:textId="77777777" w:rsidTr="005658C2">
        <w:trPr>
          <w:trHeight w:val="270"/>
          <w:jc w:val="center"/>
        </w:trPr>
        <w:tc>
          <w:tcPr>
            <w:tcW w:w="987" w:type="dxa"/>
            <w:shd w:val="clear" w:color="auto" w:fill="CCEAF9" w:themeFill="accent1" w:themeFillTint="33"/>
            <w:vAlign w:val="center"/>
            <w:hideMark/>
          </w:tcPr>
          <w:p w14:paraId="46DAE0C0"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sidRPr="00B969ED">
              <w:rPr>
                <w:rFonts w:asciiTheme="minorHAnsi" w:eastAsia="Times New Roman" w:hAnsiTheme="minorHAnsi" w:cs="Arial"/>
                <w:b/>
                <w:bCs/>
                <w:sz w:val="18"/>
                <w:szCs w:val="18"/>
              </w:rPr>
              <w:t>2016</w:t>
            </w:r>
          </w:p>
        </w:tc>
        <w:tc>
          <w:tcPr>
            <w:tcW w:w="1869" w:type="dxa"/>
            <w:shd w:val="clear" w:color="auto" w:fill="CCEAF9" w:themeFill="accent1" w:themeFillTint="33"/>
            <w:hideMark/>
          </w:tcPr>
          <w:p w14:paraId="55ECF31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31.1</w:t>
            </w:r>
          </w:p>
        </w:tc>
        <w:tc>
          <w:tcPr>
            <w:tcW w:w="1269" w:type="dxa"/>
            <w:shd w:val="clear" w:color="auto" w:fill="CCEAF9" w:themeFill="accent1" w:themeFillTint="33"/>
            <w:hideMark/>
          </w:tcPr>
          <w:p w14:paraId="7E360B1F"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w:t>
            </w:r>
            <w:r w:rsidRPr="00403015">
              <w:rPr>
                <w:rFonts w:asciiTheme="minorHAnsi" w:eastAsia="Times New Roman" w:hAnsiTheme="minorHAnsi" w:cs="Arial"/>
                <w:sz w:val="18"/>
                <w:szCs w:val="18"/>
              </w:rPr>
              <w:t>4</w:t>
            </w:r>
            <w:r w:rsidRPr="006F7522">
              <w:rPr>
                <w:rFonts w:asciiTheme="minorHAnsi" w:eastAsia="Times New Roman" w:hAnsiTheme="minorHAnsi" w:cs="Arial"/>
                <w:sz w:val="18"/>
                <w:szCs w:val="18"/>
              </w:rPr>
              <w:t>5</w:t>
            </w:r>
          </w:p>
        </w:tc>
        <w:tc>
          <w:tcPr>
            <w:tcW w:w="1269" w:type="dxa"/>
            <w:shd w:val="clear" w:color="auto" w:fill="CCEAF9" w:themeFill="accent1" w:themeFillTint="33"/>
            <w:hideMark/>
          </w:tcPr>
          <w:p w14:paraId="7A55A1B0"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32.6</w:t>
            </w:r>
          </w:p>
        </w:tc>
      </w:tr>
      <w:tr w:rsidR="009F43F0" w:rsidRPr="00B969ED" w14:paraId="47115F55" w14:textId="77777777" w:rsidTr="005658C2">
        <w:trPr>
          <w:trHeight w:val="270"/>
          <w:jc w:val="center"/>
        </w:trPr>
        <w:tc>
          <w:tcPr>
            <w:tcW w:w="987" w:type="dxa"/>
            <w:shd w:val="clear" w:color="auto" w:fill="CCEAF9" w:themeFill="accent1" w:themeFillTint="33"/>
            <w:vAlign w:val="center"/>
          </w:tcPr>
          <w:p w14:paraId="351FFB2C"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2017</w:t>
            </w:r>
          </w:p>
        </w:tc>
        <w:tc>
          <w:tcPr>
            <w:tcW w:w="1869" w:type="dxa"/>
            <w:shd w:val="clear" w:color="auto" w:fill="CCEAF9" w:themeFill="accent1" w:themeFillTint="33"/>
          </w:tcPr>
          <w:p w14:paraId="26F38613"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12.5</w:t>
            </w:r>
          </w:p>
        </w:tc>
        <w:tc>
          <w:tcPr>
            <w:tcW w:w="1269" w:type="dxa"/>
            <w:shd w:val="clear" w:color="auto" w:fill="CCEAF9" w:themeFill="accent1" w:themeFillTint="33"/>
          </w:tcPr>
          <w:p w14:paraId="676B5E7E"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3.4</w:t>
            </w:r>
          </w:p>
        </w:tc>
        <w:tc>
          <w:tcPr>
            <w:tcW w:w="1269" w:type="dxa"/>
            <w:shd w:val="clear" w:color="auto" w:fill="CCEAF9" w:themeFill="accent1" w:themeFillTint="33"/>
          </w:tcPr>
          <w:p w14:paraId="1D14EE94"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15.9</w:t>
            </w:r>
          </w:p>
        </w:tc>
      </w:tr>
      <w:tr w:rsidR="009F43F0" w:rsidRPr="00B969ED" w14:paraId="7B7B4782" w14:textId="77777777" w:rsidTr="005658C2">
        <w:trPr>
          <w:trHeight w:val="270"/>
          <w:jc w:val="center"/>
        </w:trPr>
        <w:tc>
          <w:tcPr>
            <w:tcW w:w="987" w:type="dxa"/>
            <w:shd w:val="clear" w:color="auto" w:fill="CCEAF9" w:themeFill="accent1" w:themeFillTint="33"/>
            <w:vAlign w:val="center"/>
          </w:tcPr>
          <w:p w14:paraId="0083293B" w14:textId="77777777" w:rsidR="009F43F0" w:rsidRPr="00B969ED" w:rsidRDefault="009F43F0" w:rsidP="009F43F0">
            <w:pPr>
              <w:keepNext/>
              <w:keepLines/>
              <w:spacing w:after="0" w:line="240" w:lineRule="auto"/>
              <w:rPr>
                <w:rFonts w:asciiTheme="minorHAnsi" w:eastAsia="Times New Roman" w:hAnsiTheme="minorHAnsi" w:cs="Arial"/>
                <w:b/>
                <w:bCs/>
                <w:sz w:val="18"/>
                <w:szCs w:val="18"/>
              </w:rPr>
            </w:pPr>
            <w:r>
              <w:rPr>
                <w:rFonts w:asciiTheme="minorHAnsi" w:eastAsia="Times New Roman" w:hAnsiTheme="minorHAnsi" w:cs="Arial"/>
                <w:b/>
                <w:bCs/>
                <w:sz w:val="18"/>
                <w:szCs w:val="18"/>
              </w:rPr>
              <w:t>2018</w:t>
            </w:r>
          </w:p>
        </w:tc>
        <w:tc>
          <w:tcPr>
            <w:tcW w:w="1869" w:type="dxa"/>
            <w:shd w:val="clear" w:color="auto" w:fill="CCEAF9" w:themeFill="accent1" w:themeFillTint="33"/>
          </w:tcPr>
          <w:p w14:paraId="42D17EBF"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15.0</w:t>
            </w:r>
          </w:p>
        </w:tc>
        <w:tc>
          <w:tcPr>
            <w:tcW w:w="1269" w:type="dxa"/>
            <w:shd w:val="clear" w:color="auto" w:fill="CCEAF9" w:themeFill="accent1" w:themeFillTint="33"/>
          </w:tcPr>
          <w:p w14:paraId="79F835B5"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2.7</w:t>
            </w:r>
          </w:p>
        </w:tc>
        <w:tc>
          <w:tcPr>
            <w:tcW w:w="1269" w:type="dxa"/>
            <w:shd w:val="clear" w:color="auto" w:fill="CCEAF9" w:themeFill="accent1" w:themeFillTint="33"/>
          </w:tcPr>
          <w:p w14:paraId="423161A1" w14:textId="77777777" w:rsidR="009F43F0" w:rsidRPr="00B969ED" w:rsidRDefault="009F43F0" w:rsidP="009F43F0">
            <w:pPr>
              <w:keepNext/>
              <w:keepLines/>
              <w:spacing w:after="0" w:line="240" w:lineRule="auto"/>
              <w:jc w:val="right"/>
              <w:rPr>
                <w:rFonts w:asciiTheme="minorHAnsi" w:eastAsia="Times New Roman" w:hAnsiTheme="minorHAnsi" w:cs="Arial"/>
                <w:sz w:val="18"/>
                <w:szCs w:val="18"/>
              </w:rPr>
            </w:pPr>
            <w:r w:rsidRPr="006F7522">
              <w:rPr>
                <w:rFonts w:asciiTheme="minorHAnsi" w:eastAsia="Times New Roman" w:hAnsiTheme="minorHAnsi" w:cs="Arial"/>
                <w:sz w:val="18"/>
                <w:szCs w:val="18"/>
              </w:rPr>
              <w:t>17.7</w:t>
            </w:r>
          </w:p>
        </w:tc>
      </w:tr>
    </w:tbl>
    <w:p w14:paraId="43734741" w14:textId="77777777" w:rsidR="00B969ED" w:rsidRPr="00963D00" w:rsidRDefault="00B969ED" w:rsidP="00963D00">
      <w:pPr>
        <w:keepNext/>
        <w:keepLines/>
        <w:tabs>
          <w:tab w:val="left" w:pos="2250"/>
        </w:tabs>
        <w:spacing w:before="80" w:after="80" w:line="240" w:lineRule="auto"/>
        <w:ind w:left="1800" w:right="1710"/>
        <w:rPr>
          <w:rFonts w:asciiTheme="minorHAnsi" w:hAnsiTheme="minorHAnsi" w:cs="Arial"/>
          <w:sz w:val="16"/>
          <w:szCs w:val="16"/>
        </w:rPr>
      </w:pPr>
      <w:r w:rsidRPr="00963D00">
        <w:rPr>
          <w:rFonts w:asciiTheme="minorHAnsi" w:hAnsiTheme="minorHAnsi" w:cs="Arial"/>
          <w:sz w:val="16"/>
          <w:szCs w:val="16"/>
        </w:rPr>
        <w:t xml:space="preserve">(a) NCPC for first-contingency commitment and distribution support is not </w:t>
      </w:r>
      <w:r w:rsidR="00B67F75" w:rsidRPr="00D1271D">
        <w:rPr>
          <w:rFonts w:asciiTheme="minorHAnsi" w:hAnsiTheme="minorHAnsi" w:cs="Arial"/>
          <w:sz w:val="16"/>
          <w:szCs w:val="16"/>
        </w:rPr>
        <w:t>i</w:t>
      </w:r>
      <w:r w:rsidRPr="00963D00">
        <w:rPr>
          <w:rFonts w:asciiTheme="minorHAnsi" w:hAnsiTheme="minorHAnsi" w:cs="Arial"/>
          <w:sz w:val="16"/>
          <w:szCs w:val="16"/>
        </w:rPr>
        <w:t>ncluded.</w:t>
      </w:r>
    </w:p>
    <w:p w14:paraId="38815A5C" w14:textId="77777777" w:rsidR="00B969ED" w:rsidRPr="00963D00" w:rsidRDefault="00B969ED" w:rsidP="00963D00">
      <w:pPr>
        <w:keepNext/>
        <w:keepLines/>
        <w:spacing w:after="80" w:line="240" w:lineRule="auto"/>
        <w:ind w:left="1800" w:right="1710"/>
        <w:rPr>
          <w:rFonts w:asciiTheme="minorHAnsi" w:hAnsiTheme="minorHAnsi" w:cs="Arial"/>
          <w:sz w:val="16"/>
          <w:szCs w:val="16"/>
        </w:rPr>
      </w:pPr>
      <w:r w:rsidRPr="00963D00">
        <w:rPr>
          <w:rFonts w:asciiTheme="minorHAnsi" w:hAnsiTheme="minorHAnsi" w:cs="Arial"/>
          <w:sz w:val="16"/>
          <w:szCs w:val="16"/>
        </w:rPr>
        <w:t>(b</w:t>
      </w:r>
      <w:r w:rsidR="00B67F75" w:rsidRPr="00963D00">
        <w:rPr>
          <w:rFonts w:asciiTheme="minorHAnsi" w:hAnsiTheme="minorHAnsi" w:cs="Arial"/>
          <w:sz w:val="16"/>
          <w:szCs w:val="16"/>
        </w:rPr>
        <w:t xml:space="preserve">) </w:t>
      </w:r>
      <w:r w:rsidRPr="00963D00">
        <w:rPr>
          <w:rFonts w:asciiTheme="minorHAnsi" w:hAnsiTheme="minorHAnsi" w:cs="Arial"/>
          <w:sz w:val="16"/>
          <w:szCs w:val="16"/>
        </w:rPr>
        <w:t>Numbers may not add precisely due to rounding.</w:t>
      </w:r>
    </w:p>
    <w:p w14:paraId="55745BC7" w14:textId="77777777" w:rsidR="00B969ED" w:rsidRPr="00B969ED" w:rsidRDefault="00B969ED" w:rsidP="005658C2">
      <w:pPr>
        <w:spacing w:line="240" w:lineRule="auto"/>
        <w:ind w:left="1800" w:right="1714"/>
        <w:rPr>
          <w:rFonts w:asciiTheme="minorHAnsi" w:hAnsiTheme="minorHAnsi" w:cs="Arial"/>
          <w:sz w:val="16"/>
          <w:szCs w:val="16"/>
        </w:rPr>
      </w:pPr>
      <w:r w:rsidRPr="00963D00">
        <w:rPr>
          <w:rFonts w:asciiTheme="minorHAnsi" w:hAnsiTheme="minorHAnsi" w:cs="Arial"/>
          <w:sz w:val="16"/>
          <w:szCs w:val="16"/>
        </w:rPr>
        <w:t>(c) NCPC under Standard Market Design began in March 2003.</w:t>
      </w:r>
    </w:p>
    <w:p w14:paraId="6BF1D1C2" w14:textId="77777777" w:rsidR="00B969ED" w:rsidRPr="00B969ED" w:rsidRDefault="00B969ED" w:rsidP="00B67F75">
      <w:r w:rsidRPr="00B969ED">
        <w:t>Transmission solutions continue to be put in place where proposed generating or demand resources have not relieved transmission system performance concerns. The ISO is studying many of these areas, and while transmission projects are still being planned for some areas, other areas already have projects under construction and in service to mitigate dependence on generating units. Reliability transmission upgrades were used to address these system performance concerns, which contributed to a substantial reduction in out-of-merit operating costs.</w:t>
      </w:r>
    </w:p>
    <w:p w14:paraId="3708F1F8" w14:textId="77777777" w:rsidR="00B969ED" w:rsidRPr="00B969ED" w:rsidRDefault="00B969ED" w:rsidP="007C7C94">
      <w:pPr>
        <w:pStyle w:val="Heading3"/>
      </w:pPr>
      <w:bookmarkStart w:id="716" w:name="_Toc429063423"/>
      <w:bookmarkStart w:id="717" w:name="_Toc490323059"/>
      <w:bookmarkStart w:id="718" w:name="_Toc12795201"/>
      <w:r w:rsidRPr="00B969ED">
        <w:t>Required Generator-Interconnection-Related Upgrades</w:t>
      </w:r>
      <w:bookmarkEnd w:id="716"/>
      <w:bookmarkEnd w:id="717"/>
      <w:bookmarkEnd w:id="718"/>
    </w:p>
    <w:p w14:paraId="6D377F8C" w14:textId="77777777" w:rsidR="00B969ED" w:rsidRPr="00B969ED" w:rsidRDefault="00B969ED" w:rsidP="00B969ED">
      <w:r w:rsidRPr="00B969ED">
        <w:t xml:space="preserve">No significant transmission system upgrades resulted from the interconnection of generators. Most of the generator-interconnection-related upgrades are fairly local to the point of interconnection of the generator. The </w:t>
      </w:r>
      <w:r w:rsidRPr="00B969ED">
        <w:rPr>
          <w:i/>
        </w:rPr>
        <w:t xml:space="preserve">RSP Project List </w:t>
      </w:r>
      <w:r w:rsidRPr="00B969ED">
        <w:t xml:space="preserve">identifies the PTF upgrades for interconnections. </w:t>
      </w:r>
    </w:p>
    <w:p w14:paraId="05251081" w14:textId="4CE3690F" w:rsidR="00B969ED" w:rsidRPr="00B969ED" w:rsidRDefault="00B969ED" w:rsidP="00B969ED">
      <w:r w:rsidRPr="00B969ED">
        <w:t>Several wind generating plants participate in clustering studies that expedite the consideration of two or more interconnection requests and allocate interconnection upgrade costs among the interconnection customer</w:t>
      </w:r>
      <w:r w:rsidRPr="006C5E7E">
        <w:t>s (ICs).</w:t>
      </w:r>
      <w:r w:rsidRPr="00B969ED">
        <w:t xml:space="preserve"> To date, the ISO has conducted the </w:t>
      </w:r>
      <w:r w:rsidRPr="003960DC">
        <w:rPr>
          <w:i/>
        </w:rPr>
        <w:t>2016/2017 Maine Resource Integration Study</w:t>
      </w:r>
      <w:r w:rsidRPr="006C5E7E">
        <w:t xml:space="preserve"> (MRIS)</w:t>
      </w:r>
      <w:r w:rsidRPr="00B969ED">
        <w:t xml:space="preserve"> to identify the transmission upgrades necessary to enable the interconnection of proposed new resources in northern and western Maine</w:t>
      </w:r>
      <w:r w:rsidR="00A5229D">
        <w:t xml:space="preserve"> (see Section </w:t>
      </w:r>
      <w:r w:rsidR="00A5229D">
        <w:fldChar w:fldCharType="begin"/>
      </w:r>
      <w:r w:rsidR="00A5229D">
        <w:instrText xml:space="preserve"> REF _Ref11870792 \r \h </w:instrText>
      </w:r>
      <w:r w:rsidR="00A5229D">
        <w:fldChar w:fldCharType="separate"/>
      </w:r>
      <w:r w:rsidR="005D0B73">
        <w:t>4.5.3.2</w:t>
      </w:r>
      <w:r w:rsidR="00A5229D">
        <w:fldChar w:fldCharType="end"/>
      </w:r>
      <w:r w:rsidR="00A5229D">
        <w:t>)</w:t>
      </w:r>
      <w:r w:rsidR="00200127">
        <w:t>.</w:t>
      </w:r>
      <w:r w:rsidR="00200127">
        <w:rPr>
          <w:rStyle w:val="FootnoteReference"/>
        </w:rPr>
        <w:footnoteReference w:id="218"/>
      </w:r>
      <w:r w:rsidR="00200127">
        <w:t xml:space="preserve"> A second study is underway, </w:t>
      </w:r>
      <w:r w:rsidR="00200127">
        <w:rPr>
          <w:i/>
        </w:rPr>
        <w:t xml:space="preserve">Second Maine </w:t>
      </w:r>
      <w:r w:rsidR="00200127">
        <w:rPr>
          <w:i/>
        </w:rPr>
        <w:lastRenderedPageBreak/>
        <w:t xml:space="preserve">Resource Integration Study, </w:t>
      </w:r>
      <w:r w:rsidR="00200127">
        <w:t xml:space="preserve">to identify the transmission upgrades necessary to enable the interconnection of yet further proposed </w:t>
      </w:r>
      <w:r w:rsidR="00200127" w:rsidRPr="00200127">
        <w:t>new resources in northern and western Maine</w:t>
      </w:r>
      <w:r w:rsidRPr="00A5229D">
        <w:t>.</w:t>
      </w:r>
      <w:r w:rsidRPr="00200127">
        <w:rPr>
          <w:vertAlign w:val="superscript"/>
        </w:rPr>
        <w:footnoteReference w:id="219"/>
      </w:r>
      <w:r w:rsidRPr="00B969ED">
        <w:t xml:space="preserve"> </w:t>
      </w:r>
    </w:p>
    <w:p w14:paraId="79F6D50A" w14:textId="77777777" w:rsidR="00B969ED" w:rsidRPr="00B969ED" w:rsidRDefault="00B969ED" w:rsidP="007C7C94">
      <w:pPr>
        <w:pStyle w:val="Heading3"/>
      </w:pPr>
      <w:bookmarkStart w:id="719" w:name="_Ref425842205"/>
      <w:bookmarkStart w:id="720" w:name="_Toc429063424"/>
      <w:bookmarkStart w:id="721" w:name="_Toc490323060"/>
      <w:bookmarkStart w:id="722" w:name="_Ref10718898"/>
      <w:bookmarkStart w:id="723" w:name="_Toc12795202"/>
      <w:r w:rsidRPr="00B969ED">
        <w:t>Elective Transmission Upgrades</w:t>
      </w:r>
      <w:bookmarkEnd w:id="719"/>
      <w:bookmarkEnd w:id="720"/>
      <w:bookmarkEnd w:id="721"/>
      <w:bookmarkEnd w:id="722"/>
      <w:bookmarkEnd w:id="723"/>
    </w:p>
    <w:p w14:paraId="0D57D8F9" w14:textId="77777777" w:rsidR="00B969ED" w:rsidRPr="00B969ED" w:rsidRDefault="00B969ED" w:rsidP="00B969ED">
      <w:r w:rsidRPr="00B969ED">
        <w:t xml:space="preserve">A number of new elective transmission upgrades have been added to the ISO Interconnection Request Queue. Many of these are focused on delivering zero- or low-carbon resources to or within New England. </w:t>
      </w:r>
      <w:r w:rsidRPr="00963D00">
        <w:t xml:space="preserve">As of </w:t>
      </w:r>
      <w:r w:rsidR="00200127" w:rsidRPr="00963D00">
        <w:t>June</w:t>
      </w:r>
      <w:r w:rsidRPr="00963D00">
        <w:t> 1, 2019, the following projects</w:t>
      </w:r>
      <w:r w:rsidR="00E81B81" w:rsidRPr="00963D00">
        <w:t xml:space="preserve">, by queue positions (QPs), </w:t>
      </w:r>
      <w:r w:rsidRPr="00963D00">
        <w:t>have active interconnection requests as elective transmission upgrades:</w:t>
      </w:r>
    </w:p>
    <w:p w14:paraId="7E2B7124" w14:textId="77777777" w:rsidR="00B969ED" w:rsidRPr="004B7400" w:rsidRDefault="00B969ED" w:rsidP="00955D2D">
      <w:pPr>
        <w:numPr>
          <w:ilvl w:val="0"/>
          <w:numId w:val="31"/>
        </w:numPr>
        <w:spacing w:after="120"/>
        <w:rPr>
          <w:color w:val="000000"/>
        </w:rPr>
      </w:pPr>
      <w:r w:rsidRPr="00B969ED">
        <w:rPr>
          <w:color w:val="000000"/>
        </w:rPr>
        <w:t>QP-499: 1,090 MW, 300 kV HVDC/A</w:t>
      </w:r>
      <w:r w:rsidRPr="00FF5F0E">
        <w:rPr>
          <w:color w:val="000000"/>
        </w:rPr>
        <w:t>C tie; HQ Des</w:t>
      </w:r>
      <w:r w:rsidRPr="00B969ED">
        <w:rPr>
          <w:color w:val="000000"/>
        </w:rPr>
        <w:t xml:space="preserve"> Cantons substat</w:t>
      </w:r>
      <w:r w:rsidRPr="004B7400">
        <w:rPr>
          <w:color w:val="000000"/>
        </w:rPr>
        <w:t>ion to Public Service of New Hampshire (PSNH) Deerfield substation</w:t>
      </w:r>
    </w:p>
    <w:p w14:paraId="63A0641E" w14:textId="77777777" w:rsidR="00B969ED" w:rsidRPr="004B7400" w:rsidRDefault="00B969ED" w:rsidP="00955D2D">
      <w:pPr>
        <w:numPr>
          <w:ilvl w:val="0"/>
          <w:numId w:val="31"/>
        </w:numPr>
        <w:spacing w:after="120"/>
        <w:rPr>
          <w:color w:val="000000"/>
        </w:rPr>
      </w:pPr>
      <w:r w:rsidRPr="004B7400">
        <w:rPr>
          <w:color w:val="000000"/>
        </w:rPr>
        <w:t xml:space="preserve">QP-501: 1,000 MW HVDC tie—import only, HQ 735 kV substation to </w:t>
      </w:r>
      <w:r w:rsidR="00DA7173">
        <w:rPr>
          <w:color w:val="000000"/>
        </w:rPr>
        <w:t>the Vermont Electric Power Compan</w:t>
      </w:r>
      <w:r w:rsidR="00DA7173" w:rsidRPr="00DA7173">
        <w:rPr>
          <w:color w:val="000000"/>
        </w:rPr>
        <w:t>y (</w:t>
      </w:r>
      <w:r w:rsidRPr="00DA7173">
        <w:rPr>
          <w:color w:val="000000"/>
        </w:rPr>
        <w:t>VELCO</w:t>
      </w:r>
      <w:r w:rsidR="00DA7173" w:rsidRPr="00DA7173">
        <w:rPr>
          <w:color w:val="000000"/>
        </w:rPr>
        <w:t>)</w:t>
      </w:r>
      <w:r w:rsidRPr="004B7400">
        <w:rPr>
          <w:color w:val="000000"/>
        </w:rPr>
        <w:t xml:space="preserve"> 345 kV Coolidge substation</w:t>
      </w:r>
    </w:p>
    <w:p w14:paraId="1B2DBE6C" w14:textId="77777777" w:rsidR="00B969ED" w:rsidRPr="004B7400" w:rsidRDefault="00B969ED" w:rsidP="00955D2D">
      <w:pPr>
        <w:numPr>
          <w:ilvl w:val="0"/>
          <w:numId w:val="31"/>
        </w:numPr>
        <w:spacing w:after="120"/>
        <w:rPr>
          <w:color w:val="000000"/>
        </w:rPr>
      </w:pPr>
      <w:r w:rsidRPr="004B7400">
        <w:rPr>
          <w:color w:val="000000"/>
        </w:rPr>
        <w:t>QP-506: 1,000 MW internal HVDC—north to south flow, Northern Maine Independent System Administrator (NMISA) to NSTAR 345 kV K Street substation</w:t>
      </w:r>
    </w:p>
    <w:p w14:paraId="44EF01D0" w14:textId="77777777" w:rsidR="00B969ED" w:rsidRPr="004B7400" w:rsidRDefault="00B969ED" w:rsidP="00955D2D">
      <w:pPr>
        <w:numPr>
          <w:ilvl w:val="0"/>
          <w:numId w:val="31"/>
        </w:numPr>
        <w:spacing w:after="120"/>
        <w:rPr>
          <w:color w:val="000000"/>
        </w:rPr>
      </w:pPr>
      <w:r w:rsidRPr="004B7400">
        <w:rPr>
          <w:color w:val="000000"/>
        </w:rPr>
        <w:t xml:space="preserve">QP-571: 850 MW internal 345 kV AC transmission line between the Wyman area and the Iberdrola 345 kV Larrabee Road substation </w:t>
      </w:r>
    </w:p>
    <w:p w14:paraId="20255478" w14:textId="77777777" w:rsidR="00B969ED" w:rsidRPr="004B7400" w:rsidRDefault="00B969ED" w:rsidP="00955D2D">
      <w:pPr>
        <w:numPr>
          <w:ilvl w:val="0"/>
          <w:numId w:val="31"/>
        </w:numPr>
        <w:spacing w:after="120"/>
        <w:rPr>
          <w:color w:val="000000"/>
        </w:rPr>
      </w:pPr>
      <w:r w:rsidRPr="004B7400">
        <w:rPr>
          <w:color w:val="000000"/>
        </w:rPr>
        <w:t>QP-627: 1,200 MW HVDC tie north</w:t>
      </w:r>
      <w:r w:rsidRPr="004B7400">
        <w:rPr>
          <w:color w:val="000000"/>
        </w:rPr>
        <w:noBreakHyphen/>
        <w:t>south flow from Québec to Northern New Hampshire at the National Grid 230 kV Comerford substation</w:t>
      </w:r>
    </w:p>
    <w:p w14:paraId="53263325" w14:textId="77777777" w:rsidR="00B969ED" w:rsidRPr="004B7400" w:rsidRDefault="00B969ED" w:rsidP="00955D2D">
      <w:pPr>
        <w:numPr>
          <w:ilvl w:val="0"/>
          <w:numId w:val="31"/>
        </w:numPr>
        <w:spacing w:after="120"/>
        <w:rPr>
          <w:color w:val="000000"/>
        </w:rPr>
      </w:pPr>
      <w:r w:rsidRPr="004B7400">
        <w:rPr>
          <w:color w:val="000000"/>
        </w:rPr>
        <w:t>QP-639: 1,200 MW HVDC tie north</w:t>
      </w:r>
      <w:r w:rsidRPr="004B7400">
        <w:rPr>
          <w:color w:val="000000"/>
        </w:rPr>
        <w:noBreakHyphen/>
        <w:t>south flow from Québec to Maine at the Avangrid 345 kV Larrabee Road substation</w:t>
      </w:r>
    </w:p>
    <w:p w14:paraId="7B84EB14" w14:textId="77777777" w:rsidR="00B969ED" w:rsidRPr="004B7400" w:rsidRDefault="00B969ED" w:rsidP="00955D2D">
      <w:pPr>
        <w:numPr>
          <w:ilvl w:val="0"/>
          <w:numId w:val="31"/>
        </w:numPr>
        <w:spacing w:after="120"/>
        <w:rPr>
          <w:color w:val="000000"/>
        </w:rPr>
      </w:pPr>
      <w:r w:rsidRPr="004B7400">
        <w:rPr>
          <w:color w:val="000000"/>
        </w:rPr>
        <w:t>QP-640: 1,000 MW HVDC tie north</w:t>
      </w:r>
      <w:r w:rsidRPr="004B7400">
        <w:rPr>
          <w:color w:val="000000"/>
        </w:rPr>
        <w:noBreakHyphen/>
        <w:t>south flow from New Brunswick to Massachusetts at the 345 kV lines leaving Pilgrim substation</w:t>
      </w:r>
    </w:p>
    <w:p w14:paraId="353B59E6" w14:textId="77777777" w:rsidR="00B969ED" w:rsidRPr="00B969ED" w:rsidRDefault="00B969ED" w:rsidP="00955D2D">
      <w:pPr>
        <w:numPr>
          <w:ilvl w:val="0"/>
          <w:numId w:val="31"/>
        </w:numPr>
        <w:spacing w:after="120"/>
        <w:rPr>
          <w:color w:val="000000"/>
        </w:rPr>
      </w:pPr>
      <w:r w:rsidRPr="00B969ED">
        <w:rPr>
          <w:color w:val="000000"/>
        </w:rPr>
        <w:t>QP-651: 600 MW AC tie from New York to western Massachusetts—bidirectional; NY Alps substation to Western Massachusetts Electric Company (WMECO) 345 kV Berkshire substation</w:t>
      </w:r>
    </w:p>
    <w:p w14:paraId="40F49B4E" w14:textId="77777777" w:rsidR="00B969ED" w:rsidRDefault="00B969ED" w:rsidP="00955D2D">
      <w:pPr>
        <w:numPr>
          <w:ilvl w:val="0"/>
          <w:numId w:val="31"/>
        </w:numPr>
        <w:spacing w:after="120"/>
        <w:rPr>
          <w:color w:val="000000"/>
        </w:rPr>
      </w:pPr>
      <w:r w:rsidRPr="00B969ED">
        <w:rPr>
          <w:color w:val="000000"/>
        </w:rPr>
        <w:t>QP-657: ETU to increase Downeast Loop transfer in Maine</w:t>
      </w:r>
    </w:p>
    <w:p w14:paraId="02F6D582" w14:textId="77777777" w:rsidR="00200127" w:rsidRPr="00B969ED" w:rsidRDefault="00200127" w:rsidP="00955D2D">
      <w:pPr>
        <w:numPr>
          <w:ilvl w:val="0"/>
          <w:numId w:val="31"/>
        </w:numPr>
        <w:spacing w:after="120"/>
        <w:rPr>
          <w:color w:val="000000"/>
        </w:rPr>
      </w:pPr>
      <w:r>
        <w:rPr>
          <w:color w:val="000000"/>
        </w:rPr>
        <w:t xml:space="preserve">QP-668: NE Clean Power Link—controllable HVDC tie; </w:t>
      </w:r>
      <w:r w:rsidR="00400949">
        <w:rPr>
          <w:color w:val="000000"/>
        </w:rPr>
        <w:t>capacity network import (</w:t>
      </w:r>
      <w:r>
        <w:rPr>
          <w:color w:val="000000"/>
        </w:rPr>
        <w:t>CNI</w:t>
      </w:r>
      <w:r w:rsidR="00400949">
        <w:rPr>
          <w:color w:val="000000"/>
        </w:rPr>
        <w:t>)</w:t>
      </w:r>
      <w:r>
        <w:rPr>
          <w:color w:val="000000"/>
        </w:rPr>
        <w:t xml:space="preserve"> only</w:t>
      </w:r>
    </w:p>
    <w:p w14:paraId="52698B5B" w14:textId="77777777" w:rsidR="00B969ED" w:rsidRPr="004B7400" w:rsidRDefault="00B969ED" w:rsidP="00955D2D">
      <w:pPr>
        <w:numPr>
          <w:ilvl w:val="0"/>
          <w:numId w:val="31"/>
        </w:numPr>
        <w:spacing w:after="120"/>
        <w:rPr>
          <w:color w:val="000000"/>
        </w:rPr>
      </w:pPr>
      <w:r w:rsidRPr="00B969ED">
        <w:rPr>
          <w:color w:val="000000"/>
        </w:rPr>
        <w:t>QP-738: Internal AC noncontrollable E</w:t>
      </w:r>
      <w:r w:rsidRPr="004B7400">
        <w:rPr>
          <w:color w:val="000000"/>
        </w:rPr>
        <w:t>TU—interface upgrade in Maine</w:t>
      </w:r>
    </w:p>
    <w:p w14:paraId="36140591" w14:textId="77777777" w:rsidR="00B969ED" w:rsidRPr="004B7400" w:rsidRDefault="00B969ED" w:rsidP="00955D2D">
      <w:pPr>
        <w:numPr>
          <w:ilvl w:val="0"/>
          <w:numId w:val="31"/>
        </w:numPr>
        <w:spacing w:after="120"/>
        <w:rPr>
          <w:color w:val="000000"/>
        </w:rPr>
      </w:pPr>
      <w:r w:rsidRPr="004B7400">
        <w:rPr>
          <w:color w:val="000000"/>
        </w:rPr>
        <w:t>QP-740: Internal AC noncontrollable ETU to Avangrid Larrabee Road 345 kV substation in Maine</w:t>
      </w:r>
    </w:p>
    <w:p w14:paraId="39265E8C" w14:textId="77777777" w:rsidR="00B969ED" w:rsidRPr="004B7400" w:rsidRDefault="00B969ED" w:rsidP="00955D2D">
      <w:pPr>
        <w:numPr>
          <w:ilvl w:val="0"/>
          <w:numId w:val="31"/>
        </w:numPr>
        <w:spacing w:after="120"/>
        <w:rPr>
          <w:color w:val="000000"/>
        </w:rPr>
      </w:pPr>
      <w:r w:rsidRPr="004B7400">
        <w:rPr>
          <w:color w:val="000000"/>
        </w:rPr>
        <w:t>QP-741: Internal AC non-controllable ETU to Avangrid Larrabee Road 345 kV substation in Maine</w:t>
      </w:r>
    </w:p>
    <w:p w14:paraId="1005F6A8" w14:textId="77777777" w:rsidR="00B969ED" w:rsidRPr="004B7400" w:rsidRDefault="00B969ED" w:rsidP="00955D2D">
      <w:pPr>
        <w:numPr>
          <w:ilvl w:val="0"/>
          <w:numId w:val="31"/>
        </w:numPr>
        <w:spacing w:after="120"/>
        <w:rPr>
          <w:color w:val="000000"/>
        </w:rPr>
      </w:pPr>
      <w:r w:rsidRPr="004B7400">
        <w:rPr>
          <w:color w:val="000000"/>
        </w:rPr>
        <w:t>QP-742: Internal AC non-controllable ETU to Avangrid Larrabee Road 345 kV substation in Maine</w:t>
      </w:r>
    </w:p>
    <w:p w14:paraId="4FD43DAF" w14:textId="77777777" w:rsidR="00B969ED" w:rsidRPr="00B969ED" w:rsidRDefault="00B969ED" w:rsidP="00955D2D">
      <w:pPr>
        <w:numPr>
          <w:ilvl w:val="0"/>
          <w:numId w:val="31"/>
        </w:numPr>
        <w:spacing w:after="120"/>
        <w:rPr>
          <w:color w:val="000000"/>
        </w:rPr>
      </w:pPr>
      <w:r w:rsidRPr="00B969ED">
        <w:rPr>
          <w:color w:val="000000"/>
        </w:rPr>
        <w:t>QP-828: ETU for simultaneous delivery of specific queued projects in Southeast Massachusetts</w:t>
      </w:r>
    </w:p>
    <w:p w14:paraId="1C4F3453" w14:textId="77777777" w:rsidR="00B969ED" w:rsidRPr="00B969ED" w:rsidRDefault="00B969ED" w:rsidP="00955D2D">
      <w:pPr>
        <w:numPr>
          <w:ilvl w:val="0"/>
          <w:numId w:val="31"/>
        </w:numPr>
        <w:spacing w:after="120"/>
        <w:rPr>
          <w:color w:val="000000"/>
        </w:rPr>
      </w:pPr>
      <w:r w:rsidRPr="00B969ED">
        <w:rPr>
          <w:color w:val="000000"/>
        </w:rPr>
        <w:t>QP-837: 1,200 MW HVDC line (controllable) into National Grid 345 kV Brayton Point substation</w:t>
      </w:r>
    </w:p>
    <w:p w14:paraId="25970E26" w14:textId="77777777" w:rsidR="00B969ED" w:rsidRDefault="00B969ED" w:rsidP="005658C2">
      <w:pPr>
        <w:numPr>
          <w:ilvl w:val="0"/>
          <w:numId w:val="31"/>
        </w:numPr>
        <w:spacing w:after="120"/>
        <w:rPr>
          <w:color w:val="000000"/>
        </w:rPr>
      </w:pPr>
      <w:r w:rsidRPr="00B969ED">
        <w:rPr>
          <w:color w:val="000000"/>
        </w:rPr>
        <w:t>QP-873: 1,200 MW HVDC line (controllable) into Eversource 345 kV Mystic substation</w:t>
      </w:r>
    </w:p>
    <w:p w14:paraId="2F0691E9" w14:textId="77777777" w:rsidR="00200127" w:rsidRDefault="00200127" w:rsidP="003960DC">
      <w:pPr>
        <w:numPr>
          <w:ilvl w:val="0"/>
          <w:numId w:val="31"/>
        </w:numPr>
        <w:spacing w:after="120"/>
        <w:rPr>
          <w:color w:val="000000"/>
        </w:rPr>
      </w:pPr>
      <w:r>
        <w:rPr>
          <w:color w:val="000000"/>
        </w:rPr>
        <w:t xml:space="preserve">QP-889: </w:t>
      </w:r>
      <w:r w:rsidRPr="00E265D4">
        <w:rPr>
          <w:color w:val="000000"/>
        </w:rPr>
        <w:t>ETU for the deliverability of specific projects</w:t>
      </w:r>
    </w:p>
    <w:p w14:paraId="2A1863C6" w14:textId="77777777" w:rsidR="00200127" w:rsidRDefault="00200127" w:rsidP="005658C2">
      <w:pPr>
        <w:numPr>
          <w:ilvl w:val="0"/>
          <w:numId w:val="31"/>
        </w:numPr>
        <w:spacing w:after="120"/>
        <w:rPr>
          <w:color w:val="000000"/>
        </w:rPr>
      </w:pPr>
      <w:r>
        <w:rPr>
          <w:color w:val="000000"/>
        </w:rPr>
        <w:lastRenderedPageBreak/>
        <w:t xml:space="preserve">QP-890: </w:t>
      </w:r>
      <w:r w:rsidRPr="00E265D4">
        <w:rPr>
          <w:color w:val="000000"/>
        </w:rPr>
        <w:t xml:space="preserve">Increase transfer capability for </w:t>
      </w:r>
      <w:r>
        <w:rPr>
          <w:color w:val="000000"/>
        </w:rPr>
        <w:t>north to south f</w:t>
      </w:r>
      <w:r w:rsidRPr="00E265D4">
        <w:rPr>
          <w:color w:val="000000"/>
        </w:rPr>
        <w:t>lows (Norwalk Harbor substation to Northport substation)</w:t>
      </w:r>
    </w:p>
    <w:p w14:paraId="04B86B64" w14:textId="77777777" w:rsidR="00200127" w:rsidRPr="00B969ED" w:rsidRDefault="00200127" w:rsidP="003960DC">
      <w:pPr>
        <w:numPr>
          <w:ilvl w:val="0"/>
          <w:numId w:val="31"/>
        </w:numPr>
        <w:rPr>
          <w:color w:val="000000"/>
        </w:rPr>
      </w:pPr>
      <w:r>
        <w:rPr>
          <w:color w:val="000000"/>
        </w:rPr>
        <w:t xml:space="preserve">QP-891: </w:t>
      </w:r>
      <w:r w:rsidRPr="00E265D4">
        <w:rPr>
          <w:color w:val="000000"/>
        </w:rPr>
        <w:t>1</w:t>
      </w:r>
      <w:r>
        <w:rPr>
          <w:color w:val="000000"/>
        </w:rPr>
        <w:t>,</w:t>
      </w:r>
      <w:r w:rsidRPr="00E265D4">
        <w:rPr>
          <w:color w:val="000000"/>
        </w:rPr>
        <w:t xml:space="preserve">400 MW HVDC </w:t>
      </w:r>
      <w:r>
        <w:rPr>
          <w:color w:val="000000"/>
        </w:rPr>
        <w:t>l</w:t>
      </w:r>
      <w:r w:rsidRPr="00E265D4">
        <w:rPr>
          <w:color w:val="000000"/>
        </w:rPr>
        <w:t>ine into Millstone</w:t>
      </w:r>
    </w:p>
    <w:p w14:paraId="31FC813E" w14:textId="77777777" w:rsidR="00B969ED" w:rsidRPr="00B969ED" w:rsidRDefault="00B969ED" w:rsidP="0081780C">
      <w:pPr>
        <w:pStyle w:val="Heading2"/>
      </w:pPr>
      <w:bookmarkStart w:id="724" w:name="_Toc429063425"/>
      <w:bookmarkStart w:id="725" w:name="_Toc490323061"/>
      <w:bookmarkStart w:id="726" w:name="_Toc12795203"/>
      <w:r w:rsidRPr="00B969ED">
        <w:t>Summary</w:t>
      </w:r>
      <w:bookmarkEnd w:id="724"/>
      <w:bookmarkEnd w:id="725"/>
      <w:bookmarkEnd w:id="726"/>
    </w:p>
    <w:bookmarkEnd w:id="648"/>
    <w:bookmarkEnd w:id="649"/>
    <w:bookmarkEnd w:id="650"/>
    <w:bookmarkEnd w:id="651"/>
    <w:p w14:paraId="3EF6FDEB" w14:textId="77777777" w:rsidR="00B969ED" w:rsidRPr="00B969ED" w:rsidRDefault="00B969ED" w:rsidP="00B969ED">
      <w:r w:rsidRPr="00B969ED">
        <w:t xml:space="preserve">Transmission projects have been placed in service across New England since 2002. These projects help maintain system reliability, enhance the region’s ability to support a robust, competitive wholesale power market by reliably moving power from various internal and external sources to the region’s load centers, and ensure the system can meet its current level of demand and prepare for future load growth. </w:t>
      </w:r>
    </w:p>
    <w:p w14:paraId="2477E468" w14:textId="77777777" w:rsidR="00B969ED" w:rsidRPr="00B969ED" w:rsidRDefault="00B969ED" w:rsidP="00B969ED">
      <w:r w:rsidRPr="00D1271D">
        <w:t xml:space="preserve">Between summer 2017 and summer 2019, the Maine Power Reliability Program, the New Hampshire/Vermont 2020 Upgrades, Connecticut River Valley Upgrades, GHCC 2022 Upgrades, SWCT 2022 Upgrades, </w:t>
      </w:r>
      <w:r w:rsidRPr="00963D00">
        <w:t>and the Pittsfield and Greenfield 2022 Upgrades were either placed in service or nearing completion. Study work remains to be done in the ECT, Maine, WCMA, New Hampshire, Boston, and SEMA/RI areas.</w:t>
      </w:r>
      <w:r w:rsidRPr="00B969ED">
        <w:t xml:space="preserve"> </w:t>
      </w:r>
    </w:p>
    <w:p w14:paraId="268240ED" w14:textId="34B2B7CC" w:rsidR="00B969ED" w:rsidRPr="00B969ED" w:rsidRDefault="00B969ED" w:rsidP="00B969ED">
      <w:r w:rsidRPr="00B969ED">
        <w:t xml:space="preserve">In May 2015, ISO New England implemented the changes to the regional and interregional transmission planning process to comply with the directives in FERC Order 1000. As of summer 2019, the ISO </w:t>
      </w:r>
      <w:r w:rsidR="00276927">
        <w:t>expects to issue</w:t>
      </w:r>
      <w:r w:rsidRPr="00B969ED">
        <w:t xml:space="preserve"> a request for proposals soliciting competitive bids to solve the </w:t>
      </w:r>
      <w:r w:rsidR="00276927">
        <w:t xml:space="preserve">non-time-sensitive </w:t>
      </w:r>
      <w:r w:rsidRPr="00B969ED">
        <w:t>need</w:t>
      </w:r>
      <w:r w:rsidR="00276927">
        <w:t>s in Boston in early 2020</w:t>
      </w:r>
      <w:r w:rsidRPr="00B969ED">
        <w:t>. The second cycle of the public policy process is scheduled to begin in January 2020.</w:t>
      </w:r>
    </w:p>
    <w:p w14:paraId="6E018116" w14:textId="77777777" w:rsidR="00B969ED" w:rsidRPr="00B969ED" w:rsidRDefault="00B969ED" w:rsidP="00B969ED">
      <w:r w:rsidRPr="00B969ED">
        <w:t>Many new elective transmission upgrades have been proposed, which focus on delivering zero or low-carbon resources to New England. As of June 1</w:t>
      </w:r>
      <w:r w:rsidRPr="000262CC">
        <w:t xml:space="preserve">, </w:t>
      </w:r>
      <w:r w:rsidRPr="007C7C94">
        <w:t xml:space="preserve">2019, </w:t>
      </w:r>
      <w:r w:rsidR="003960DC">
        <w:t>14</w:t>
      </w:r>
      <w:r w:rsidRPr="000262CC">
        <w:t xml:space="preserve"> projects are under study as elective transmission upgrades, and </w:t>
      </w:r>
      <w:r w:rsidRPr="007C7C94">
        <w:t>three</w:t>
      </w:r>
      <w:r w:rsidRPr="000262CC">
        <w:t xml:space="preserve"> have received </w:t>
      </w:r>
      <w:r w:rsidR="003960DC">
        <w:t xml:space="preserve">approval of </w:t>
      </w:r>
      <w:r w:rsidRPr="000262CC">
        <w:t>the</w:t>
      </w:r>
      <w:r w:rsidRPr="00B969ED">
        <w:t>ir proposed plan application</w:t>
      </w:r>
      <w:r w:rsidR="003960DC">
        <w:t>s</w:t>
      </w:r>
      <w:r w:rsidRPr="00B969ED">
        <w:t>.</w:t>
      </w:r>
    </w:p>
    <w:p w14:paraId="4AC223A6" w14:textId="77777777" w:rsidR="00B969ED" w:rsidRPr="00B969ED" w:rsidRDefault="00B969ED" w:rsidP="00B969ED">
      <w:r w:rsidRPr="00B969ED">
        <w:t xml:space="preserve">All transmission projects are developed to meet the reliability requirements of the entire region and are fully coordinated regionally and interregionally. Most projects on the </w:t>
      </w:r>
      <w:r w:rsidRPr="00B969ED">
        <w:rPr>
          <w:i/>
        </w:rPr>
        <w:t>RSP Project List</w:t>
      </w:r>
      <w:r w:rsidRPr="00B969ED">
        <w:t xml:space="preserve"> are subject to regional cost allocation. Transmission projects identified through the regional transmission planning process help the ISO meets all required transmission planning requirements, and little congestion is currently evident on the system.</w:t>
      </w:r>
    </w:p>
    <w:p w14:paraId="14DE7E7C" w14:textId="77777777" w:rsidR="00E2185A" w:rsidRDefault="00B969ED" w:rsidP="00B969ED">
      <w:pPr>
        <w:sectPr w:rsidR="00E2185A" w:rsidSect="00806C40">
          <w:pgSz w:w="12240" w:h="15840"/>
          <w:pgMar w:top="1440" w:right="1440" w:bottom="1440" w:left="1800" w:header="720" w:footer="720" w:gutter="0"/>
          <w:cols w:space="720"/>
          <w:docGrid w:linePitch="360"/>
        </w:sectPr>
      </w:pPr>
      <w:r w:rsidRPr="00B969ED">
        <w:t xml:space="preserve">A total of </w:t>
      </w:r>
      <w:r w:rsidR="000D7CAE">
        <w:t>801</w:t>
      </w:r>
      <w:r w:rsidRPr="00B969ED">
        <w:t xml:space="preserve"> project components have been placed in service across the region since 2002. </w:t>
      </w:r>
      <w:r w:rsidR="003960DC">
        <w:t>A</w:t>
      </w:r>
      <w:r w:rsidRPr="00B969ED">
        <w:t xml:space="preserve">nother </w:t>
      </w:r>
      <w:r w:rsidR="000D7CAE">
        <w:t>67</w:t>
      </w:r>
      <w:r w:rsidRPr="00B969ED">
        <w:t xml:space="preserve"> project components have a status of planned, proposed, or under construction. Overall, the estimated investment in New England to maintain reliability has been $</w:t>
      </w:r>
      <w:r w:rsidR="000D7CAE">
        <w:t>10.9</w:t>
      </w:r>
      <w:r w:rsidRPr="00B969ED">
        <w:t xml:space="preserve"> billion </w:t>
      </w:r>
      <w:r w:rsidR="00B378D4">
        <w:t>from</w:t>
      </w:r>
      <w:r w:rsidRPr="00B969ED">
        <w:t xml:space="preserve"> 2002</w:t>
      </w:r>
      <w:r w:rsidR="000D7CAE">
        <w:t xml:space="preserve"> to June 2019, and another </w:t>
      </w:r>
      <w:r w:rsidR="00D24AAE">
        <w:t>$</w:t>
      </w:r>
      <w:r w:rsidR="000D7CAE">
        <w:t>1.</w:t>
      </w:r>
      <w:r w:rsidR="001E6E4E">
        <w:t>3</w:t>
      </w:r>
      <w:r w:rsidR="000D7CAE">
        <w:t xml:space="preserve"> billion is planned over the planning horizon</w:t>
      </w:r>
      <w:r w:rsidRPr="00B969ED">
        <w:t>. With these system upgrades in place, combined with the changes in assumptions to needs assessments, the need for additional reliability-based transmission upgrades may decline over the planning horizon, however additional needs may be driven by generation retirement and the impact of increased energy efficiency and photovoltaic programs.</w:t>
      </w:r>
    </w:p>
    <w:p w14:paraId="36A71318" w14:textId="77777777" w:rsidR="00B969ED" w:rsidRPr="00B969ED" w:rsidRDefault="00B969ED" w:rsidP="007C7C94">
      <w:pPr>
        <w:pStyle w:val="Heading1"/>
      </w:pPr>
      <w:r w:rsidRPr="00B969ED">
        <w:lastRenderedPageBreak/>
        <w:br/>
      </w:r>
      <w:bookmarkStart w:id="727" w:name="_Ref418357957"/>
      <w:bookmarkStart w:id="728" w:name="_Ref418860292"/>
      <w:bookmarkStart w:id="729" w:name="_Ref418959031"/>
      <w:bookmarkStart w:id="730" w:name="_Toc484947377"/>
      <w:bookmarkStart w:id="731" w:name="_Toc490323062"/>
      <w:bookmarkStart w:id="732" w:name="_Toc12795204"/>
      <w:r w:rsidRPr="00B969ED">
        <w:t>Interregional</w:t>
      </w:r>
      <w:bookmarkEnd w:id="727"/>
      <w:r w:rsidRPr="00B969ED">
        <w:t xml:space="preserve"> Coordination</w:t>
      </w:r>
      <w:bookmarkEnd w:id="728"/>
      <w:bookmarkEnd w:id="729"/>
      <w:bookmarkEnd w:id="730"/>
      <w:bookmarkEnd w:id="731"/>
      <w:bookmarkEnd w:id="732"/>
    </w:p>
    <w:p w14:paraId="42945476" w14:textId="77777777" w:rsidR="00B969ED" w:rsidRPr="00B969ED" w:rsidRDefault="00B969ED" w:rsidP="00B969ED">
      <w:pPr>
        <w:rPr>
          <w:rFonts w:eastAsia="Times New Roman"/>
          <w:color w:val="000000"/>
        </w:rPr>
      </w:pPr>
      <w:r w:rsidRPr="00B969ED">
        <w:rPr>
          <w:rFonts w:eastAsia="Times New Roman"/>
          <w:color w:val="000000"/>
        </w:rPr>
        <w:t>Interconnections with neighboring systems allow for the exchange of capacity and energy. Tie lines facilitate access to a diversity of resources; compliance with environmental obligations; and the more economic, interregional operation of the system. New England is well situated, given the seasonal diversity of demand in neighboring regions, especially the winter-peaking Canadian provinces.</w:t>
      </w:r>
      <w:r w:rsidRPr="00B969ED">
        <w:rPr>
          <w:rFonts w:eastAsia="Times New Roman"/>
          <w:color w:val="000000"/>
          <w:vertAlign w:val="superscript"/>
        </w:rPr>
        <w:footnoteReference w:id="220"/>
      </w:r>
      <w:r w:rsidRPr="00B969ED">
        <w:rPr>
          <w:rFonts w:eastAsia="Times New Roman"/>
          <w:color w:val="000000"/>
        </w:rPr>
        <w:t xml:space="preserve"> Quantifying these benefits, identifying potential needs for additional interconnections, and coordinating the planning of the interconnected system are becoming increasingly important.</w:t>
      </w:r>
    </w:p>
    <w:p w14:paraId="4F791D6A" w14:textId="77777777" w:rsidR="00B969ED" w:rsidRPr="00B969ED" w:rsidRDefault="002F3B9C" w:rsidP="00B969ED">
      <w:r>
        <w:t>As summarized in this section, t</w:t>
      </w:r>
      <w:r w:rsidR="00B969ED" w:rsidRPr="00B969ED">
        <w:t>he ISO coordinates its planning activities with neighboring systems and across the Eastern Interconnection (EI). Consistent with the mandatory reliability requirements of the North American Electric Reliability Corporation, the ISO identifies and resolves interregional</w:t>
      </w:r>
      <w:r>
        <w:t xml:space="preserve"> </w:t>
      </w:r>
      <w:r w:rsidR="00B969ED" w:rsidRPr="00B969ED">
        <w:t>planning</w:t>
      </w:r>
      <w:r>
        <w:t xml:space="preserve"> </w:t>
      </w:r>
      <w:r w:rsidR="00B969ED" w:rsidRPr="00B969ED">
        <w:t xml:space="preserve">issues, as shown by needs assessments and solutions studies. The ISO coordinates with neighboring regional planning entities to </w:t>
      </w:r>
      <w:r>
        <w:t xml:space="preserve">analyze the interconnection-wide system, </w:t>
      </w:r>
      <w:r w:rsidR="00B969ED" w:rsidRPr="00B969ED">
        <w:t xml:space="preserve">identify </w:t>
      </w:r>
      <w:r>
        <w:t xml:space="preserve">interregional transfer and seams issues, and determine </w:t>
      </w:r>
      <w:r w:rsidR="00B969ED" w:rsidRPr="00B969ED">
        <w:t xml:space="preserve">whether interregional transmission solutions are more efficient or cost effective than solely regional solutions. With other entities within and outside the region, including neighboring areas, the ISO conducts studies that aim to, for example, improve production cost models, share simulation results, investigate the challenges to and possibilities for integrating renewable resources, </w:t>
      </w:r>
      <w:r>
        <w:t xml:space="preserve">improve competitive electricity markets in North America, </w:t>
      </w:r>
      <w:r w:rsidR="00B969ED" w:rsidRPr="00B969ED">
        <w:t>and address other common issues affecting the planning of the overall system</w:t>
      </w:r>
      <w:r w:rsidR="00B969ED" w:rsidRPr="00150133">
        <w:t>.</w:t>
      </w:r>
      <w:r w:rsidR="00B969ED" w:rsidRPr="00B969ED">
        <w:t xml:space="preserve"> </w:t>
      </w:r>
    </w:p>
    <w:p w14:paraId="746A5095" w14:textId="77777777" w:rsidR="00B969ED" w:rsidRPr="00B969ED" w:rsidRDefault="00B969ED" w:rsidP="00B969ED">
      <w:r w:rsidRPr="00B969ED">
        <w:t>The ISO also participates in numerous interregional planning activities with the US Department of Energy (DOE), the Northeast Power Coordinating Council, and NERC</w:t>
      </w:r>
      <w:r w:rsidR="00277E0F">
        <w:t>-</w:t>
      </w:r>
      <w:r w:rsidR="00055306">
        <w:t xml:space="preserve">designated </w:t>
      </w:r>
      <w:r w:rsidRPr="00B969ED">
        <w:t>areas in the United States and Canada. The overriding purpose of these efforts</w:t>
      </w:r>
      <w:r w:rsidR="00150133">
        <w:t xml:space="preserve"> </w:t>
      </w:r>
      <w:r w:rsidRPr="00B969ED">
        <w:t xml:space="preserve">is to enhance the overall reliability of the interregional electric power system. </w:t>
      </w:r>
      <w:bookmarkStart w:id="733" w:name="_Toc484947378"/>
      <w:bookmarkStart w:id="734" w:name="_Ref490309072"/>
      <w:bookmarkStart w:id="735" w:name="_Toc490323063"/>
      <w:bookmarkStart w:id="736" w:name="_Toc365441057"/>
      <w:bookmarkStart w:id="737" w:name="_Ref365621833"/>
      <w:bookmarkStart w:id="738" w:name="_Ref388717364"/>
      <w:bookmarkStart w:id="739" w:name="_Ref388951448"/>
      <w:bookmarkStart w:id="740" w:name="_Ref390424252"/>
      <w:bookmarkStart w:id="741" w:name="_Toc396807684"/>
      <w:bookmarkStart w:id="742" w:name="_Ref398112136"/>
    </w:p>
    <w:p w14:paraId="2DA2659B" w14:textId="77777777" w:rsidR="00B969ED" w:rsidRPr="00B969ED" w:rsidRDefault="00B969ED" w:rsidP="0081780C">
      <w:pPr>
        <w:pStyle w:val="Heading2"/>
      </w:pPr>
      <w:bookmarkStart w:id="743" w:name="_Toc12795205"/>
      <w:r w:rsidRPr="00B969ED">
        <w:t>US Department of Energy Studies</w:t>
      </w:r>
      <w:bookmarkEnd w:id="743"/>
    </w:p>
    <w:p w14:paraId="4A20C05A" w14:textId="77777777" w:rsidR="00B969ED" w:rsidRPr="00B969ED" w:rsidRDefault="00B969ED" w:rsidP="00B969ED">
      <w:r w:rsidRPr="00B969ED">
        <w:t xml:space="preserve">The US Department of Energy establishes national energy policy, conducts </w:t>
      </w:r>
      <w:r w:rsidR="00147894">
        <w:t xml:space="preserve">a range of </w:t>
      </w:r>
      <w:r w:rsidRPr="00B969ED">
        <w:t>studies, and leads research and development projects. ISO New England participates in many of these activities</w:t>
      </w:r>
      <w:r w:rsidR="00147894">
        <w:t>,</w:t>
      </w:r>
      <w:r w:rsidRPr="00B969ED">
        <w:t xml:space="preserve"> including</w:t>
      </w:r>
      <w:r w:rsidR="00147894">
        <w:t xml:space="preserve"> the following</w:t>
      </w:r>
      <w:r w:rsidRPr="00B969ED">
        <w:t>:</w:t>
      </w:r>
    </w:p>
    <w:p w14:paraId="65801CC0" w14:textId="77777777"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Policy conferences that explore key issues, at which ISO staff </w:t>
      </w:r>
      <w:r w:rsidR="00147894">
        <w:rPr>
          <w:rFonts w:eastAsia="Times New Roman"/>
          <w:szCs w:val="24"/>
        </w:rPr>
        <w:t xml:space="preserve">present information or </w:t>
      </w:r>
      <w:r w:rsidRPr="00B969ED">
        <w:rPr>
          <w:rFonts w:eastAsia="Times New Roman"/>
          <w:szCs w:val="24"/>
        </w:rPr>
        <w:t>attend</w:t>
      </w:r>
      <w:r w:rsidR="00147894">
        <w:rPr>
          <w:rFonts w:eastAsia="Times New Roman"/>
          <w:szCs w:val="24"/>
        </w:rPr>
        <w:t xml:space="preserve"> as participants</w:t>
      </w:r>
      <w:r w:rsidRPr="00B969ED">
        <w:rPr>
          <w:rFonts w:eastAsia="Times New Roman"/>
          <w:szCs w:val="24"/>
          <w:vertAlign w:val="superscript"/>
        </w:rPr>
        <w:footnoteReference w:id="221"/>
      </w:r>
      <w:r w:rsidRPr="00B969ED">
        <w:rPr>
          <w:rFonts w:eastAsia="Times New Roman"/>
          <w:szCs w:val="24"/>
        </w:rPr>
        <w:t xml:space="preserve"> </w:t>
      </w:r>
    </w:p>
    <w:p w14:paraId="7EDBECB4" w14:textId="77777777" w:rsidR="00B969ED" w:rsidRPr="00B969ED" w:rsidRDefault="00B969ED" w:rsidP="00955D2D">
      <w:pPr>
        <w:numPr>
          <w:ilvl w:val="0"/>
          <w:numId w:val="55"/>
        </w:numPr>
        <w:spacing w:after="120"/>
        <w:rPr>
          <w:rFonts w:eastAsia="Times New Roman"/>
          <w:szCs w:val="24"/>
        </w:rPr>
      </w:pPr>
      <w:r w:rsidRPr="00B969ED">
        <w:rPr>
          <w:rFonts w:eastAsia="Times New Roman"/>
          <w:szCs w:val="24"/>
        </w:rPr>
        <w:t xml:space="preserve">Congestion studies, where the ISO annually provides input </w:t>
      </w:r>
      <w:r w:rsidR="00147894">
        <w:rPr>
          <w:rFonts w:eastAsia="Times New Roman"/>
          <w:szCs w:val="24"/>
        </w:rPr>
        <w:t>and</w:t>
      </w:r>
      <w:r w:rsidRPr="00B969ED">
        <w:rPr>
          <w:rFonts w:eastAsia="Times New Roman"/>
          <w:szCs w:val="24"/>
        </w:rPr>
        <w:t xml:space="preserve"> data </w:t>
      </w:r>
      <w:r w:rsidR="00147894">
        <w:rPr>
          <w:rFonts w:eastAsia="Times New Roman"/>
          <w:szCs w:val="24"/>
        </w:rPr>
        <w:t>on</w:t>
      </w:r>
      <w:r w:rsidRPr="00B969ED">
        <w:rPr>
          <w:rFonts w:eastAsia="Times New Roman"/>
          <w:szCs w:val="24"/>
        </w:rPr>
        <w:t xml:space="preserve"> system planning practices and issues</w:t>
      </w:r>
      <w:r w:rsidRPr="00B969ED">
        <w:rPr>
          <w:rFonts w:eastAsia="Times New Roman"/>
          <w:szCs w:val="24"/>
          <w:vertAlign w:val="superscript"/>
        </w:rPr>
        <w:footnoteReference w:id="222"/>
      </w:r>
      <w:r w:rsidRPr="00B969ED">
        <w:rPr>
          <w:rFonts w:eastAsia="Times New Roman"/>
          <w:szCs w:val="24"/>
        </w:rPr>
        <w:t xml:space="preserve"> </w:t>
      </w:r>
    </w:p>
    <w:p w14:paraId="5614B85D" w14:textId="09E566ED" w:rsidR="00B969ED" w:rsidRPr="00277E0F" w:rsidRDefault="00B969ED" w:rsidP="005658C2">
      <w:pPr>
        <w:numPr>
          <w:ilvl w:val="0"/>
          <w:numId w:val="55"/>
        </w:numPr>
        <w:ind w:left="806"/>
        <w:rPr>
          <w:rFonts w:eastAsia="Times New Roman"/>
          <w:szCs w:val="24"/>
        </w:rPr>
      </w:pPr>
      <w:r w:rsidRPr="00B969ED">
        <w:rPr>
          <w:rFonts w:eastAsia="Times New Roman"/>
          <w:szCs w:val="24"/>
        </w:rPr>
        <w:lastRenderedPageBreak/>
        <w:t xml:space="preserve">DOE research and development projects, where the ISO serves as technical reviewers and users </w:t>
      </w:r>
      <w:r w:rsidRPr="00277E0F">
        <w:rPr>
          <w:rFonts w:eastAsia="Times New Roman"/>
          <w:szCs w:val="24"/>
        </w:rPr>
        <w:t xml:space="preserve">of information (see Section </w:t>
      </w:r>
      <w:r w:rsidR="00277E0F" w:rsidRPr="00277E0F">
        <w:rPr>
          <w:rFonts w:eastAsia="Times New Roman"/>
          <w:szCs w:val="24"/>
        </w:rPr>
        <w:fldChar w:fldCharType="begin"/>
      </w:r>
      <w:r w:rsidR="00277E0F" w:rsidRPr="00277E0F">
        <w:rPr>
          <w:rFonts w:eastAsia="Times New Roman"/>
          <w:szCs w:val="24"/>
        </w:rPr>
        <w:instrText xml:space="preserve"> REF _Ref10707070 \r \h </w:instrText>
      </w:r>
      <w:r w:rsidR="00277E0F">
        <w:rPr>
          <w:rFonts w:eastAsia="Times New Roman"/>
          <w:szCs w:val="24"/>
        </w:rPr>
        <w:instrText xml:space="preserve"> \* MERGEFORMAT </w:instrText>
      </w:r>
      <w:r w:rsidR="00277E0F" w:rsidRPr="00277E0F">
        <w:rPr>
          <w:rFonts w:eastAsia="Times New Roman"/>
          <w:szCs w:val="24"/>
        </w:rPr>
      </w:r>
      <w:r w:rsidR="00277E0F" w:rsidRPr="00277E0F">
        <w:rPr>
          <w:rFonts w:eastAsia="Times New Roman"/>
          <w:szCs w:val="24"/>
        </w:rPr>
        <w:fldChar w:fldCharType="separate"/>
      </w:r>
      <w:r w:rsidR="005D0B73">
        <w:rPr>
          <w:rFonts w:eastAsia="Times New Roman"/>
          <w:szCs w:val="24"/>
        </w:rPr>
        <w:t>9.4</w:t>
      </w:r>
      <w:r w:rsidR="00277E0F" w:rsidRPr="00277E0F">
        <w:rPr>
          <w:rFonts w:eastAsia="Times New Roman"/>
          <w:szCs w:val="24"/>
        </w:rPr>
        <w:fldChar w:fldCharType="end"/>
      </w:r>
      <w:r w:rsidRPr="00277E0F">
        <w:rPr>
          <w:rFonts w:eastAsia="Times New Roman"/>
          <w:szCs w:val="24"/>
        </w:rPr>
        <w:t>)</w:t>
      </w:r>
    </w:p>
    <w:p w14:paraId="73F1B51A" w14:textId="77777777" w:rsidR="00B969ED" w:rsidRPr="00B969ED" w:rsidRDefault="00B969ED" w:rsidP="0081780C">
      <w:pPr>
        <w:pStyle w:val="Heading2"/>
      </w:pPr>
      <w:bookmarkStart w:id="744" w:name="_Ref5632963"/>
      <w:bookmarkStart w:id="745" w:name="_Toc12795206"/>
      <w:r w:rsidRPr="00B969ED">
        <w:t>Eastern Interconnection Planning Collaborative Studies</w:t>
      </w:r>
      <w:bookmarkEnd w:id="733"/>
      <w:bookmarkEnd w:id="734"/>
      <w:bookmarkEnd w:id="735"/>
      <w:bookmarkEnd w:id="744"/>
      <w:bookmarkEnd w:id="745"/>
      <w:r w:rsidRPr="00B969ED">
        <w:t xml:space="preserve"> </w:t>
      </w:r>
      <w:bookmarkEnd w:id="736"/>
      <w:bookmarkEnd w:id="737"/>
      <w:bookmarkEnd w:id="738"/>
      <w:bookmarkEnd w:id="739"/>
      <w:bookmarkEnd w:id="740"/>
      <w:bookmarkEnd w:id="741"/>
      <w:bookmarkEnd w:id="742"/>
    </w:p>
    <w:p w14:paraId="1ABDA72D" w14:textId="77777777" w:rsidR="00B969ED" w:rsidRPr="00B969ED" w:rsidRDefault="00B969ED" w:rsidP="00B969ED">
      <w:r w:rsidRPr="00B969ED">
        <w:t xml:space="preserve">Most of the electric power planning coordinators of the Eastern Interconnection, including ISO New England, formed the Eastern Interconnection Planning Collaborative (EIPC) in 2009 to address their portion of North American planning issues, combine the existing regional transmission expansion plans, and analyze the interconnection-wide system. Since that time the EIPC has conducted several studies. The </w:t>
      </w:r>
      <w:r w:rsidRPr="00B969ED">
        <w:rPr>
          <w:i/>
        </w:rPr>
        <w:t>State of the Eastern Interconnection</w:t>
      </w:r>
      <w:r w:rsidRPr="00B969ED">
        <w:t xml:space="preserve"> describes EIPC’s planning activities and summarizes results from studies and analyses on the collective transmission plans in the Eastern Interconnection.</w:t>
      </w:r>
      <w:r w:rsidRPr="00B969ED">
        <w:rPr>
          <w:vertAlign w:val="superscript"/>
        </w:rPr>
        <w:footnoteReference w:id="223"/>
      </w:r>
    </w:p>
    <w:p w14:paraId="78C31F38" w14:textId="77777777" w:rsidR="00B969ED" w:rsidRPr="00B969ED" w:rsidRDefault="00B969ED" w:rsidP="00B969ED">
      <w:r w:rsidRPr="00B969ED">
        <w:t xml:space="preserve">EIPC produces “Roll-Up Reports” that combine the individual plans of each of the major planning coordinators in </w:t>
      </w:r>
      <w:r w:rsidRPr="00A03BAB">
        <w:t>the Eastern Interconnection.</w:t>
      </w:r>
      <w:r w:rsidRPr="00D1271D">
        <w:rPr>
          <w:vertAlign w:val="superscript"/>
        </w:rPr>
        <w:footnoteReference w:id="224"/>
      </w:r>
      <w:r w:rsidRPr="00A03BAB">
        <w:t xml:space="preserve"> These reports verify that the individual plans function well together to maintain bulk power system reliability throughout the interconnection and identify potential constraints resulting from interconnection-wide power</w:t>
      </w:r>
      <w:r w:rsidR="000B1BCB">
        <w:t>-</w:t>
      </w:r>
      <w:r w:rsidRPr="00A03BAB">
        <w:t>flow interactions</w:t>
      </w:r>
      <w:r w:rsidR="00150133">
        <w:t>, which</w:t>
      </w:r>
      <w:r w:rsidRPr="00A03BAB">
        <w:t xml:space="preserve"> provide feedback to inform and enhance regional plans. </w:t>
      </w:r>
      <w:r w:rsidR="00A03BAB">
        <w:t xml:space="preserve">EIPC has </w:t>
      </w:r>
      <w:r w:rsidR="003C16D0">
        <w:t xml:space="preserve">used </w:t>
      </w:r>
      <w:r w:rsidR="00A03BAB">
        <w:t xml:space="preserve">several </w:t>
      </w:r>
      <w:r w:rsidRPr="00A03BAB">
        <w:t>power-flow models</w:t>
      </w:r>
      <w:r w:rsidR="003C16D0">
        <w:t xml:space="preserve"> to </w:t>
      </w:r>
      <w:r w:rsidRPr="00A03BAB">
        <w:t>analyz</w:t>
      </w:r>
      <w:r w:rsidR="003C16D0">
        <w:t xml:space="preserve">e </w:t>
      </w:r>
      <w:r w:rsidRPr="00B969ED">
        <w:t xml:space="preserve">various future scenarios of interest to </w:t>
      </w:r>
      <w:r w:rsidR="001B7018">
        <w:t xml:space="preserve">the </w:t>
      </w:r>
      <w:r w:rsidRPr="00B969ED">
        <w:t xml:space="preserve">states and other stakeholders. </w:t>
      </w:r>
      <w:r w:rsidR="003C16D0">
        <w:t xml:space="preserve">It </w:t>
      </w:r>
      <w:r w:rsidRPr="00B969ED">
        <w:t xml:space="preserve">also </w:t>
      </w:r>
      <w:r w:rsidR="003C16D0">
        <w:t xml:space="preserve">has </w:t>
      </w:r>
      <w:r w:rsidRPr="00B969ED">
        <w:t>extensive</w:t>
      </w:r>
      <w:r w:rsidR="003C16D0">
        <w:t>ly</w:t>
      </w:r>
      <w:r w:rsidRPr="00B969ED">
        <w:t xml:space="preserve"> investigat</w:t>
      </w:r>
      <w:r w:rsidR="003C16D0">
        <w:t xml:space="preserve">ed </w:t>
      </w:r>
      <w:r w:rsidRPr="00B969ED">
        <w:t xml:space="preserve">the gas-electric </w:t>
      </w:r>
      <w:r w:rsidR="001B7018">
        <w:t xml:space="preserve">power </w:t>
      </w:r>
      <w:r w:rsidRPr="00B969ED">
        <w:t>system interface and continues sharing important lessons.</w:t>
      </w:r>
      <w:r w:rsidRPr="00B969ED">
        <w:rPr>
          <w:vertAlign w:val="superscript"/>
        </w:rPr>
        <w:footnoteReference w:id="225"/>
      </w:r>
      <w:r w:rsidRPr="00B969ED">
        <w:t xml:space="preserve"> </w:t>
      </w:r>
    </w:p>
    <w:p w14:paraId="7091982F" w14:textId="77777777" w:rsidR="00B969ED" w:rsidRPr="00B969ED" w:rsidRDefault="00B969ED" w:rsidP="00B969ED">
      <w:r w:rsidRPr="00B969ED">
        <w:t>EIPC provides information, data, and support regarding planning issues relevant to the Eastern Interconnection to various state and federal agencies (e.g. National Council on Electricity Policy [NCEP], DOE, and FERC).</w:t>
      </w:r>
      <w:r w:rsidRPr="00B969ED">
        <w:rPr>
          <w:vertAlign w:val="superscript"/>
        </w:rPr>
        <w:footnoteReference w:id="226"/>
      </w:r>
      <w:r w:rsidRPr="00B969ED">
        <w:t xml:space="preserve"> EIPC issued comments to DOE on its </w:t>
      </w:r>
      <w:r w:rsidRPr="00B969ED">
        <w:rPr>
          <w:i/>
        </w:rPr>
        <w:t>Annual Transmission Data Report</w:t>
      </w:r>
      <w:r w:rsidRPr="00B969ED">
        <w:t xml:space="preserve"> and supported DOE’s National Renewable Energy Laboratory (NREL) on the </w:t>
      </w:r>
      <w:r w:rsidRPr="005658C2">
        <w:rPr>
          <w:i/>
        </w:rPr>
        <w:t>Eastern Renewable Generation Integration Study</w:t>
      </w:r>
      <w:r w:rsidRPr="00B969ED">
        <w:t>.</w:t>
      </w:r>
      <w:r w:rsidRPr="00B969ED">
        <w:rPr>
          <w:vertAlign w:val="superscript"/>
        </w:rPr>
        <w:footnoteReference w:id="227"/>
      </w:r>
      <w:r w:rsidRPr="00B969ED">
        <w:t xml:space="preserve"> EIPC has advised NCEP on several issues affecting the electric power industry, such as the means of overcoming challenges posed by the large-scale development </w:t>
      </w:r>
      <w:r w:rsidRPr="00FF2328">
        <w:t>of distributed energy resources (DERs).</w:t>
      </w:r>
      <w:r w:rsidRPr="00B969ED">
        <w:t xml:space="preserve"> </w:t>
      </w:r>
    </w:p>
    <w:p w14:paraId="1C883232" w14:textId="77777777" w:rsidR="00B969ED" w:rsidRPr="00B969ED" w:rsidRDefault="00B969ED" w:rsidP="00B969ED">
      <w:r w:rsidRPr="00B969ED">
        <w:t>EIPC entities responsible for system planning developed a production</w:t>
      </w:r>
      <w:r w:rsidR="00150133">
        <w:t>-</w:t>
      </w:r>
      <w:r w:rsidRPr="00B969ED">
        <w:t xml:space="preserve">cost model of the Eastern Interconnection. With stakeholder input, EIPC </w:t>
      </w:r>
      <w:r w:rsidR="00150133">
        <w:t xml:space="preserve">plans on </w:t>
      </w:r>
      <w:r w:rsidR="00463FAB">
        <w:t>conducting</w:t>
      </w:r>
      <w:r w:rsidR="00463FAB" w:rsidRPr="00B969ED">
        <w:t xml:space="preserve"> </w:t>
      </w:r>
      <w:r w:rsidRPr="00B969ED">
        <w:t>production-costing analyses in the future.</w:t>
      </w:r>
    </w:p>
    <w:p w14:paraId="2FFA6A07" w14:textId="77777777" w:rsidR="00B969ED" w:rsidRPr="00B969ED" w:rsidRDefault="00B969ED" w:rsidP="00B969ED">
      <w:r w:rsidRPr="00150133">
        <w:t xml:space="preserve">With the addition of </w:t>
      </w:r>
      <w:r w:rsidR="009D28D8" w:rsidRPr="00150133">
        <w:t xml:space="preserve">inverter-based, </w:t>
      </w:r>
      <w:r w:rsidRPr="00150133">
        <w:t>nonsynchronous ge</w:t>
      </w:r>
      <w:r w:rsidRPr="00B969ED">
        <w:t>neration and planned synchronous resource retirements, the ability of the EI to maintain frequency</w:t>
      </w:r>
      <w:r w:rsidR="00463FAB">
        <w:t xml:space="preserve"> has come into question</w:t>
      </w:r>
      <w:r w:rsidRPr="00B969ED">
        <w:t xml:space="preserve">. In support of NERC, EIPC conducted an analysis that improved the models of system response to frequency events and assessed </w:t>
      </w:r>
      <w:r w:rsidRPr="00B969ED">
        <w:lastRenderedPageBreak/>
        <w:t>the 2022 system.</w:t>
      </w:r>
      <w:r w:rsidRPr="00B969ED">
        <w:rPr>
          <w:vertAlign w:val="superscript"/>
        </w:rPr>
        <w:footnoteReference w:id="228"/>
      </w:r>
      <w:r w:rsidRPr="00B969ED">
        <w:t xml:space="preserve"> The results showed acceptable system performance after fully considering </w:t>
      </w:r>
      <w:r w:rsidR="001B7018">
        <w:t xml:space="preserve">the </w:t>
      </w:r>
      <w:r w:rsidRPr="00150133">
        <w:t xml:space="preserve">anticipated retirements of older high-inertia synchronous generators and additions of planned </w:t>
      </w:r>
      <w:r w:rsidRPr="00A954F4">
        <w:t>nonsynchronous res</w:t>
      </w:r>
      <w:r w:rsidRPr="00B969ED">
        <w:t>ources within the EI</w:t>
      </w:r>
      <w:r w:rsidR="002B396B">
        <w:t xml:space="preserve">. </w:t>
      </w:r>
    </w:p>
    <w:p w14:paraId="34C25B6C" w14:textId="77777777" w:rsidR="00B969ED" w:rsidRPr="00B969ED" w:rsidRDefault="00B969ED" w:rsidP="00B969ED">
      <w:r w:rsidRPr="00B969ED">
        <w:t xml:space="preserve">EIPC </w:t>
      </w:r>
      <w:r w:rsidR="001B7018">
        <w:t xml:space="preserve">and NERC </w:t>
      </w:r>
      <w:r w:rsidR="00150133">
        <w:t>ha</w:t>
      </w:r>
      <w:r w:rsidR="001B7018">
        <w:t>ve</w:t>
      </w:r>
      <w:r w:rsidR="00150133">
        <w:t xml:space="preserve"> discussed </w:t>
      </w:r>
      <w:r w:rsidR="001B7018">
        <w:t xml:space="preserve">the collaborative’s </w:t>
      </w:r>
      <w:r w:rsidRPr="00B969ED">
        <w:t>assum</w:t>
      </w:r>
      <w:r w:rsidR="00150133">
        <w:t>ing</w:t>
      </w:r>
      <w:r w:rsidRPr="00B969ED">
        <w:t xml:space="preserve"> power-flow and stability modeling responsibilities for creating NERC base-case libraries beginning in 2020. In the role of designated entity, as described in NERC Standard MOD-032, EIPC </w:t>
      </w:r>
      <w:r w:rsidR="00A954F4">
        <w:t>may</w:t>
      </w:r>
      <w:r w:rsidRPr="00B969ED">
        <w:t xml:space="preserve"> then fully manage the NERC model</w:t>
      </w:r>
      <w:r w:rsidR="009D28D8">
        <w:t>-</w:t>
      </w:r>
      <w:r w:rsidRPr="00B969ED">
        <w:t>development effort currently overseen by the Eastern Interconnection Reliability Assessment Group (ERAG).</w:t>
      </w:r>
      <w:r w:rsidRPr="00B969ED">
        <w:rPr>
          <w:vertAlign w:val="superscript"/>
        </w:rPr>
        <w:footnoteReference w:id="229"/>
      </w:r>
      <w:r w:rsidRPr="00B969ED">
        <w:t xml:space="preserve"> </w:t>
      </w:r>
      <w:r w:rsidR="00A954F4">
        <w:t xml:space="preserve">Regardless of the outcome of the negotiations, </w:t>
      </w:r>
      <w:r w:rsidRPr="00B969ED">
        <w:t xml:space="preserve">EIPC will direct </w:t>
      </w:r>
      <w:r w:rsidR="00A954F4">
        <w:t xml:space="preserve">its </w:t>
      </w:r>
      <w:r w:rsidRPr="00B969ED">
        <w:t xml:space="preserve">planning coordinators and their representatives in the Multiregional Modeling Working Group (MMWG) </w:t>
      </w:r>
      <w:r w:rsidR="005075F1">
        <w:t>on</w:t>
      </w:r>
      <w:r w:rsidRPr="00B969ED">
        <w:t xml:space="preserve"> assembling network models of the EI. </w:t>
      </w:r>
    </w:p>
    <w:p w14:paraId="1F39FFA6" w14:textId="77777777" w:rsidR="00B969ED" w:rsidRPr="00B969ED" w:rsidRDefault="00B969ED" w:rsidP="002415B3">
      <w:pPr>
        <w:pStyle w:val="Heading2"/>
      </w:pPr>
      <w:bookmarkStart w:id="746" w:name="_Toc365441058"/>
      <w:bookmarkStart w:id="747" w:name="_Toc396807685"/>
      <w:bookmarkStart w:id="748" w:name="_Toc484947379"/>
      <w:bookmarkStart w:id="749" w:name="_Ref487013631"/>
      <w:bookmarkStart w:id="750" w:name="_Toc490323064"/>
      <w:bookmarkStart w:id="751" w:name="_Ref491183820"/>
      <w:bookmarkStart w:id="752" w:name="_Ref11245083"/>
      <w:bookmarkStart w:id="753" w:name="_Ref12131749"/>
      <w:bookmarkStart w:id="754" w:name="_Ref12183529"/>
      <w:bookmarkStart w:id="755" w:name="_Ref12184030"/>
      <w:bookmarkStart w:id="756" w:name="_Toc12795207"/>
      <w:r w:rsidRPr="00B969ED">
        <w:t>Electric Reliability Organization Overview</w:t>
      </w:r>
      <w:bookmarkEnd w:id="746"/>
      <w:bookmarkEnd w:id="747"/>
      <w:bookmarkEnd w:id="748"/>
      <w:bookmarkEnd w:id="749"/>
      <w:bookmarkEnd w:id="750"/>
      <w:bookmarkEnd w:id="751"/>
      <w:bookmarkEnd w:id="752"/>
      <w:bookmarkEnd w:id="753"/>
      <w:bookmarkEnd w:id="754"/>
      <w:bookmarkEnd w:id="755"/>
      <w:bookmarkEnd w:id="756"/>
    </w:p>
    <w:p w14:paraId="0F114CBD" w14:textId="77777777" w:rsidR="00B969ED" w:rsidRPr="00B969ED" w:rsidRDefault="00B969ED" w:rsidP="00B969ED">
      <w:r w:rsidRPr="00B969ED">
        <w:t xml:space="preserve">ISO New England is responsible for complying with applicable NERC standards </w:t>
      </w:r>
      <w:r w:rsidR="009D28D8">
        <w:t>addressing</w:t>
      </w:r>
      <w:r w:rsidRPr="00B969ED">
        <w:t xml:space="preserve"> bulk system operations and planning.</w:t>
      </w:r>
      <w:r w:rsidRPr="00B969ED">
        <w:rPr>
          <w:vertAlign w:val="superscript"/>
        </w:rPr>
        <w:footnoteReference w:id="230"/>
      </w:r>
      <w:r w:rsidRPr="00B969ED">
        <w:t xml:space="preserve"> In addition, the ISO participates in regional and interregional studies required for compliance. </w:t>
      </w:r>
    </w:p>
    <w:p w14:paraId="25B9A270" w14:textId="77777777" w:rsidR="00B969ED" w:rsidRPr="00B969ED" w:rsidRDefault="00B969ED" w:rsidP="00B969ED">
      <w:r w:rsidRPr="00B969ED">
        <w:t>Through its committee structure, NERC, which is the FERC-designated Electric Reliability Organization (ERO), regularly publishes reports that assess the reliability of the North American electric power system.</w:t>
      </w:r>
      <w:r w:rsidRPr="00B969ED">
        <w:rPr>
          <w:vertAlign w:val="superscript"/>
        </w:rPr>
        <w:footnoteReference w:id="231"/>
      </w:r>
      <w:r w:rsidRPr="00B969ED">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United States and Canada for the upcoming peak demand periods in these seasons. Special regional, interregional, or interconnection-wide assessments are conducted as needed.</w:t>
      </w:r>
    </w:p>
    <w:p w14:paraId="5D9969DE" w14:textId="77777777" w:rsidR="00B969ED" w:rsidRPr="00B969ED" w:rsidRDefault="00B969ED" w:rsidP="00B969ED">
      <w:r w:rsidRPr="00B969ED">
        <w:t xml:space="preserve">In December 2018, NERC issued its annual </w:t>
      </w:r>
      <w:r w:rsidRPr="00B969ED">
        <w:rPr>
          <w:i/>
        </w:rPr>
        <w:t>Long-Term Reliability Assessment</w:t>
      </w:r>
      <w:r w:rsidRPr="00B969ED">
        <w:t xml:space="preserve"> (LTRA), analyzing reliability conditions across the North American continent.</w:t>
      </w:r>
      <w:r w:rsidRPr="00B969ED">
        <w:rPr>
          <w:vertAlign w:val="superscript"/>
        </w:rPr>
        <w:footnoteReference w:id="232"/>
      </w:r>
      <w:r w:rsidRPr="00B969ED">
        <w:t xml:space="preserve"> This report </w:t>
      </w:r>
      <w:r w:rsidR="000B1BCB" w:rsidRPr="00B969ED">
        <w:t>disc</w:t>
      </w:r>
      <w:r w:rsidR="000B1BCB">
        <w:t>usses</w:t>
      </w:r>
      <w:r w:rsidRPr="00B969ED">
        <w:t xml:space="preserve"> transmission additions, generation projections, and reserve capability by reliability council area. T</w:t>
      </w:r>
      <w:r w:rsidRPr="00B969ED">
        <w:rPr>
          <w:rFonts w:cs="Calibri"/>
        </w:rPr>
        <w:t>he 2018 NERC LTRA offers several key findings:</w:t>
      </w:r>
    </w:p>
    <w:p w14:paraId="617F58EA" w14:textId="77777777" w:rsidR="00B969ED" w:rsidRPr="00B969ED" w:rsidRDefault="002E1DCC" w:rsidP="00955D2D">
      <w:pPr>
        <w:numPr>
          <w:ilvl w:val="0"/>
          <w:numId w:val="52"/>
        </w:numPr>
        <w:spacing w:after="120"/>
        <w:rPr>
          <w:rFonts w:eastAsia="Times New Roman" w:cs="Calibri"/>
          <w:szCs w:val="24"/>
        </w:rPr>
      </w:pPr>
      <w:r>
        <w:rPr>
          <w:rFonts w:eastAsia="Times New Roman" w:cs="Calibri"/>
          <w:szCs w:val="24"/>
        </w:rPr>
        <w:t>The Electric Reliability Council of Texas (</w:t>
      </w:r>
      <w:r w:rsidR="00B969ED" w:rsidRPr="00B969ED">
        <w:rPr>
          <w:rFonts w:eastAsia="Times New Roman" w:cs="Calibri"/>
          <w:szCs w:val="24"/>
        </w:rPr>
        <w:t>ERCOT</w:t>
      </w:r>
      <w:r>
        <w:rPr>
          <w:rFonts w:eastAsia="Times New Roman" w:cs="Calibri"/>
          <w:szCs w:val="24"/>
        </w:rPr>
        <w:t>)</w:t>
      </w:r>
      <w:r w:rsidR="00B969ED" w:rsidRPr="00B969ED">
        <w:rPr>
          <w:rFonts w:eastAsia="Times New Roman" w:cs="Calibri"/>
          <w:szCs w:val="24"/>
        </w:rPr>
        <w:t xml:space="preserve"> is projected to have reserve margins below its reference value identified as necessary for meeting resource</w:t>
      </w:r>
      <w:r w:rsidR="00233073">
        <w:rPr>
          <w:rFonts w:eastAsia="Times New Roman" w:cs="Calibri"/>
          <w:szCs w:val="24"/>
        </w:rPr>
        <w:t>-</w:t>
      </w:r>
      <w:r w:rsidR="00B969ED" w:rsidRPr="00B969ED">
        <w:rPr>
          <w:rFonts w:eastAsia="Times New Roman" w:cs="Calibri"/>
          <w:szCs w:val="24"/>
        </w:rPr>
        <w:t xml:space="preserve">adequacy requirements starting in 2019, </w:t>
      </w:r>
      <w:r w:rsidR="00B969ED" w:rsidRPr="00507450">
        <w:rPr>
          <w:rFonts w:eastAsia="Times New Roman" w:cs="Calibri"/>
          <w:szCs w:val="24"/>
        </w:rPr>
        <w:t xml:space="preserve">while </w:t>
      </w:r>
      <w:r w:rsidR="00507450" w:rsidRPr="00507450">
        <w:rPr>
          <w:rFonts w:eastAsia="Times New Roman" w:cs="Calibri"/>
          <w:szCs w:val="24"/>
        </w:rPr>
        <w:t>the Midwest Reliability Organization-Midcontinent ISO (</w:t>
      </w:r>
      <w:r w:rsidR="00B969ED" w:rsidRPr="00507450">
        <w:rPr>
          <w:rFonts w:eastAsia="Times New Roman" w:cs="Calibri"/>
          <w:szCs w:val="24"/>
        </w:rPr>
        <w:t>MRO-MISO</w:t>
      </w:r>
      <w:r w:rsidR="00507450" w:rsidRPr="00507450">
        <w:rPr>
          <w:rFonts w:eastAsia="Times New Roman" w:cs="Calibri"/>
          <w:szCs w:val="24"/>
        </w:rPr>
        <w:t>)</w:t>
      </w:r>
      <w:r w:rsidR="00B969ED" w:rsidRPr="00507450">
        <w:rPr>
          <w:rFonts w:eastAsia="Times New Roman" w:cs="Calibri"/>
          <w:szCs w:val="24"/>
        </w:rPr>
        <w:t>, and NPCC-Ontario are projected to have reserve margins below their reference margin level by 2023</w:t>
      </w:r>
      <w:r w:rsidR="00B969ED" w:rsidRPr="00B969ED">
        <w:rPr>
          <w:rFonts w:eastAsia="Times New Roman" w:cs="Calibri"/>
          <w:szCs w:val="24"/>
        </w:rPr>
        <w:t xml:space="preserve">. However, these areas have other resources that may be advanced to satisfy their systems’ needs. </w:t>
      </w:r>
      <w:r w:rsidR="00B969ED" w:rsidRPr="00B969ED">
        <w:rPr>
          <w:rFonts w:eastAsia="Times New Roman" w:cs="Calibri"/>
          <w:szCs w:val="24"/>
        </w:rPr>
        <w:lastRenderedPageBreak/>
        <w:t>The report indicates that probabilistic assessments of future conditions can highlight additional reliability challenges. It also notes that resource</w:t>
      </w:r>
      <w:r w:rsidR="003E0D65">
        <w:rPr>
          <w:rFonts w:eastAsia="Times New Roman" w:cs="Calibri"/>
          <w:szCs w:val="24"/>
        </w:rPr>
        <w:t>-</w:t>
      </w:r>
      <w:r w:rsidR="00B969ED" w:rsidRPr="00B969ED">
        <w:rPr>
          <w:rFonts w:eastAsia="Times New Roman" w:cs="Calibri"/>
          <w:szCs w:val="24"/>
        </w:rPr>
        <w:t>adequacy shortfalls can occur during off-peak periods in the Western Interconnection, especially in areas with large penetrations of variable energy resources.</w:t>
      </w:r>
      <w:r w:rsidR="00B969ED" w:rsidRPr="00B969ED">
        <w:rPr>
          <w:rFonts w:eastAsia="Times New Roman"/>
          <w:szCs w:val="24"/>
          <w:vertAlign w:val="superscript"/>
        </w:rPr>
        <w:footnoteReference w:id="233"/>
      </w:r>
      <w:r w:rsidR="00B969ED" w:rsidRPr="00B969ED">
        <w:rPr>
          <w:rFonts w:eastAsia="Times New Roman" w:cs="Calibri"/>
          <w:szCs w:val="24"/>
        </w:rPr>
        <w:t xml:space="preserve"> All other areas, including New England, were projected as having sufficient resources through 2023.</w:t>
      </w:r>
    </w:p>
    <w:p w14:paraId="6D82FF18" w14:textId="77777777"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Reliance on natural gas generation increases in some areas with continuing resource-mix changes, and fuel-assurance mechanisms are being developed. The LTRA acknowledges the important roles that market rules and mechanisms can play to address energy-security issues. </w:t>
      </w:r>
    </w:p>
    <w:p w14:paraId="55811FBF" w14:textId="38A1FF05"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As a result of the analysis conducted by EIPC, NERC expects frequency response to remain adequate through 2022 (see Section </w:t>
      </w:r>
      <w:r w:rsidRPr="00B969ED">
        <w:rPr>
          <w:rFonts w:eastAsia="Times New Roman" w:cs="Calibri"/>
          <w:szCs w:val="24"/>
        </w:rPr>
        <w:fldChar w:fldCharType="begin"/>
      </w:r>
      <w:r w:rsidRPr="00B969ED">
        <w:rPr>
          <w:rFonts w:eastAsia="Times New Roman" w:cs="Calibri"/>
          <w:szCs w:val="24"/>
        </w:rPr>
        <w:instrText xml:space="preserve"> REF _Ref5632963 \n \h  \* MERGEFORMAT </w:instrText>
      </w:r>
      <w:r w:rsidRPr="00B969ED">
        <w:rPr>
          <w:rFonts w:eastAsia="Times New Roman" w:cs="Calibri"/>
          <w:szCs w:val="24"/>
        </w:rPr>
      </w:r>
      <w:r w:rsidRPr="00B969ED">
        <w:rPr>
          <w:rFonts w:eastAsia="Times New Roman" w:cs="Calibri"/>
          <w:szCs w:val="24"/>
        </w:rPr>
        <w:fldChar w:fldCharType="separate"/>
      </w:r>
      <w:r w:rsidR="005D0B73">
        <w:rPr>
          <w:rFonts w:eastAsia="Times New Roman" w:cs="Calibri"/>
          <w:szCs w:val="24"/>
        </w:rPr>
        <w:t>6.2</w:t>
      </w:r>
      <w:r w:rsidRPr="00B969ED">
        <w:rPr>
          <w:rFonts w:eastAsia="Times New Roman" w:cs="Calibri"/>
          <w:szCs w:val="24"/>
        </w:rPr>
        <w:fldChar w:fldCharType="end"/>
      </w:r>
      <w:r w:rsidRPr="00B969ED">
        <w:rPr>
          <w:rFonts w:eastAsia="Times New Roman" w:cs="Calibri"/>
          <w:szCs w:val="24"/>
        </w:rPr>
        <w:t xml:space="preserve">). </w:t>
      </w:r>
    </w:p>
    <w:p w14:paraId="55ABCF1B" w14:textId="77777777"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 xml:space="preserve">The increasing amounts of solar and wind resources require more flexible capacity to support ramping requirements. Improved forecasting also helps manage changes in ramping requirements. </w:t>
      </w:r>
    </w:p>
    <w:p w14:paraId="3B352E27" w14:textId="77777777" w:rsidR="00B969ED" w:rsidRPr="00B969ED" w:rsidRDefault="00B969ED" w:rsidP="00955D2D">
      <w:pPr>
        <w:numPr>
          <w:ilvl w:val="0"/>
          <w:numId w:val="52"/>
        </w:numPr>
        <w:spacing w:after="120"/>
        <w:rPr>
          <w:rFonts w:eastAsia="Times New Roman" w:cs="Calibri"/>
          <w:szCs w:val="24"/>
        </w:rPr>
      </w:pPr>
      <w:r w:rsidRPr="00B969ED">
        <w:rPr>
          <w:rFonts w:eastAsia="Times New Roman" w:cs="Calibri"/>
          <w:szCs w:val="24"/>
        </w:rPr>
        <w:t>Over 30 GW of new distributed solar photovoltaics expected by the end of 2023 will affect system planning, forecasting, and modeling needs, which must be addressed.</w:t>
      </w:r>
      <w:r w:rsidRPr="00B969ED">
        <w:rPr>
          <w:rFonts w:eastAsia="Times New Roman"/>
          <w:szCs w:val="24"/>
          <w:vertAlign w:val="superscript"/>
        </w:rPr>
        <w:footnoteReference w:id="234"/>
      </w:r>
      <w:r w:rsidRPr="00B969ED">
        <w:rPr>
          <w:rFonts w:eastAsia="Times New Roman" w:cs="Calibri"/>
          <w:szCs w:val="24"/>
        </w:rPr>
        <w:t xml:space="preserve"> </w:t>
      </w:r>
    </w:p>
    <w:p w14:paraId="023864DD" w14:textId="77777777" w:rsidR="00B969ED" w:rsidRPr="00B969ED" w:rsidRDefault="00B969ED" w:rsidP="00B969ED">
      <w:pPr>
        <w:rPr>
          <w:rFonts w:cs="Calibri"/>
        </w:rPr>
      </w:pPr>
      <w:r w:rsidRPr="00B969ED">
        <w:rPr>
          <w:rFonts w:cs="Calibri"/>
        </w:rPr>
        <w:t>Based on the assessment’s key findings, NERC developed several recommendations:</w:t>
      </w:r>
    </w:p>
    <w:p w14:paraId="48822BD4" w14:textId="77777777"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Enhance NERC’s reliability-assessment process to account for energy-adequacy issue</w:t>
      </w:r>
      <w:r w:rsidR="007B390D">
        <w:rPr>
          <w:rFonts w:eastAsia="Times New Roman" w:cs="Calibri"/>
          <w:szCs w:val="24"/>
        </w:rPr>
        <w:t>s</w:t>
      </w:r>
      <w:r w:rsidRPr="00B969ED">
        <w:rPr>
          <w:rFonts w:eastAsia="Times New Roman" w:cs="Calibri"/>
          <w:szCs w:val="24"/>
        </w:rPr>
        <w:t>.</w:t>
      </w:r>
    </w:p>
    <w:p w14:paraId="44D8510A" w14:textId="77777777" w:rsidR="00B969ED" w:rsidRPr="00A954F4"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Develop guidelines to assess fuel limitations and disruption scenarios and leverage industry experience when developing reliability guidelines. The report acknowledges most of New England’s large natural-gas-fired generating units lack firm fuel contracts, but ISO New England improves situational awareness through fuel surveys and coordination with pipeline operators. </w:t>
      </w:r>
      <w:r w:rsidRPr="00A954F4">
        <w:rPr>
          <w:rFonts w:eastAsia="Times New Roman" w:cs="Calibri"/>
          <w:szCs w:val="24"/>
        </w:rPr>
        <w:t>Wholesale market enhancements also promote the reliable operation of the system</w:t>
      </w:r>
      <w:r w:rsidR="00D50B14">
        <w:rPr>
          <w:rFonts w:eastAsia="Times New Roman" w:cs="Calibri"/>
          <w:szCs w:val="24"/>
        </w:rPr>
        <w:t>.</w:t>
      </w:r>
    </w:p>
    <w:p w14:paraId="39A9C220" w14:textId="77777777" w:rsidR="00B969ED" w:rsidRPr="00B969ED" w:rsidRDefault="00B969ED" w:rsidP="00955D2D">
      <w:pPr>
        <w:numPr>
          <w:ilvl w:val="0"/>
          <w:numId w:val="53"/>
        </w:numPr>
        <w:spacing w:after="120"/>
        <w:rPr>
          <w:rFonts w:eastAsia="Times New Roman" w:cs="Calibri"/>
          <w:szCs w:val="24"/>
        </w:rPr>
      </w:pPr>
      <w:r w:rsidRPr="00A954F4">
        <w:rPr>
          <w:rFonts w:eastAsia="Times New Roman" w:cs="Calibri"/>
          <w:szCs w:val="24"/>
        </w:rPr>
        <w:t>Improve interconnection-wide frequency-response modeling, w</w:t>
      </w:r>
      <w:r w:rsidRPr="00B969ED">
        <w:rPr>
          <w:rFonts w:eastAsia="Times New Roman" w:cs="Calibri"/>
          <w:szCs w:val="24"/>
        </w:rPr>
        <w:t>hich has degraded with time resulting from reduced inertia and reduced frequency response from generators and loads. The report discusses the need for study</w:t>
      </w:r>
      <w:r w:rsidR="006859E0">
        <w:rPr>
          <w:rFonts w:eastAsia="Times New Roman" w:cs="Calibri"/>
          <w:szCs w:val="24"/>
        </w:rPr>
        <w:t>ing</w:t>
      </w:r>
      <w:r w:rsidRPr="00B969ED">
        <w:rPr>
          <w:rFonts w:eastAsia="Times New Roman" w:cs="Calibri"/>
          <w:szCs w:val="24"/>
        </w:rPr>
        <w:t xml:space="preserve"> how </w:t>
      </w:r>
      <w:r w:rsidR="006859E0">
        <w:rPr>
          <w:rFonts w:eastAsia="Times New Roman" w:cs="Calibri"/>
          <w:szCs w:val="24"/>
        </w:rPr>
        <w:t xml:space="preserve">the </w:t>
      </w:r>
      <w:r w:rsidRPr="00B969ED">
        <w:rPr>
          <w:rFonts w:eastAsia="Times New Roman" w:cs="Calibri"/>
          <w:szCs w:val="24"/>
        </w:rPr>
        <w:t xml:space="preserve">proper application of new technologies can improve the speed and extent of required responses. </w:t>
      </w:r>
    </w:p>
    <w:p w14:paraId="40892921" w14:textId="77777777"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 xml:space="preserve">Ensure </w:t>
      </w:r>
      <w:r w:rsidR="00D043FA">
        <w:rPr>
          <w:rFonts w:eastAsia="Times New Roman" w:cs="Calibri"/>
          <w:szCs w:val="24"/>
        </w:rPr>
        <w:t xml:space="preserve">that </w:t>
      </w:r>
      <w:r w:rsidRPr="00B969ED">
        <w:rPr>
          <w:rFonts w:eastAsia="Times New Roman" w:cs="Calibri"/>
          <w:szCs w:val="24"/>
        </w:rPr>
        <w:t xml:space="preserve">system studies incorporate DERs. However, several challenges must be overcome to collect data and address issues of observability and controllability. </w:t>
      </w:r>
    </w:p>
    <w:p w14:paraId="68FBB938" w14:textId="77777777" w:rsidR="00B969ED" w:rsidRPr="00B969ED" w:rsidRDefault="00B969ED" w:rsidP="00955D2D">
      <w:pPr>
        <w:numPr>
          <w:ilvl w:val="0"/>
          <w:numId w:val="53"/>
        </w:numPr>
        <w:spacing w:after="120"/>
        <w:rPr>
          <w:rFonts w:eastAsia="Times New Roman" w:cs="Calibri"/>
          <w:szCs w:val="24"/>
        </w:rPr>
      </w:pPr>
      <w:r w:rsidRPr="00B969ED">
        <w:rPr>
          <w:rFonts w:eastAsia="Times New Roman" w:cs="Calibri"/>
          <w:szCs w:val="24"/>
        </w:rPr>
        <w:t>Flexible ramping resources will be needed to offset variable energy production.</w:t>
      </w:r>
    </w:p>
    <w:p w14:paraId="1BFD7835" w14:textId="77777777" w:rsidR="00B969ED" w:rsidRPr="00B969ED" w:rsidRDefault="00B969ED" w:rsidP="00B969ED">
      <w:pPr>
        <w:rPr>
          <w:rFonts w:cs="Calibri"/>
        </w:rPr>
      </w:pPr>
      <w:r w:rsidRPr="00B969ED">
        <w:rPr>
          <w:rFonts w:cs="Calibri"/>
        </w:rPr>
        <w:t xml:space="preserve">NERC </w:t>
      </w:r>
      <w:r w:rsidR="00433C95">
        <w:rPr>
          <w:rFonts w:cs="Calibri"/>
        </w:rPr>
        <w:t>identified</w:t>
      </w:r>
      <w:r w:rsidRPr="00B969ED">
        <w:rPr>
          <w:rFonts w:cs="Calibri"/>
        </w:rPr>
        <w:t xml:space="preserve"> the following emerging issues that</w:t>
      </w:r>
      <w:r w:rsidR="00E37BF1">
        <w:rPr>
          <w:rFonts w:cs="Calibri"/>
        </w:rPr>
        <w:t xml:space="preserve"> could </w:t>
      </w:r>
      <w:r w:rsidRPr="00B969ED">
        <w:rPr>
          <w:rFonts w:cs="Calibri"/>
        </w:rPr>
        <w:t>impact reliability</w:t>
      </w:r>
      <w:r w:rsidR="00A954F4">
        <w:rPr>
          <w:rFonts w:cs="Calibri"/>
        </w:rPr>
        <w:t xml:space="preserve"> on the overall electric power system over </w:t>
      </w:r>
      <w:r w:rsidRPr="00B969ED">
        <w:rPr>
          <w:rFonts w:cs="Calibri"/>
        </w:rPr>
        <w:t>the 10-year horizon:</w:t>
      </w:r>
    </w:p>
    <w:p w14:paraId="65F93B14" w14:textId="77777777"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Development of bulk power storage of all types can provide needed flexibility of system response. </w:t>
      </w:r>
    </w:p>
    <w:p w14:paraId="255C6674" w14:textId="77777777"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lastRenderedPageBreak/>
        <w:t xml:space="preserve">Clear and precise operating responsibilities must be defined and understood, and coordination must be achieved among the entities responsible for maintaining reliability in the Western Interconnection, whose numerous operating entities have experienced many reliability coordinator changes. Leveraging experience and training will facilitate a smooth transition of the reorganization of the western grid’s reliability coordinator providers and responsibilities. </w:t>
      </w:r>
    </w:p>
    <w:p w14:paraId="64D3311A" w14:textId="77777777"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Potential risk must be </w:t>
      </w:r>
      <w:r w:rsidR="00433C95">
        <w:rPr>
          <w:rFonts w:eastAsia="Times New Roman" w:cs="Calibri"/>
          <w:szCs w:val="24"/>
        </w:rPr>
        <w:t>assessed</w:t>
      </w:r>
      <w:r w:rsidR="00654D6A">
        <w:rPr>
          <w:rFonts w:eastAsia="Times New Roman" w:cs="Calibri"/>
          <w:szCs w:val="24"/>
        </w:rPr>
        <w:t xml:space="preserve"> </w:t>
      </w:r>
      <w:r w:rsidRPr="00B969ED">
        <w:rPr>
          <w:rFonts w:eastAsia="Times New Roman" w:cs="Calibri"/>
          <w:szCs w:val="24"/>
        </w:rPr>
        <w:t>for significant electricity demand growth resulting from increased electrification of transportation, heat pumps, and industrial loads. Scenario analys</w:t>
      </w:r>
      <w:r w:rsidR="006859E0">
        <w:rPr>
          <w:rFonts w:eastAsia="Times New Roman" w:cs="Calibri"/>
          <w:szCs w:val="24"/>
        </w:rPr>
        <w:t>e</w:t>
      </w:r>
      <w:r w:rsidRPr="00B969ED">
        <w:rPr>
          <w:rFonts w:eastAsia="Times New Roman" w:cs="Calibri"/>
          <w:szCs w:val="24"/>
        </w:rPr>
        <w:t xml:space="preserve">s can assist with understanding these risks. </w:t>
      </w:r>
    </w:p>
    <w:p w14:paraId="150F9ECB" w14:textId="77777777" w:rsidR="00B969ED" w:rsidRPr="00B969ED" w:rsidRDefault="00B969ED" w:rsidP="00955D2D">
      <w:pPr>
        <w:numPr>
          <w:ilvl w:val="0"/>
          <w:numId w:val="54"/>
        </w:numPr>
        <w:spacing w:after="120"/>
        <w:rPr>
          <w:rFonts w:eastAsia="Times New Roman" w:cs="Calibri"/>
          <w:szCs w:val="24"/>
        </w:rPr>
      </w:pPr>
      <w:r w:rsidRPr="00B969ED">
        <w:rPr>
          <w:rFonts w:eastAsia="Times New Roman" w:cs="Calibri"/>
          <w:szCs w:val="24"/>
        </w:rPr>
        <w:t xml:space="preserve">Reactive power requirements for transmission-connected devices becomes more complex with </w:t>
      </w:r>
      <w:r w:rsidRPr="00A954F4">
        <w:rPr>
          <w:rFonts w:eastAsia="Times New Roman" w:cs="Calibri"/>
          <w:szCs w:val="24"/>
        </w:rPr>
        <w:t xml:space="preserve">significant additions of </w:t>
      </w:r>
      <w:r w:rsidR="006859E0" w:rsidRPr="00A954F4">
        <w:rPr>
          <w:rFonts w:eastAsia="Times New Roman" w:cs="Calibri"/>
          <w:szCs w:val="24"/>
        </w:rPr>
        <w:t xml:space="preserve">inverter-based </w:t>
      </w:r>
      <w:r w:rsidRPr="00A954F4">
        <w:rPr>
          <w:rFonts w:eastAsia="Times New Roman" w:cs="Calibri"/>
          <w:szCs w:val="24"/>
        </w:rPr>
        <w:t>providers of dynamic voltage control.</w:t>
      </w:r>
      <w:r w:rsidRPr="00B969ED">
        <w:rPr>
          <w:rFonts w:eastAsia="Times New Roman" w:cs="Calibri"/>
          <w:szCs w:val="24"/>
        </w:rPr>
        <w:t xml:space="preserve"> Additional data, performance monitoring, and studies can assess future risks. </w:t>
      </w:r>
    </w:p>
    <w:p w14:paraId="134B9E40" w14:textId="77777777" w:rsidR="00B969ED" w:rsidRPr="00B969ED" w:rsidRDefault="00B969ED" w:rsidP="00955D2D">
      <w:pPr>
        <w:numPr>
          <w:ilvl w:val="0"/>
          <w:numId w:val="54"/>
        </w:numPr>
        <w:autoSpaceDE w:val="0"/>
        <w:autoSpaceDN w:val="0"/>
        <w:adjustRightInd w:val="0"/>
        <w:spacing w:after="120" w:line="240" w:lineRule="auto"/>
        <w:rPr>
          <w:rFonts w:ascii="Calibri" w:eastAsia="Times New Roman" w:hAnsi="Calibri" w:cs="Calibri"/>
          <w:color w:val="000000"/>
          <w:sz w:val="18"/>
          <w:szCs w:val="18"/>
        </w:rPr>
      </w:pPr>
      <w:r w:rsidRPr="00B969ED">
        <w:rPr>
          <w:rFonts w:eastAsia="Times New Roman" w:cs="Calibri"/>
          <w:szCs w:val="24"/>
        </w:rPr>
        <w:t xml:space="preserve">System restoration models </w:t>
      </w:r>
      <w:r w:rsidR="006859E0">
        <w:rPr>
          <w:rFonts w:eastAsia="Times New Roman" w:cs="Calibri"/>
          <w:szCs w:val="24"/>
        </w:rPr>
        <w:t xml:space="preserve">must </w:t>
      </w:r>
      <w:r w:rsidRPr="00B969ED">
        <w:rPr>
          <w:rFonts w:eastAsia="Times New Roman" w:cs="Calibri"/>
          <w:szCs w:val="24"/>
        </w:rPr>
        <w:t>better account for DERs and coordinate with needed underfrequency load</w:t>
      </w:r>
      <w:r w:rsidR="00E37BF1">
        <w:rPr>
          <w:rFonts w:eastAsia="Times New Roman" w:cs="Calibri"/>
          <w:szCs w:val="24"/>
        </w:rPr>
        <w:t>-</w:t>
      </w:r>
      <w:r w:rsidRPr="00B969ED">
        <w:rPr>
          <w:rFonts w:eastAsia="Times New Roman" w:cs="Calibri"/>
          <w:szCs w:val="24"/>
        </w:rPr>
        <w:t>shedding (UFLS) and undervoltage load-shedding (UVLS) schemes. Adaptive protection can prevent system collapse, as was evident in Europe when the disconnection of DERs played a role.</w:t>
      </w:r>
      <w:r w:rsidRPr="00B969ED">
        <w:rPr>
          <w:rFonts w:eastAsia="Times New Roman"/>
          <w:szCs w:val="24"/>
          <w:vertAlign w:val="superscript"/>
        </w:rPr>
        <w:footnoteReference w:id="235"/>
      </w:r>
      <w:r w:rsidR="00B707AC">
        <w:rPr>
          <w:rFonts w:eastAsia="Times New Roman" w:cs="Calibri"/>
          <w:szCs w:val="24"/>
        </w:rPr>
        <w:t xml:space="preserve"> </w:t>
      </w:r>
    </w:p>
    <w:p w14:paraId="5702C22F" w14:textId="77777777" w:rsidR="00B969ED" w:rsidRPr="00B969ED" w:rsidRDefault="0095015F" w:rsidP="00B969ED">
      <w:r>
        <w:rPr>
          <w:rFonts w:cs="Calibri"/>
        </w:rPr>
        <w:t>T</w:t>
      </w:r>
      <w:r w:rsidR="00654D6A">
        <w:rPr>
          <w:rFonts w:cs="Calibri"/>
        </w:rPr>
        <w:t>he shift toward</w:t>
      </w:r>
      <w:r w:rsidR="00104755">
        <w:rPr>
          <w:rFonts w:cs="Calibri"/>
        </w:rPr>
        <w:t xml:space="preserve"> using</w:t>
      </w:r>
      <w:r w:rsidR="00654D6A">
        <w:rPr>
          <w:rFonts w:cs="Calibri"/>
        </w:rPr>
        <w:t xml:space="preserve"> inverter-based resources </w:t>
      </w:r>
      <w:r w:rsidR="00B969ED" w:rsidRPr="00B969ED">
        <w:rPr>
          <w:rFonts w:cs="Calibri"/>
        </w:rPr>
        <w:t xml:space="preserve">can </w:t>
      </w:r>
      <w:r>
        <w:rPr>
          <w:rFonts w:cs="Calibri"/>
        </w:rPr>
        <w:t xml:space="preserve">reduce system strength and </w:t>
      </w:r>
      <w:r w:rsidR="00654D6A">
        <w:rPr>
          <w:rFonts w:cs="Calibri"/>
        </w:rPr>
        <w:t>contribute to</w:t>
      </w:r>
      <w:r w:rsidR="00B969ED" w:rsidRPr="00B969ED">
        <w:rPr>
          <w:rFonts w:cs="Calibri"/>
        </w:rPr>
        <w:t xml:space="preserve"> subsynchronous resonance and control</w:t>
      </w:r>
      <w:r>
        <w:rPr>
          <w:rFonts w:cs="Calibri"/>
        </w:rPr>
        <w:t>-</w:t>
      </w:r>
      <w:r w:rsidR="00B969ED" w:rsidRPr="00B969ED">
        <w:rPr>
          <w:rFonts w:cs="Calibri"/>
        </w:rPr>
        <w:t>interaction issues that must be addressed. S</w:t>
      </w:r>
      <w:r w:rsidR="00104755">
        <w:rPr>
          <w:rFonts w:cs="Calibri"/>
        </w:rPr>
        <w:t>ystem assessments should include s</w:t>
      </w:r>
      <w:r w:rsidR="00B969ED" w:rsidRPr="00B969ED">
        <w:rPr>
          <w:rFonts w:cs="Calibri"/>
        </w:rPr>
        <w:t>hort-circuit ratio calculations to identify potential issues.</w:t>
      </w:r>
      <w:r w:rsidR="00CE493C">
        <w:rPr>
          <w:rStyle w:val="FootnoteReference"/>
        </w:rPr>
        <w:footnoteReference w:id="236"/>
      </w:r>
      <w:r w:rsidR="00B969ED" w:rsidRPr="00B969ED">
        <w:rPr>
          <w:rFonts w:cs="Calibri"/>
        </w:rPr>
        <w:t xml:space="preserve"> Solutions include control settings that avoid adverse interactions, improved transmission system strength, and the deployment of synchronous condensers. </w:t>
      </w:r>
      <w:r w:rsidR="00B969ED" w:rsidRPr="00B969ED">
        <w:t xml:space="preserve">In addition, a number of NERC groups have been formed to address several reliability issues: </w:t>
      </w:r>
    </w:p>
    <w:p w14:paraId="1FE0631D" w14:textId="77777777" w:rsidR="00B969ED" w:rsidRPr="00B969ED" w:rsidRDefault="00B969ED" w:rsidP="00955D2D">
      <w:pPr>
        <w:numPr>
          <w:ilvl w:val="0"/>
          <w:numId w:val="58"/>
        </w:numPr>
        <w:spacing w:after="120"/>
        <w:rPr>
          <w:rFonts w:eastAsia="Times New Roman" w:cs="Calibri"/>
          <w:szCs w:val="24"/>
        </w:rPr>
      </w:pPr>
      <w:r w:rsidRPr="00B969ED">
        <w:rPr>
          <w:rFonts w:eastAsia="Times New Roman"/>
          <w:szCs w:val="24"/>
        </w:rPr>
        <w:t>The Inverter-Based Resource Performance Task Force (IR</w:t>
      </w:r>
      <w:r w:rsidR="00F14B22">
        <w:rPr>
          <w:rFonts w:eastAsia="Times New Roman"/>
          <w:szCs w:val="24"/>
        </w:rPr>
        <w:t>P</w:t>
      </w:r>
      <w:r w:rsidRPr="00B969ED">
        <w:rPr>
          <w:rFonts w:eastAsia="Times New Roman"/>
          <w:szCs w:val="24"/>
        </w:rPr>
        <w:t>TF) shares lessons learned through worldwide experience about the growing amount of resources asynchronously connected.</w:t>
      </w:r>
      <w:r w:rsidR="00F14B22">
        <w:rPr>
          <w:rStyle w:val="FootnoteReference"/>
          <w:rFonts w:eastAsia="Times New Roman"/>
          <w:szCs w:val="24"/>
        </w:rPr>
        <w:footnoteReference w:id="237"/>
      </w:r>
      <w:r w:rsidRPr="00B969ED">
        <w:rPr>
          <w:rFonts w:eastAsia="Times New Roman"/>
          <w:szCs w:val="24"/>
        </w:rPr>
        <w:t xml:space="preserve"> The </w:t>
      </w:r>
      <w:r w:rsidR="0095015F">
        <w:rPr>
          <w:rFonts w:eastAsia="Times New Roman"/>
          <w:szCs w:val="24"/>
        </w:rPr>
        <w:t>t</w:t>
      </w:r>
      <w:r w:rsidRPr="00B969ED">
        <w:rPr>
          <w:rFonts w:eastAsia="Times New Roman"/>
          <w:szCs w:val="24"/>
        </w:rPr>
        <w:t xml:space="preserve">ask </w:t>
      </w:r>
      <w:r w:rsidR="0095015F">
        <w:rPr>
          <w:rFonts w:eastAsia="Times New Roman"/>
          <w:szCs w:val="24"/>
        </w:rPr>
        <w:t>f</w:t>
      </w:r>
      <w:r w:rsidRPr="00B969ED">
        <w:rPr>
          <w:rFonts w:eastAsia="Times New Roman"/>
          <w:szCs w:val="24"/>
        </w:rPr>
        <w:t>orce also examines methodologies to determine sufficient levels of ancillary services to address the challenges and potential risks from increasing amounts of DERs.</w:t>
      </w:r>
    </w:p>
    <w:p w14:paraId="7E47016F" w14:textId="77777777" w:rsidR="00B969ED" w:rsidRPr="00F14B22" w:rsidRDefault="00B969ED" w:rsidP="00955D2D">
      <w:pPr>
        <w:numPr>
          <w:ilvl w:val="0"/>
          <w:numId w:val="57"/>
        </w:numPr>
        <w:spacing w:after="120"/>
        <w:rPr>
          <w:rFonts w:eastAsia="Times New Roman" w:cs="Calibri"/>
          <w:szCs w:val="24"/>
        </w:rPr>
      </w:pPr>
      <w:r w:rsidRPr="00B969ED">
        <w:rPr>
          <w:rFonts w:eastAsia="Times New Roman"/>
          <w:szCs w:val="24"/>
        </w:rPr>
        <w:t xml:space="preserve">The System Planning Impacts from Distributed Energy Resources Working Group (SPIDERWG) addresses the effects of the growing penetrations of </w:t>
      </w:r>
      <w:r w:rsidR="00C0448C">
        <w:rPr>
          <w:rFonts w:eastAsia="Times New Roman"/>
          <w:szCs w:val="24"/>
        </w:rPr>
        <w:t>DERs</w:t>
      </w:r>
      <w:r w:rsidRPr="00B969ED">
        <w:rPr>
          <w:rFonts w:eastAsia="Times New Roman"/>
          <w:szCs w:val="24"/>
        </w:rPr>
        <w:t xml:space="preserve"> on bulk power system planning, </w:t>
      </w:r>
      <w:r w:rsidRPr="00B969ED">
        <w:rPr>
          <w:rFonts w:eastAsia="Times New Roman"/>
          <w:szCs w:val="24"/>
        </w:rPr>
        <w:lastRenderedPageBreak/>
        <w:t>modeling, and reliability.</w:t>
      </w:r>
      <w:r w:rsidRPr="00B969ED">
        <w:rPr>
          <w:rFonts w:eastAsia="Times New Roman"/>
          <w:szCs w:val="24"/>
          <w:vertAlign w:val="superscript"/>
        </w:rPr>
        <w:footnoteReference w:id="238"/>
      </w:r>
      <w:r w:rsidRPr="00B969ED">
        <w:rPr>
          <w:rFonts w:eastAsia="Times New Roman"/>
          <w:szCs w:val="24"/>
        </w:rPr>
        <w:t xml:space="preserve"> SPIDER consists of four subgroups focusing on DER: models used in studies, verification of these models, studies of increasing penetration, and </w:t>
      </w:r>
      <w:r w:rsidRPr="00F14B22">
        <w:rPr>
          <w:rFonts w:eastAsia="Times New Roman"/>
          <w:szCs w:val="24"/>
        </w:rPr>
        <w:t>coordination with other industry activities to share information.</w:t>
      </w:r>
    </w:p>
    <w:p w14:paraId="050EFE7B" w14:textId="1C1750E1" w:rsidR="007457D1" w:rsidRPr="00F14B22" w:rsidRDefault="00B969ED" w:rsidP="00C42D12">
      <w:pPr>
        <w:pStyle w:val="ListParagraph"/>
        <w:numPr>
          <w:ilvl w:val="0"/>
          <w:numId w:val="57"/>
        </w:numPr>
        <w:rPr>
          <w:rFonts w:cs="Calibri"/>
        </w:rPr>
      </w:pPr>
      <w:r w:rsidRPr="00FE3A65">
        <w:rPr>
          <w:rFonts w:cs="Calibri"/>
        </w:rPr>
        <w:t>The Electric-Gas Working Group (EGWG) will assess the wide range of B</w:t>
      </w:r>
      <w:r w:rsidR="00FE7AF8" w:rsidRPr="00FE3A65">
        <w:rPr>
          <w:rFonts w:cs="Calibri"/>
        </w:rPr>
        <w:t>ES</w:t>
      </w:r>
      <w:r w:rsidRPr="00FE3A65">
        <w:rPr>
          <w:rFonts w:cs="Calibri"/>
        </w:rPr>
        <w:t xml:space="preserve"> and natural gas </w:t>
      </w:r>
      <w:r w:rsidR="00FE3A65" w:rsidRPr="00FE3A65">
        <w:rPr>
          <w:rFonts w:cs="Calibri"/>
        </w:rPr>
        <w:t>inter</w:t>
      </w:r>
      <w:r w:rsidR="00B15A35" w:rsidRPr="00FE3A65">
        <w:rPr>
          <w:rFonts w:cs="Calibri"/>
        </w:rPr>
        <w:t>dependency</w:t>
      </w:r>
      <w:r w:rsidR="00C51B49" w:rsidRPr="00FE3A65">
        <w:rPr>
          <w:rFonts w:cs="Calibri"/>
        </w:rPr>
        <w:t xml:space="preserve"> </w:t>
      </w:r>
      <w:r w:rsidRPr="00FE3A65">
        <w:rPr>
          <w:rFonts w:cs="Calibri"/>
        </w:rPr>
        <w:t>co</w:t>
      </w:r>
      <w:r w:rsidRPr="00F14B22">
        <w:rPr>
          <w:rFonts w:cs="Calibri"/>
        </w:rPr>
        <w:t xml:space="preserve">ncerns raised in the NERC report, </w:t>
      </w:r>
      <w:r w:rsidR="00C42D12" w:rsidRPr="00F14B22">
        <w:rPr>
          <w:rFonts w:cs="Calibri"/>
          <w:i/>
        </w:rPr>
        <w:t>Special Reliability Assessment: Potential Bulk Power System Impacts Due to Severe Disruptions on the Natural Gas System</w:t>
      </w:r>
      <w:r w:rsidRPr="00F14B22">
        <w:rPr>
          <w:rFonts w:cs="Calibri"/>
        </w:rPr>
        <w:t>.</w:t>
      </w:r>
      <w:r w:rsidRPr="00F14B22">
        <w:rPr>
          <w:vertAlign w:val="superscript"/>
        </w:rPr>
        <w:footnoteReference w:id="239"/>
      </w:r>
      <w:r w:rsidRPr="00F14B22">
        <w:rPr>
          <w:rFonts w:cs="Calibri"/>
        </w:rPr>
        <w:t xml:space="preserve"> The EGWG will also identify the need for new simulation methods and current best practices as a means to better educate and inform the electric power industry. </w:t>
      </w:r>
      <w:r w:rsidR="007457D1" w:rsidRPr="00F14B22">
        <w:rPr>
          <w:rFonts w:cs="Calibri"/>
        </w:rPr>
        <w:t>(</w:t>
      </w:r>
      <w:r w:rsidR="007457D1" w:rsidRPr="00F14B22">
        <w:rPr>
          <w:rFonts w:cs="Calibri"/>
        </w:rPr>
        <w:fldChar w:fldCharType="begin"/>
      </w:r>
      <w:r w:rsidR="007457D1" w:rsidRPr="00F14B22">
        <w:rPr>
          <w:rFonts w:cs="Calibri"/>
        </w:rPr>
        <w:instrText xml:space="preserve"> REF _Ref11937748 \r \h </w:instrText>
      </w:r>
      <w:r w:rsidR="00F14B22">
        <w:rPr>
          <w:rFonts w:cs="Calibri"/>
        </w:rPr>
        <w:instrText xml:space="preserve"> \* MERGEFORMAT </w:instrText>
      </w:r>
      <w:r w:rsidR="007457D1" w:rsidRPr="00F14B22">
        <w:rPr>
          <w:rFonts w:cs="Calibri"/>
        </w:rPr>
      </w:r>
      <w:r w:rsidR="007457D1" w:rsidRPr="00F14B22">
        <w:rPr>
          <w:rFonts w:cs="Calibri"/>
        </w:rPr>
        <w:fldChar w:fldCharType="separate"/>
      </w:r>
      <w:r w:rsidR="005D0B73">
        <w:rPr>
          <w:rFonts w:cs="Calibri"/>
        </w:rPr>
        <w:t>Section 7</w:t>
      </w:r>
      <w:r w:rsidR="007457D1" w:rsidRPr="00F14B22">
        <w:rPr>
          <w:rFonts w:cs="Calibri"/>
        </w:rPr>
        <w:fldChar w:fldCharType="end"/>
      </w:r>
      <w:r w:rsidR="007457D1" w:rsidRPr="00F14B22">
        <w:rPr>
          <w:rFonts w:cs="Calibri"/>
        </w:rPr>
        <w:t xml:space="preserve"> discusses New</w:t>
      </w:r>
      <w:r w:rsidR="00C0448C">
        <w:rPr>
          <w:rFonts w:cs="Calibri"/>
        </w:rPr>
        <w:t xml:space="preserve"> </w:t>
      </w:r>
      <w:r w:rsidR="007457D1" w:rsidRPr="00F14B22">
        <w:rPr>
          <w:rFonts w:cs="Calibri"/>
        </w:rPr>
        <w:t>England’s energy-security risks in more detail.)</w:t>
      </w:r>
    </w:p>
    <w:p w14:paraId="2B45719A" w14:textId="77777777" w:rsidR="00B969ED" w:rsidRPr="00B969ED" w:rsidRDefault="00B969ED" w:rsidP="00955D2D">
      <w:pPr>
        <w:numPr>
          <w:ilvl w:val="0"/>
          <w:numId w:val="57"/>
        </w:numPr>
        <w:spacing w:after="120"/>
        <w:rPr>
          <w:rFonts w:eastAsia="Times New Roman" w:cs="Calibri"/>
          <w:szCs w:val="24"/>
        </w:rPr>
      </w:pPr>
      <w:r w:rsidRPr="00B969ED">
        <w:rPr>
          <w:rFonts w:eastAsia="Times New Roman"/>
          <w:szCs w:val="24"/>
        </w:rPr>
        <w:t>Other groups are addressing a variety of reliability issues</w:t>
      </w:r>
      <w:r w:rsidR="00A8680D">
        <w:rPr>
          <w:rFonts w:eastAsia="Times New Roman"/>
          <w:szCs w:val="24"/>
        </w:rPr>
        <w:t xml:space="preserve"> in a number of ways</w:t>
      </w:r>
      <w:r w:rsidRPr="00B969ED">
        <w:rPr>
          <w:rFonts w:eastAsia="Times New Roman"/>
          <w:szCs w:val="24"/>
        </w:rPr>
        <w:t>:</w:t>
      </w:r>
      <w:r w:rsidRPr="00B969ED">
        <w:rPr>
          <w:rFonts w:eastAsia="Times New Roman"/>
          <w:szCs w:val="24"/>
          <w:vertAlign w:val="superscript"/>
        </w:rPr>
        <w:footnoteReference w:id="240"/>
      </w:r>
      <w:r w:rsidRPr="00B969ED">
        <w:rPr>
          <w:rFonts w:eastAsia="Times New Roman"/>
          <w:szCs w:val="24"/>
        </w:rPr>
        <w:t xml:space="preserve"> </w:t>
      </w:r>
    </w:p>
    <w:p w14:paraId="2223EE46" w14:textId="77777777" w:rsidR="00B969ED" w:rsidRPr="00B969ED" w:rsidRDefault="00B969ED" w:rsidP="00955D2D">
      <w:pPr>
        <w:numPr>
          <w:ilvl w:val="1"/>
          <w:numId w:val="57"/>
        </w:numPr>
        <w:spacing w:after="120"/>
        <w:rPr>
          <w:rFonts w:eastAsia="Times New Roman" w:cs="Calibri"/>
          <w:szCs w:val="24"/>
        </w:rPr>
      </w:pPr>
      <w:r w:rsidRPr="00B969ED">
        <w:rPr>
          <w:rFonts w:eastAsia="Times New Roman" w:cs="Calibri"/>
          <w:szCs w:val="24"/>
        </w:rPr>
        <w:t xml:space="preserve">Assessing resource performance and methods for evaluating resource adequacy to properly account for variable </w:t>
      </w:r>
      <w:r w:rsidR="009E6989">
        <w:rPr>
          <w:rFonts w:eastAsia="Times New Roman" w:cs="Calibri"/>
          <w:szCs w:val="24"/>
        </w:rPr>
        <w:t xml:space="preserve">energy </w:t>
      </w:r>
      <w:r w:rsidRPr="00B969ED">
        <w:rPr>
          <w:rFonts w:eastAsia="Times New Roman" w:cs="Calibri"/>
          <w:szCs w:val="24"/>
        </w:rPr>
        <w:t>resources and DERs</w:t>
      </w:r>
    </w:p>
    <w:p w14:paraId="5778B84A" w14:textId="77777777"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Improving system models and analysis to assess the reliability effects of geomagnetic disturbances</w:t>
      </w:r>
    </w:p>
    <w:p w14:paraId="4D42C5F3" w14:textId="77777777"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Providing guidance on system event analysis and application of phasor measurement units (PMUs)</w:t>
      </w:r>
      <w:r w:rsidRPr="00B969ED">
        <w:rPr>
          <w:rFonts w:eastAsia="Times New Roman"/>
          <w:szCs w:val="24"/>
          <w:vertAlign w:val="superscript"/>
        </w:rPr>
        <w:footnoteReference w:id="241"/>
      </w:r>
    </w:p>
    <w:p w14:paraId="15B0D7AB" w14:textId="77777777" w:rsidR="00B969ED" w:rsidRPr="00B969ED" w:rsidRDefault="00B969ED" w:rsidP="00955D2D">
      <w:pPr>
        <w:numPr>
          <w:ilvl w:val="1"/>
          <w:numId w:val="57"/>
        </w:numPr>
        <w:spacing w:after="120"/>
        <w:rPr>
          <w:rFonts w:eastAsia="Times New Roman" w:cs="Calibri"/>
          <w:szCs w:val="24"/>
        </w:rPr>
      </w:pPr>
      <w:r w:rsidRPr="00B969ED">
        <w:rPr>
          <w:rFonts w:eastAsia="Times New Roman"/>
          <w:szCs w:val="24"/>
        </w:rPr>
        <w:t>Collecting data necessary for modeling and assessing the system</w:t>
      </w:r>
    </w:p>
    <w:p w14:paraId="3C4E6D2C" w14:textId="77777777" w:rsidR="00B969ED" w:rsidRPr="00F14B22" w:rsidRDefault="00B969ED" w:rsidP="00A8680D">
      <w:pPr>
        <w:numPr>
          <w:ilvl w:val="1"/>
          <w:numId w:val="57"/>
        </w:numPr>
        <w:rPr>
          <w:rFonts w:eastAsia="Times New Roman"/>
          <w:szCs w:val="24"/>
        </w:rPr>
      </w:pPr>
      <w:r w:rsidRPr="00B969ED">
        <w:rPr>
          <w:rFonts w:eastAsia="Times New Roman"/>
          <w:szCs w:val="24"/>
        </w:rPr>
        <w:t xml:space="preserve">Addressing system protection and control issues arising from variable short-circuit availability and high penetrations of inverter-based resources </w:t>
      </w:r>
    </w:p>
    <w:p w14:paraId="27BF17B6" w14:textId="77777777" w:rsidR="00B969ED" w:rsidRPr="00B969ED" w:rsidRDefault="00B969ED" w:rsidP="008D5FED">
      <w:pPr>
        <w:pStyle w:val="Heading2"/>
      </w:pPr>
      <w:bookmarkStart w:id="757" w:name="_Toc365441059"/>
      <w:bookmarkStart w:id="758" w:name="_Toc396807686"/>
      <w:bookmarkStart w:id="759" w:name="_Ref419227888"/>
      <w:bookmarkStart w:id="760" w:name="_Toc484947380"/>
      <w:bookmarkStart w:id="761" w:name="_Toc490323065"/>
      <w:bookmarkStart w:id="762" w:name="_Ref491272657"/>
      <w:bookmarkStart w:id="763" w:name="_Ref11654843"/>
      <w:bookmarkStart w:id="764" w:name="_Toc12795208"/>
      <w:r w:rsidRPr="00B969ED">
        <w:t>IRC Activities</w:t>
      </w:r>
      <w:bookmarkEnd w:id="757"/>
      <w:bookmarkEnd w:id="758"/>
      <w:bookmarkEnd w:id="759"/>
      <w:bookmarkEnd w:id="760"/>
      <w:bookmarkEnd w:id="761"/>
      <w:bookmarkEnd w:id="762"/>
      <w:bookmarkEnd w:id="763"/>
      <w:bookmarkEnd w:id="764"/>
      <w:r w:rsidRPr="00B969ED">
        <w:t xml:space="preserve"> </w:t>
      </w:r>
    </w:p>
    <w:p w14:paraId="68FD7C14" w14:textId="77777777" w:rsidR="00B969ED" w:rsidRPr="00B969ED" w:rsidRDefault="00B969ED" w:rsidP="00B969ED">
      <w:r w:rsidRPr="00B969ED">
        <w:t>Created in April 2003, the ISO/RTO Council (IRC) is an industry group consisting of the nine functioning ISOs and RTOs in North America.</w:t>
      </w:r>
      <w:r w:rsidRPr="00B969ED">
        <w:rPr>
          <w:vertAlign w:val="superscript"/>
        </w:rPr>
        <w:footnoteReference w:id="242"/>
      </w:r>
      <w:r w:rsidRPr="00B969ED">
        <w:t xml:space="preserve"> These ISOs and RTOs serve two-thirds of the electricity customers in the United States and more than 50% of Canada‘s population. The IRC works collaboratively to develop effective processes, tools, and standard methods for improving competitive electricity markets across much of North America. Each ISO/RTO manages efficient, robust markets that provide competitive and reliable electricity service, consistent with its individual market and reliability criteria. </w:t>
      </w:r>
    </w:p>
    <w:p w14:paraId="5F8DF8BC" w14:textId="77777777" w:rsidR="00B969ED" w:rsidRPr="00B969ED" w:rsidRDefault="00B969ED" w:rsidP="00B969ED">
      <w:r w:rsidRPr="00B969ED">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These activities include exchanging information, treating participants comparably, resolving disputes, </w:t>
      </w:r>
      <w:r w:rsidRPr="00B969ED">
        <w:lastRenderedPageBreak/>
        <w:t xml:space="preserve">coordinating infrastructure improvements regionally and interregionally, conducting economic planning studies, and allocating costs. This ensures a level playing field for </w:t>
      </w:r>
      <w:r w:rsidR="001850EC">
        <w:t xml:space="preserve">developing </w:t>
      </w:r>
      <w:r w:rsidRPr="00B969ED">
        <w:t>infrastructure driven efficiently by competition and meeting all reliability requirements.</w:t>
      </w:r>
    </w:p>
    <w:p w14:paraId="648C2C98" w14:textId="5F985CBD" w:rsidR="00B969ED" w:rsidRPr="00B969ED" w:rsidRDefault="00B969ED" w:rsidP="00B969ED">
      <w:pPr>
        <w:tabs>
          <w:tab w:val="left" w:pos="3060"/>
        </w:tabs>
      </w:pPr>
      <w:r w:rsidRPr="00B969ED">
        <w:t xml:space="preserve">IRC </w:t>
      </w:r>
      <w:r w:rsidR="00B64969">
        <w:t xml:space="preserve">members </w:t>
      </w:r>
      <w:r w:rsidRPr="00B969ED">
        <w:t>ha</w:t>
      </w:r>
      <w:r w:rsidR="00B64969">
        <w:t>ve</w:t>
      </w:r>
      <w:r w:rsidRPr="00B969ED">
        <w:t xml:space="preserve"> coordinated </w:t>
      </w:r>
      <w:r w:rsidR="00B64969">
        <w:t xml:space="preserve">on </w:t>
      </w:r>
      <w:r w:rsidRPr="00B969ED">
        <w:t>a number of reports, filings, and presentations with national government agencies</w:t>
      </w:r>
      <w:r w:rsidR="006C19DA">
        <w:t>.</w:t>
      </w:r>
      <w:r w:rsidR="006C19DA">
        <w:rPr>
          <w:rStyle w:val="FootnoteReference"/>
        </w:rPr>
        <w:footnoteReference w:id="243"/>
      </w:r>
      <w:r w:rsidR="002B396B">
        <w:t xml:space="preserve"> </w:t>
      </w:r>
      <w:r w:rsidR="00B64969">
        <w:t>The IRC</w:t>
      </w:r>
      <w:r w:rsidRPr="00B969ED">
        <w:t xml:space="preserve"> has </w:t>
      </w:r>
      <w:r w:rsidR="00B64969">
        <w:t xml:space="preserve">issued </w:t>
      </w:r>
      <w:r w:rsidRPr="00B969ED">
        <w:t>coordinated</w:t>
      </w:r>
      <w:r w:rsidR="00B64969">
        <w:t xml:space="preserve"> </w:t>
      </w:r>
      <w:r w:rsidRPr="00B969ED">
        <w:t>positions on NERC reports and proposed standards and has submitted FERC filings on issues of common concern for its members, including the following:</w:t>
      </w:r>
    </w:p>
    <w:p w14:paraId="7097BD6D" w14:textId="504633BF" w:rsidR="00B969ED" w:rsidRPr="00470E4D" w:rsidRDefault="00B969ED" w:rsidP="00955D2D">
      <w:pPr>
        <w:numPr>
          <w:ilvl w:val="0"/>
          <w:numId w:val="56"/>
        </w:numPr>
        <w:tabs>
          <w:tab w:val="left" w:pos="3060"/>
        </w:tabs>
        <w:spacing w:after="120"/>
        <w:rPr>
          <w:rFonts w:eastAsia="Times New Roman"/>
          <w:szCs w:val="24"/>
        </w:rPr>
      </w:pPr>
      <w:r w:rsidRPr="003D5345">
        <w:rPr>
          <w:rFonts w:eastAsia="Times New Roman"/>
          <w:szCs w:val="24"/>
        </w:rPr>
        <w:t>Extension of the time period to comply with FERC Order 845, which reformed the interconnection procedures and agreements for large generators</w:t>
      </w:r>
      <w:r w:rsidR="003D5345" w:rsidRPr="00470E4D">
        <w:rPr>
          <w:rFonts w:eastAsia="Times New Roman"/>
          <w:szCs w:val="24"/>
        </w:rPr>
        <w:t xml:space="preserve"> </w:t>
      </w:r>
      <w:r w:rsidR="00FE7AF8">
        <w:rPr>
          <w:rFonts w:eastAsia="Times New Roman"/>
          <w:szCs w:val="24"/>
        </w:rPr>
        <w:t>(</w:t>
      </w:r>
      <w:r w:rsidRPr="00470E4D">
        <w:rPr>
          <w:rFonts w:eastAsia="Times New Roman"/>
          <w:szCs w:val="24"/>
        </w:rPr>
        <w:t>i.e., those with a generating capacity of more than 20 MW</w:t>
      </w:r>
      <w:r w:rsidR="003D5345" w:rsidRPr="00470E4D">
        <w:rPr>
          <w:rFonts w:eastAsia="Times New Roman"/>
          <w:szCs w:val="24"/>
        </w:rPr>
        <w:t xml:space="preserve">; see Section </w:t>
      </w:r>
      <w:r w:rsidR="003D5345" w:rsidRPr="00470E4D">
        <w:rPr>
          <w:rFonts w:eastAsia="Times New Roman"/>
          <w:szCs w:val="24"/>
        </w:rPr>
        <w:fldChar w:fldCharType="begin"/>
      </w:r>
      <w:r w:rsidR="003D5345" w:rsidRPr="00470E4D">
        <w:rPr>
          <w:rFonts w:eastAsia="Times New Roman"/>
          <w:szCs w:val="24"/>
        </w:rPr>
        <w:instrText xml:space="preserve"> REF _Ref8901715 \r \h </w:instrText>
      </w:r>
      <w:r w:rsidR="003D5345">
        <w:rPr>
          <w:rFonts w:eastAsia="Times New Roman"/>
          <w:szCs w:val="24"/>
        </w:rPr>
        <w:instrText xml:space="preserve"> \* MERGEFORMAT </w:instrText>
      </w:r>
      <w:r w:rsidR="003D5345" w:rsidRPr="00470E4D">
        <w:rPr>
          <w:rFonts w:eastAsia="Times New Roman"/>
          <w:szCs w:val="24"/>
        </w:rPr>
      </w:r>
      <w:r w:rsidR="003D5345" w:rsidRPr="00470E4D">
        <w:rPr>
          <w:rFonts w:eastAsia="Times New Roman"/>
          <w:szCs w:val="24"/>
        </w:rPr>
        <w:fldChar w:fldCharType="separate"/>
      </w:r>
      <w:r w:rsidR="005D0B73">
        <w:rPr>
          <w:rFonts w:eastAsia="Times New Roman"/>
          <w:szCs w:val="24"/>
        </w:rPr>
        <w:t>4.5.3.3</w:t>
      </w:r>
      <w:r w:rsidR="003D5345" w:rsidRPr="00470E4D">
        <w:rPr>
          <w:rFonts w:eastAsia="Times New Roman"/>
          <w:szCs w:val="24"/>
        </w:rPr>
        <w:fldChar w:fldCharType="end"/>
      </w:r>
      <w:r w:rsidRPr="00470E4D">
        <w:rPr>
          <w:rFonts w:eastAsia="Times New Roman"/>
          <w:szCs w:val="24"/>
        </w:rPr>
        <w:t>)</w:t>
      </w:r>
      <w:r w:rsidRPr="00470E4D">
        <w:rPr>
          <w:rFonts w:eastAsia="Times New Roman"/>
          <w:szCs w:val="24"/>
          <w:vertAlign w:val="superscript"/>
        </w:rPr>
        <w:footnoteReference w:id="244"/>
      </w:r>
      <w:r w:rsidRPr="00470E4D">
        <w:rPr>
          <w:rFonts w:eastAsia="Times New Roman"/>
          <w:szCs w:val="24"/>
        </w:rPr>
        <w:t xml:space="preserve"> </w:t>
      </w:r>
    </w:p>
    <w:p w14:paraId="084AE242" w14:textId="77777777" w:rsidR="00B969ED" w:rsidRPr="00B969ED" w:rsidRDefault="00B969ED" w:rsidP="00955D2D">
      <w:pPr>
        <w:numPr>
          <w:ilvl w:val="0"/>
          <w:numId w:val="56"/>
        </w:numPr>
        <w:tabs>
          <w:tab w:val="left" w:pos="3060"/>
        </w:tabs>
        <w:spacing w:after="120"/>
        <w:rPr>
          <w:rFonts w:eastAsia="Times New Roman"/>
          <w:szCs w:val="24"/>
        </w:rPr>
      </w:pPr>
      <w:r w:rsidRPr="00B969ED">
        <w:rPr>
          <w:rFonts w:eastAsia="Times New Roman"/>
          <w:szCs w:val="24"/>
        </w:rPr>
        <w:t>Comments on the notice of proposed rulemaking (NOPR) to approve supply-chain risk-management reliability standards, which requested FERC to (1) reconsider the requirement for NERC to include in the proposed standards Electronic Access Control or Monitoring Systems (EACMS) associated with medium and high impacts to BES cybersystems and (2) approve the 18-month implementation plan proposed by NERC</w:t>
      </w:r>
      <w:r w:rsidRPr="00B969ED">
        <w:rPr>
          <w:rFonts w:eastAsia="Times New Roman"/>
          <w:szCs w:val="24"/>
          <w:vertAlign w:val="superscript"/>
        </w:rPr>
        <w:footnoteReference w:id="245"/>
      </w:r>
    </w:p>
    <w:p w14:paraId="3BD6A191" w14:textId="77777777" w:rsidR="00B969ED" w:rsidRPr="00B969ED" w:rsidRDefault="00B969ED" w:rsidP="00955D2D">
      <w:pPr>
        <w:numPr>
          <w:ilvl w:val="0"/>
          <w:numId w:val="56"/>
        </w:numPr>
        <w:tabs>
          <w:tab w:val="left" w:pos="3060"/>
        </w:tabs>
        <w:rPr>
          <w:rFonts w:eastAsia="Times New Roman"/>
          <w:szCs w:val="24"/>
        </w:rPr>
      </w:pPr>
      <w:r w:rsidRPr="00B969ED">
        <w:rPr>
          <w:rFonts w:eastAsia="Times New Roman"/>
          <w:szCs w:val="24"/>
        </w:rPr>
        <w:t>Comments on the NOPR concerning reporting of cybersecurity incidents, which requested greater clarity in the reporting obligation so that only more meaningful information must be reported, which would reduce unnecessary burden to the ISO/RTOs</w:t>
      </w:r>
      <w:r w:rsidRPr="00B969ED">
        <w:rPr>
          <w:rFonts w:eastAsia="Times New Roman"/>
          <w:szCs w:val="24"/>
          <w:vertAlign w:val="superscript"/>
        </w:rPr>
        <w:footnoteReference w:id="246"/>
      </w:r>
      <w:r w:rsidRPr="00B969ED">
        <w:rPr>
          <w:rFonts w:eastAsia="Times New Roman"/>
          <w:szCs w:val="24"/>
        </w:rPr>
        <w:t xml:space="preserve"> </w:t>
      </w:r>
    </w:p>
    <w:p w14:paraId="34011C3B" w14:textId="0E073752" w:rsidR="00B969ED" w:rsidRPr="00B969ED" w:rsidRDefault="00B969ED" w:rsidP="00B969ED">
      <w:r w:rsidRPr="00B969ED">
        <w:t>The ISO/RTOs also are coordinating discussions with FERC on the commission’s staff efforts to revise the metrics that measure ISO/RTO operations, markets, and administration.</w:t>
      </w:r>
      <w:r w:rsidR="00336AE5">
        <w:rPr>
          <w:rStyle w:val="FootnoteReference"/>
        </w:rPr>
        <w:footnoteReference w:id="247"/>
      </w:r>
      <w:r w:rsidRPr="00B969ED">
        <w:t xml:space="preserve"> IRC members also have coordinated on a number of technical issues, including the use of software and the sharing of planning techniques, such as the modeling of distributed energy resources.</w:t>
      </w:r>
    </w:p>
    <w:p w14:paraId="29A4D422" w14:textId="77777777" w:rsidR="00B969ED" w:rsidRPr="00B969ED" w:rsidRDefault="00B969ED" w:rsidP="009916F9">
      <w:pPr>
        <w:pStyle w:val="Heading2"/>
      </w:pPr>
      <w:bookmarkStart w:id="765" w:name="_Ref360798958"/>
      <w:bookmarkStart w:id="766" w:name="_Toc365441060"/>
      <w:bookmarkStart w:id="767" w:name="_Toc396807687"/>
      <w:bookmarkStart w:id="768" w:name="_Toc484947381"/>
      <w:bookmarkStart w:id="769" w:name="_Toc490323066"/>
      <w:bookmarkStart w:id="770" w:name="_Toc12795209"/>
      <w:r w:rsidRPr="00B969ED">
        <w:t>Northeast Power Coordinating Council Studies and Activities</w:t>
      </w:r>
      <w:bookmarkEnd w:id="765"/>
      <w:bookmarkEnd w:id="766"/>
      <w:bookmarkEnd w:id="767"/>
      <w:bookmarkEnd w:id="768"/>
      <w:bookmarkEnd w:id="769"/>
      <w:bookmarkEnd w:id="770"/>
    </w:p>
    <w:p w14:paraId="336AE7E1" w14:textId="4C2EE674" w:rsidR="00B969ED" w:rsidRPr="00B969ED" w:rsidRDefault="00B969ED" w:rsidP="00B969ED">
      <w:r w:rsidRPr="00B969ED">
        <w:t>The Northeast Power Coordinating Co</w:t>
      </w:r>
      <w:r w:rsidRPr="00FE7AF8">
        <w:t xml:space="preserve">uncil is one of </w:t>
      </w:r>
      <w:r w:rsidR="00FE7AF8" w:rsidRPr="00FE7AF8">
        <w:t xml:space="preserve">six </w:t>
      </w:r>
      <w:r w:rsidRPr="00B969ED">
        <w:t>regional entities located throughout the United States, Canada, and portions of Mexico responsible for enhancing and promoting the reliable and efficient operation of the interconnected bulk power system.</w:t>
      </w:r>
      <w:r w:rsidRPr="00B969ED">
        <w:rPr>
          <w:vertAlign w:val="superscript"/>
        </w:rPr>
        <w:footnoteReference w:id="248"/>
      </w:r>
      <w:r w:rsidRPr="00B969ED">
        <w:t xml:space="preserve"> NERC has authorized NPCC to create regional standards to </w:t>
      </w:r>
      <w:r w:rsidR="0060316B">
        <w:t xml:space="preserve">maintain and </w:t>
      </w:r>
      <w:r w:rsidRPr="00B969ED">
        <w:t xml:space="preserve">enhance the reliability of the international, interconnected BES in </w:t>
      </w:r>
      <w:r w:rsidRPr="00B969ED">
        <w:lastRenderedPageBreak/>
        <w:t>northeastern North America. As a member of NPCC, the ISO fully participates in NPCC-coordinated interregional studies with its neighboring areas.</w:t>
      </w:r>
    </w:p>
    <w:p w14:paraId="274E802D" w14:textId="77777777" w:rsidR="00B969ED" w:rsidRPr="00B969ED" w:rsidRDefault="00B969ED" w:rsidP="00B969ED">
      <w:r w:rsidRPr="00B969ED">
        <w:t>NPCC assesses seasonal reliability and, periodically, the reliability of the planned BPS.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w:t>
      </w:r>
      <w:r w:rsidRPr="00B969ED">
        <w:rPr>
          <w:vertAlign w:val="superscript"/>
        </w:rPr>
        <w:footnoteReference w:id="249"/>
      </w:r>
      <w:r w:rsidRPr="00B969ED">
        <w:t xml:space="preserve"> </w:t>
      </w:r>
    </w:p>
    <w:p w14:paraId="0998053C" w14:textId="3956EA37" w:rsidR="00B969ED" w:rsidRPr="00B969ED" w:rsidRDefault="00B969ED" w:rsidP="00B969ED">
      <w:r w:rsidRPr="00C51B49">
        <w:t xml:space="preserve">NPCC activities also include </w:t>
      </w:r>
      <w:r w:rsidR="00C51B49">
        <w:t xml:space="preserve">issuing </w:t>
      </w:r>
      <w:r w:rsidRPr="00C51B49">
        <w:t>several special reports</w:t>
      </w:r>
      <w:r w:rsidR="00055306" w:rsidRPr="00C51B49">
        <w:t xml:space="preserve"> and updat</w:t>
      </w:r>
      <w:r w:rsidR="00C51B49">
        <w:t>ing</w:t>
      </w:r>
      <w:r w:rsidR="00055306" w:rsidRPr="00C51B49">
        <w:t xml:space="preserve"> </w:t>
      </w:r>
      <w:r w:rsidR="00F40322" w:rsidRPr="00C51B49">
        <w:t>guidelines and criteria</w:t>
      </w:r>
      <w:r w:rsidRPr="00C51B49">
        <w:t xml:space="preserve">. One </w:t>
      </w:r>
      <w:r w:rsidR="00EB78A1" w:rsidRPr="00C51B49">
        <w:t>ongoing</w:t>
      </w:r>
      <w:r w:rsidR="00EB78A1" w:rsidRPr="000B1BCB">
        <w:t xml:space="preserve"> project </w:t>
      </w:r>
      <w:r w:rsidRPr="000B1BCB">
        <w:t>will provide guidelines for analyzing DERs in planning studies to capture interactions</w:t>
      </w:r>
      <w:r w:rsidRPr="00B969ED">
        <w:t xml:space="preserve"> with the bulk power system. Another establishes methods for identifying busses that must be considered in planning assessments and requiring redundant protection schemes</w:t>
      </w:r>
      <w:r w:rsidR="002B396B">
        <w:t xml:space="preserve">. </w:t>
      </w:r>
    </w:p>
    <w:p w14:paraId="280D7BD5" w14:textId="77777777" w:rsidR="00B969ED" w:rsidRPr="00B969ED" w:rsidRDefault="00B969ED" w:rsidP="009916F9">
      <w:pPr>
        <w:pStyle w:val="Heading2"/>
      </w:pPr>
      <w:bookmarkStart w:id="771" w:name="_Ref360798959"/>
      <w:bookmarkStart w:id="772" w:name="_Toc365441061"/>
      <w:bookmarkStart w:id="773" w:name="_Toc396807688"/>
      <w:bookmarkStart w:id="774" w:name="_Toc484947382"/>
      <w:bookmarkStart w:id="775" w:name="_Toc490323067"/>
      <w:bookmarkStart w:id="776" w:name="_Toc12795210"/>
      <w:r w:rsidRPr="00B969ED">
        <w:t>Northeastern ISO/RTO Planning Coordination Protocol</w:t>
      </w:r>
      <w:bookmarkEnd w:id="771"/>
      <w:bookmarkEnd w:id="772"/>
      <w:bookmarkEnd w:id="773"/>
      <w:bookmarkEnd w:id="774"/>
      <w:bookmarkEnd w:id="775"/>
      <w:bookmarkEnd w:id="776"/>
    </w:p>
    <w:p w14:paraId="2854543A" w14:textId="77777777" w:rsidR="00B969ED" w:rsidRPr="00B969ED" w:rsidRDefault="00B969ED" w:rsidP="00B969ED">
      <w:bookmarkStart w:id="777" w:name="_Ref388717286"/>
      <w:bookmarkStart w:id="778" w:name="_Ref388861471"/>
      <w:bookmarkStart w:id="779" w:name="_Toc396807689"/>
      <w:r w:rsidRPr="00B969ED">
        <w:t xml:space="preserve">Each ISO/RTO develops individual system reliability plans, production cost studies, and interconnection studies, mindful of </w:t>
      </w:r>
      <w:r w:rsidR="00654D6A">
        <w:t xml:space="preserve">potential </w:t>
      </w:r>
      <w:r w:rsidRPr="00B969ED">
        <w:t>significant interregional impacts. To facilitate interregional coordination and communication among all interested parties, the Joint ISO/RTO Planning Committee (JIPC) and the Interregional Planning Stakeholder Advisory Committee (IPSAC) were established.</w:t>
      </w:r>
      <w:r w:rsidRPr="00B969ED">
        <w:rPr>
          <w:vertAlign w:val="superscript"/>
        </w:rPr>
        <w:footnoteReference w:id="250"/>
      </w:r>
      <w:r w:rsidRPr="00B969ED">
        <w:t xml:space="preserve"> The JIPC has successfully implemented the Northeastern ISO/RTO Planning Coordination Protocol and the subsequent Amended and Restated Northeastern ISO/RTO Planning Protocol, which has further improved interregional planning among neighboring areas as part of regional compliance with FERC Order 1000. The IPSAC provided stakeholder input to the JIPC.</w:t>
      </w:r>
    </w:p>
    <w:p w14:paraId="462FF13D" w14:textId="2FB2ED15" w:rsidR="00B969ED" w:rsidRPr="00B969ED" w:rsidRDefault="00B969ED" w:rsidP="00B969ED">
      <w:r w:rsidRPr="00B969ED">
        <w:t>Regarding interregional planning, Order 1000 require</w:t>
      </w:r>
      <w:r w:rsidR="00F20210">
        <w:t>d</w:t>
      </w:r>
      <w:r w:rsidRPr="00B969ED">
        <w:t xml:space="preserve"> all transmission providers to develop further procedures with neighboring regions to provide for the following:</w:t>
      </w:r>
    </w:p>
    <w:p w14:paraId="38468588" w14:textId="77777777" w:rsidR="00B969ED" w:rsidRPr="00B969ED" w:rsidRDefault="00B969ED" w:rsidP="00955D2D">
      <w:pPr>
        <w:numPr>
          <w:ilvl w:val="0"/>
          <w:numId w:val="45"/>
        </w:numPr>
        <w:spacing w:after="120"/>
        <w:rPr>
          <w:rFonts w:eastAsia="Times New Roman"/>
          <w:szCs w:val="24"/>
        </w:rPr>
      </w:pPr>
      <w:r w:rsidRPr="00B969ED">
        <w:rPr>
          <w:rFonts w:eastAsia="Times New Roman"/>
          <w:szCs w:val="24"/>
        </w:rPr>
        <w:t>Sharing information regarding the respective needs of each region and potential solutions to these needs</w:t>
      </w:r>
    </w:p>
    <w:p w14:paraId="047D7A1E" w14:textId="77777777" w:rsidR="00B969ED" w:rsidRPr="00B969ED" w:rsidRDefault="00B969ED" w:rsidP="00955D2D">
      <w:pPr>
        <w:numPr>
          <w:ilvl w:val="0"/>
          <w:numId w:val="45"/>
        </w:numPr>
        <w:rPr>
          <w:rFonts w:eastAsia="Times New Roman"/>
          <w:szCs w:val="24"/>
        </w:rPr>
      </w:pPr>
      <w:r w:rsidRPr="00B969ED">
        <w:rPr>
          <w:rFonts w:eastAsia="Times New Roman"/>
          <w:szCs w:val="24"/>
        </w:rPr>
        <w:t>Identifying and jointly evaluating interregional transmission facilities that may be more efficient or cost-effective solutions to these regional needs</w:t>
      </w:r>
    </w:p>
    <w:p w14:paraId="5CC27DDB" w14:textId="77777777" w:rsidR="00B969ED" w:rsidRPr="00B969ED" w:rsidRDefault="00B969ED" w:rsidP="00B969ED">
      <w:r w:rsidRPr="00B969ED">
        <w:t xml:space="preserve">In addition to the Amended Planning Protocol, ISO New England, NYISO, and PJM, with input from their regional stakeholders and IPSAC, jointly developed other documents that FERC has determined comply with the interregional planning principles required by Order 1000. The three regions developed the </w:t>
      </w:r>
      <w:r w:rsidRPr="00B969ED">
        <w:rPr>
          <w:i/>
        </w:rPr>
        <w:t>Northeast Coordinated System Plan 2017</w:t>
      </w:r>
      <w:r w:rsidRPr="00B969ED">
        <w:t xml:space="preserve"> (NCSP17) and other IPSAC meeting materials, and they participate in a number of activities in accordance with these requirements, which demonstrate continued, collaborative interregional planning.</w:t>
      </w:r>
      <w:r w:rsidRPr="00B969ED">
        <w:rPr>
          <w:vertAlign w:val="superscript"/>
        </w:rPr>
        <w:footnoteReference w:id="251"/>
      </w:r>
    </w:p>
    <w:p w14:paraId="2C6313CD" w14:textId="77777777" w:rsidR="00B969ED" w:rsidRPr="00B969ED" w:rsidRDefault="00B969ED" w:rsidP="00B969ED">
      <w:r w:rsidRPr="00B969ED">
        <w:lastRenderedPageBreak/>
        <w:t>NCSP17 summarizes the 2016 and 2017 interregional planning activities under the responsibilities of the JIPC and references other interregional activities, such as work associated with the NERC, Reliability</w:t>
      </w:r>
      <w:r w:rsidRPr="005658C2">
        <w:t>First</w:t>
      </w:r>
      <w:r w:rsidRPr="00B969ED">
        <w:rPr>
          <w:i/>
        </w:rPr>
        <w:t>,</w:t>
      </w:r>
      <w:r w:rsidRPr="00B969ED">
        <w:t xml:space="preserve"> and NPCC. NCSP17 and IPSAC materials show that the regions have enhanced the timely exchange of needed databases and models required to perform planning studies and have coordinated interregional studies for resource adequacy, transmission planning, economic performance, and other issues. </w:t>
      </w:r>
    </w:p>
    <w:p w14:paraId="6FFB5FC2" w14:textId="0AE40B99" w:rsidR="00B969ED" w:rsidRPr="00B969ED" w:rsidRDefault="00B969ED" w:rsidP="00C1505C">
      <w:r w:rsidRPr="00B969ED">
        <w:t xml:space="preserve">Recent planning activities among ISO New England, NYISO, and PJM, discussed with </w:t>
      </w:r>
      <w:r w:rsidRPr="00195BAD">
        <w:t xml:space="preserve">IPSAC, include the interregional planning process, regional needs, and projects meeting </w:t>
      </w:r>
      <w:r w:rsidR="00BD47F6">
        <w:t xml:space="preserve">the </w:t>
      </w:r>
      <w:r w:rsidRPr="00195BAD">
        <w:t>regional needs. The information helps stakeholders identify potential interregional solutions that may be more efficient or cost effective</w:t>
      </w:r>
      <w:r w:rsidR="0001662D" w:rsidRPr="00195BAD">
        <w:t xml:space="preserve"> </w:t>
      </w:r>
      <w:r w:rsidR="00C1505C" w:rsidRPr="005658C2">
        <w:t xml:space="preserve">than </w:t>
      </w:r>
      <w:r w:rsidR="00195BAD" w:rsidRPr="005658C2">
        <w:t>i</w:t>
      </w:r>
      <w:r w:rsidR="00C1505C" w:rsidRPr="005658C2">
        <w:t xml:space="preserve">mprovements </w:t>
      </w:r>
      <w:r w:rsidR="00195BAD" w:rsidRPr="005658C2">
        <w:t xml:space="preserve">discussed </w:t>
      </w:r>
      <w:r w:rsidR="00C1505C" w:rsidRPr="005658C2">
        <w:t>in the ISO/RTOs’ respective regional plans</w:t>
      </w:r>
      <w:r w:rsidRPr="00195BAD">
        <w:t>.</w:t>
      </w:r>
      <w:r w:rsidRPr="00C1505C">
        <w:t xml:space="preserve"> Ad</w:t>
      </w:r>
      <w:r w:rsidRPr="00B969ED">
        <w:t xml:space="preserve">ditional IPSAC discussions </w:t>
      </w:r>
      <w:r w:rsidR="0001662D">
        <w:t>addressed</w:t>
      </w:r>
      <w:r w:rsidRPr="00B969ED">
        <w:t xml:space="preserve"> interconnection queue studies with potential interregional impacts and how the JIPC has coordinated these studies. Thes</w:t>
      </w:r>
      <w:r w:rsidRPr="001446CF">
        <w:t xml:space="preserve">e include </w:t>
      </w:r>
      <w:r w:rsidR="00C1505C" w:rsidRPr="001446CF">
        <w:t xml:space="preserve">the </w:t>
      </w:r>
      <w:r w:rsidRPr="001446CF">
        <w:t>coordination of elective transmission upgrades, which in</w:t>
      </w:r>
      <w:r w:rsidR="00C1505C" w:rsidRPr="005658C2">
        <w:t>volve</w:t>
      </w:r>
      <w:r w:rsidRPr="001446CF">
        <w:t xml:space="preserve"> ties with neighboring syst</w:t>
      </w:r>
      <w:r w:rsidRPr="00B969ED">
        <w:t>ems (see Secti</w:t>
      </w:r>
      <w:r w:rsidRPr="00C1505C">
        <w:t xml:space="preserve">on </w:t>
      </w:r>
      <w:r w:rsidR="0001662D" w:rsidRPr="00C1505C">
        <w:fldChar w:fldCharType="begin"/>
      </w:r>
      <w:r w:rsidR="0001662D" w:rsidRPr="00C1505C">
        <w:instrText xml:space="preserve"> REF _Ref10718898 \r \h  \* MERGEFORMAT </w:instrText>
      </w:r>
      <w:r w:rsidR="0001662D" w:rsidRPr="00C1505C">
        <w:fldChar w:fldCharType="separate"/>
      </w:r>
      <w:r w:rsidR="005D0B73">
        <w:t>5.9.4</w:t>
      </w:r>
      <w:r w:rsidR="0001662D" w:rsidRPr="00C1505C">
        <w:fldChar w:fldCharType="end"/>
      </w:r>
      <w:r w:rsidRPr="00C1505C">
        <w:t>)</w:t>
      </w:r>
      <w:r w:rsidRPr="00195BAD">
        <w:t>. To date, the ISO/RTOs have not identified new interregional transmission projects that would be more efficient or cost effective in meeting the needs of multiple regions than proposed regional system improvements.</w:t>
      </w:r>
    </w:p>
    <w:p w14:paraId="19958FD6" w14:textId="77777777" w:rsidR="00B969ED" w:rsidRPr="00B969ED" w:rsidRDefault="00B969ED" w:rsidP="00B969ED">
      <w:r w:rsidRPr="00B969ED">
        <w:t>The ISO/RTOs have also enhanced the timelines and procedures for interregional planning. These entities will continue to share system information for conducting joint and individual planning studies. Input from the IPSAC and JIPC will provide additional perspectives in addressing current and future challenges, and stakeholder input will continue to provide valuable contributions in future planning cycles.</w:t>
      </w:r>
    </w:p>
    <w:p w14:paraId="19BBD00C" w14:textId="77777777" w:rsidR="00B969ED" w:rsidRPr="00B969ED" w:rsidRDefault="00B969ED" w:rsidP="00646F7C">
      <w:pPr>
        <w:pStyle w:val="Heading2"/>
      </w:pPr>
      <w:bookmarkStart w:id="780" w:name="_Toc484947383"/>
      <w:bookmarkStart w:id="781" w:name="_Ref485735585"/>
      <w:bookmarkStart w:id="782" w:name="_Ref485736868"/>
      <w:bookmarkStart w:id="783" w:name="_Toc490323068"/>
      <w:bookmarkStart w:id="784" w:name="_Toc12795211"/>
      <w:bookmarkStart w:id="785" w:name="_Ref17710961"/>
      <w:bookmarkStart w:id="786" w:name="_Ref17710971"/>
      <w:bookmarkStart w:id="787" w:name="_Ref418955391"/>
      <w:r w:rsidRPr="00B969ED">
        <w:t>Interregional Transfers</w:t>
      </w:r>
      <w:bookmarkEnd w:id="777"/>
      <w:bookmarkEnd w:id="778"/>
      <w:bookmarkEnd w:id="779"/>
      <w:bookmarkEnd w:id="780"/>
      <w:bookmarkEnd w:id="781"/>
      <w:bookmarkEnd w:id="782"/>
      <w:bookmarkEnd w:id="783"/>
      <w:bookmarkEnd w:id="784"/>
      <w:bookmarkEnd w:id="785"/>
      <w:bookmarkEnd w:id="786"/>
      <w:r w:rsidRPr="00B969ED">
        <w:t xml:space="preserve"> </w:t>
      </w:r>
      <w:bookmarkEnd w:id="787"/>
    </w:p>
    <w:p w14:paraId="552924E4" w14:textId="77777777" w:rsidR="00B969ED" w:rsidRDefault="00B969ED" w:rsidP="00B969ED">
      <w:r w:rsidRPr="00B969ED">
        <w:t>Interconnections with neighboring regions provide opportunities for exchanging capacity, energy, reserves, and mutual assistance during capacity-shortage conditions. Capacity imports help New England meet its Installed Capacity Requirements and promote competition in the FCM. The tie-reliability benefits from the interconnections also can lower the ICR. Additionally, imports provide resource diversity and can lower regional generation emissions, especially imports of hydro.</w:t>
      </w:r>
    </w:p>
    <w:p w14:paraId="26791213" w14:textId="77777777" w:rsidR="00EA5CA9" w:rsidRPr="00B969ED" w:rsidRDefault="00EA5CA9" w:rsidP="00F14B22">
      <w:pPr>
        <w:pStyle w:val="Heading3"/>
      </w:pPr>
      <w:bookmarkStart w:id="788" w:name="_Toc12795212"/>
      <w:r>
        <w:t>Import Capabilities</w:t>
      </w:r>
      <w:bookmarkEnd w:id="788"/>
    </w:p>
    <w:p w14:paraId="0DB7352D" w14:textId="2C74D87C" w:rsidR="00B969ED" w:rsidRPr="00B969ED" w:rsidRDefault="00B969ED" w:rsidP="00B969ED">
      <w:r w:rsidRPr="00B969ED">
        <w:t xml:space="preserve">The ISO’s planning studies use the energy and capacity import capabilities </w:t>
      </w:r>
      <w:r w:rsidRPr="005273A2">
        <w:t xml:space="preserve">shown </w:t>
      </w:r>
      <w:r w:rsidRPr="00E52775">
        <w:t xml:space="preserve">in </w:t>
      </w:r>
      <w:r w:rsidRPr="00E52775">
        <w:fldChar w:fldCharType="begin"/>
      </w:r>
      <w:r w:rsidRPr="00E52775">
        <w:instrText xml:space="preserve"> REF _Ref418951058 \h  \* MERGEFORMAT </w:instrText>
      </w:r>
      <w:r w:rsidRPr="00E52775">
        <w:fldChar w:fldCharType="separate"/>
      </w:r>
      <w:r w:rsidR="005D0B73" w:rsidRPr="005D0B73">
        <w:rPr>
          <w:bCs/>
          <w:szCs w:val="18"/>
        </w:rPr>
        <w:t xml:space="preserve">Table </w:t>
      </w:r>
      <w:r w:rsidR="005D0B73" w:rsidRPr="005D0B73">
        <w:rPr>
          <w:bCs/>
          <w:noProof/>
          <w:szCs w:val="18"/>
        </w:rPr>
        <w:t>6</w:t>
      </w:r>
      <w:r w:rsidR="005D0B73" w:rsidRPr="005D0B73">
        <w:rPr>
          <w:bCs/>
          <w:noProof/>
          <w:szCs w:val="18"/>
        </w:rPr>
        <w:noBreakHyphen/>
        <w:t>1</w:t>
      </w:r>
      <w:r w:rsidRPr="00E52775">
        <w:fldChar w:fldCharType="end"/>
      </w:r>
      <w:r w:rsidRPr="00E52775">
        <w:t xml:space="preserve"> of the 13 interconnections New England has with neighboring power systems in the United States and Eastern Canada.</w:t>
      </w:r>
    </w:p>
    <w:p w14:paraId="487FC3C2" w14:textId="7DC7B744" w:rsidR="00B969ED" w:rsidRPr="00B969ED" w:rsidRDefault="00B969ED" w:rsidP="00B969ED">
      <w:pPr>
        <w:keepNext/>
        <w:keepLines/>
        <w:spacing w:after="80" w:line="240" w:lineRule="auto"/>
        <w:jc w:val="center"/>
        <w:rPr>
          <w:rFonts w:asciiTheme="minorHAnsi" w:hAnsiTheme="minorHAnsi"/>
          <w:bCs/>
          <w:sz w:val="18"/>
          <w:szCs w:val="18"/>
        </w:rPr>
      </w:pPr>
      <w:bookmarkStart w:id="789" w:name="_Ref418951058"/>
      <w:bookmarkStart w:id="790" w:name="_Toc429063573"/>
      <w:bookmarkStart w:id="791" w:name="_Toc5276474"/>
      <w:bookmarkStart w:id="792" w:name="_Toc12795346"/>
      <w:r w:rsidRPr="00B969E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789"/>
      <w:r w:rsidRPr="00B969ED">
        <w:rPr>
          <w:rFonts w:ascii="Calibri" w:hAnsi="Calibri"/>
          <w:b/>
          <w:bCs/>
          <w:szCs w:val="18"/>
        </w:rPr>
        <w:br/>
      </w:r>
      <w:r w:rsidRPr="00B969ED">
        <w:rPr>
          <w:rFonts w:asciiTheme="minorHAnsi" w:hAnsiTheme="minorHAnsi"/>
          <w:b/>
          <w:bCs/>
          <w:sz w:val="18"/>
          <w:szCs w:val="18"/>
        </w:rPr>
        <w:t>Assumed External Interface Import Capability, Summer 2019 to Summer 2028 (MW)</w:t>
      </w:r>
      <w:r w:rsidRPr="00B969ED">
        <w:rPr>
          <w:rFonts w:asciiTheme="minorHAnsi" w:hAnsiTheme="minorHAnsi"/>
          <w:b/>
          <w:bCs/>
          <w:sz w:val="18"/>
          <w:szCs w:val="18"/>
          <w:vertAlign w:val="superscript"/>
        </w:rPr>
        <w:t>(a)</w:t>
      </w:r>
      <w:bookmarkEnd w:id="790"/>
      <w:bookmarkEnd w:id="791"/>
      <w:bookmarkEnd w:id="792"/>
      <w:r w:rsidR="005273A2">
        <w:rPr>
          <w:rFonts w:asciiTheme="minorHAnsi" w:hAnsiTheme="minorHAnsi"/>
          <w:b/>
          <w:bCs/>
          <w:sz w:val="18"/>
          <w:szCs w:val="18"/>
          <w:vertAlign w:val="superscript"/>
        </w:rPr>
        <w:t xml:space="preserve"> </w:t>
      </w:r>
    </w:p>
    <w:tbl>
      <w:tblPr>
        <w:tblStyle w:val="TableGrid"/>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B969ED" w:rsidRPr="00B969ED" w14:paraId="17665381" w14:textId="77777777" w:rsidTr="004C7089">
        <w:trPr>
          <w:jc w:val="center"/>
        </w:trPr>
        <w:tc>
          <w:tcPr>
            <w:tcW w:w="3020" w:type="dxa"/>
            <w:shd w:val="clear" w:color="auto" w:fill="1795D2" w:themeFill="accent1"/>
            <w:vAlign w:val="center"/>
          </w:tcPr>
          <w:p w14:paraId="6885BD18" w14:textId="77777777"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Interconnection</w:t>
            </w:r>
          </w:p>
        </w:tc>
        <w:tc>
          <w:tcPr>
            <w:tcW w:w="1712" w:type="dxa"/>
            <w:shd w:val="clear" w:color="auto" w:fill="1795D2" w:themeFill="accent1"/>
            <w:tcMar>
              <w:top w:w="43" w:type="dxa"/>
              <w:left w:w="115" w:type="dxa"/>
              <w:bottom w:w="43" w:type="dxa"/>
              <w:right w:w="115" w:type="dxa"/>
            </w:tcMar>
            <w:vAlign w:val="center"/>
          </w:tcPr>
          <w:p w14:paraId="6DB436D4" w14:textId="77777777"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Import Type</w:t>
            </w:r>
          </w:p>
        </w:tc>
        <w:tc>
          <w:tcPr>
            <w:tcW w:w="1870" w:type="dxa"/>
            <w:shd w:val="clear" w:color="auto" w:fill="1795D2" w:themeFill="accent1"/>
            <w:tcMar>
              <w:top w:w="43" w:type="dxa"/>
              <w:left w:w="115" w:type="dxa"/>
              <w:bottom w:w="43" w:type="dxa"/>
              <w:right w:w="115" w:type="dxa"/>
            </w:tcMar>
            <w:vAlign w:val="center"/>
          </w:tcPr>
          <w:p w14:paraId="35A85F8C" w14:textId="77777777" w:rsidR="00B969ED" w:rsidRPr="00B969ED" w:rsidRDefault="00B969ED" w:rsidP="00B969ED">
            <w:pPr>
              <w:keepNext/>
              <w:keepLines/>
              <w:spacing w:after="0" w:line="240" w:lineRule="auto"/>
              <w:jc w:val="center"/>
              <w:rPr>
                <w:rFonts w:asciiTheme="minorHAnsi" w:hAnsiTheme="minorHAnsi"/>
                <w:b/>
                <w:color w:val="FFFFFF" w:themeColor="background1"/>
                <w:sz w:val="18"/>
                <w:szCs w:val="18"/>
              </w:rPr>
            </w:pPr>
            <w:r w:rsidRPr="00B969ED">
              <w:rPr>
                <w:rFonts w:asciiTheme="minorHAnsi" w:hAnsiTheme="minorHAnsi"/>
                <w:b/>
                <w:color w:val="FFFFFF" w:themeColor="background1"/>
                <w:sz w:val="18"/>
                <w:szCs w:val="18"/>
              </w:rPr>
              <w:t>Assumed Import Capability</w:t>
            </w:r>
          </w:p>
        </w:tc>
      </w:tr>
      <w:tr w:rsidR="00B969ED" w:rsidRPr="00B969ED" w14:paraId="0CDBD02D" w14:textId="77777777" w:rsidTr="004C7089">
        <w:trPr>
          <w:jc w:val="center"/>
        </w:trPr>
        <w:tc>
          <w:tcPr>
            <w:tcW w:w="3020" w:type="dxa"/>
            <w:vMerge w:val="restart"/>
            <w:shd w:val="clear" w:color="auto" w:fill="auto"/>
            <w:vAlign w:val="center"/>
          </w:tcPr>
          <w:p w14:paraId="4B9E46F1" w14:textId="77777777"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New York–New England AC</w:t>
            </w:r>
          </w:p>
        </w:tc>
        <w:tc>
          <w:tcPr>
            <w:tcW w:w="1712" w:type="dxa"/>
            <w:shd w:val="clear" w:color="auto" w:fill="auto"/>
            <w:tcMar>
              <w:top w:w="43" w:type="dxa"/>
              <w:left w:w="115" w:type="dxa"/>
              <w:bottom w:w="43" w:type="dxa"/>
              <w:right w:w="115" w:type="dxa"/>
            </w:tcMar>
            <w:vAlign w:val="center"/>
          </w:tcPr>
          <w:p w14:paraId="1214658B"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(b)</w:t>
            </w:r>
          </w:p>
        </w:tc>
        <w:tc>
          <w:tcPr>
            <w:tcW w:w="1870" w:type="dxa"/>
            <w:shd w:val="clear" w:color="auto" w:fill="auto"/>
            <w:tcMar>
              <w:top w:w="43" w:type="dxa"/>
              <w:left w:w="115" w:type="dxa"/>
              <w:bottom w:w="43" w:type="dxa"/>
              <w:right w:w="576" w:type="dxa"/>
            </w:tcMar>
            <w:vAlign w:val="center"/>
          </w:tcPr>
          <w:p w14:paraId="33883EBE"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14:paraId="554FAF52" w14:textId="77777777" w:rsidTr="004C7089">
        <w:trPr>
          <w:jc w:val="center"/>
        </w:trPr>
        <w:tc>
          <w:tcPr>
            <w:tcW w:w="3020" w:type="dxa"/>
            <w:vMerge/>
            <w:vAlign w:val="center"/>
          </w:tcPr>
          <w:p w14:paraId="67CDF6F5" w14:textId="77777777"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14:paraId="63880013"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14:paraId="7377C865"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r w:rsidR="00B969ED" w:rsidRPr="00B969ED" w14:paraId="24578ED0" w14:textId="77777777" w:rsidTr="004C7089">
        <w:trPr>
          <w:jc w:val="center"/>
        </w:trPr>
        <w:tc>
          <w:tcPr>
            <w:tcW w:w="3020" w:type="dxa"/>
            <w:vMerge w:val="restart"/>
            <w:shd w:val="clear" w:color="auto" w:fill="CCEAF9" w:themeFill="accent1" w:themeFillTint="33"/>
            <w:vAlign w:val="center"/>
          </w:tcPr>
          <w:p w14:paraId="6D05B487" w14:textId="77777777"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Cross-Sound Cable</w:t>
            </w:r>
          </w:p>
        </w:tc>
        <w:tc>
          <w:tcPr>
            <w:tcW w:w="1712" w:type="dxa"/>
            <w:shd w:val="clear" w:color="auto" w:fill="CCEAF9" w:themeFill="accent1" w:themeFillTint="33"/>
            <w:tcMar>
              <w:top w:w="43" w:type="dxa"/>
              <w:left w:w="115" w:type="dxa"/>
              <w:bottom w:w="43" w:type="dxa"/>
              <w:right w:w="115" w:type="dxa"/>
            </w:tcMar>
            <w:vAlign w:val="center"/>
          </w:tcPr>
          <w:p w14:paraId="0EEB93C9"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(c)</w:t>
            </w:r>
          </w:p>
        </w:tc>
        <w:tc>
          <w:tcPr>
            <w:tcW w:w="1870" w:type="dxa"/>
            <w:shd w:val="clear" w:color="auto" w:fill="CCEAF9" w:themeFill="accent1" w:themeFillTint="33"/>
            <w:tcMar>
              <w:top w:w="43" w:type="dxa"/>
              <w:left w:w="115" w:type="dxa"/>
              <w:bottom w:w="43" w:type="dxa"/>
              <w:right w:w="576" w:type="dxa"/>
            </w:tcMar>
            <w:vAlign w:val="center"/>
          </w:tcPr>
          <w:p w14:paraId="7E91397E"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330</w:t>
            </w:r>
          </w:p>
        </w:tc>
      </w:tr>
      <w:tr w:rsidR="00B969ED" w:rsidRPr="00B969ED" w14:paraId="09F213FD" w14:textId="77777777" w:rsidTr="004C7089">
        <w:trPr>
          <w:jc w:val="center"/>
        </w:trPr>
        <w:tc>
          <w:tcPr>
            <w:tcW w:w="3020" w:type="dxa"/>
            <w:vMerge/>
            <w:shd w:val="clear" w:color="auto" w:fill="CCEAF9" w:themeFill="accent1" w:themeFillTint="33"/>
            <w:vAlign w:val="center"/>
          </w:tcPr>
          <w:p w14:paraId="4E0E74BD" w14:textId="77777777"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14:paraId="1BA152D3"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14:paraId="16F32C2A"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0</w:t>
            </w:r>
          </w:p>
        </w:tc>
      </w:tr>
      <w:tr w:rsidR="00B969ED" w:rsidRPr="00B969ED" w14:paraId="29FF2989" w14:textId="77777777" w:rsidTr="004C7089">
        <w:trPr>
          <w:jc w:val="center"/>
        </w:trPr>
        <w:tc>
          <w:tcPr>
            <w:tcW w:w="3020" w:type="dxa"/>
            <w:vMerge w:val="restart"/>
            <w:vAlign w:val="center"/>
          </w:tcPr>
          <w:p w14:paraId="26F58463" w14:textId="77777777"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Maritimes–New England</w:t>
            </w:r>
          </w:p>
        </w:tc>
        <w:tc>
          <w:tcPr>
            <w:tcW w:w="1712" w:type="dxa"/>
            <w:tcMar>
              <w:top w:w="43" w:type="dxa"/>
              <w:left w:w="115" w:type="dxa"/>
              <w:bottom w:w="43" w:type="dxa"/>
              <w:right w:w="115" w:type="dxa"/>
            </w:tcMar>
            <w:vAlign w:val="center"/>
          </w:tcPr>
          <w:p w14:paraId="33E49BA3"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(d)</w:t>
            </w:r>
          </w:p>
        </w:tc>
        <w:tc>
          <w:tcPr>
            <w:tcW w:w="1870" w:type="dxa"/>
            <w:tcMar>
              <w:top w:w="43" w:type="dxa"/>
              <w:left w:w="115" w:type="dxa"/>
              <w:bottom w:w="43" w:type="dxa"/>
              <w:right w:w="576" w:type="dxa"/>
            </w:tcMar>
            <w:vAlign w:val="center"/>
          </w:tcPr>
          <w:p w14:paraId="6433959A"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1,000</w:t>
            </w:r>
          </w:p>
        </w:tc>
      </w:tr>
      <w:tr w:rsidR="00B969ED" w:rsidRPr="00B969ED" w14:paraId="5C6E9687" w14:textId="77777777" w:rsidTr="004C7089">
        <w:trPr>
          <w:jc w:val="center"/>
        </w:trPr>
        <w:tc>
          <w:tcPr>
            <w:tcW w:w="3020" w:type="dxa"/>
            <w:vMerge/>
            <w:vAlign w:val="center"/>
          </w:tcPr>
          <w:p w14:paraId="3CE93886" w14:textId="77777777"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14:paraId="5A2A38A8"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14:paraId="20CC65EA"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700</w:t>
            </w:r>
          </w:p>
        </w:tc>
      </w:tr>
      <w:tr w:rsidR="00B969ED" w:rsidRPr="00B969ED" w14:paraId="005A1EAA" w14:textId="77777777" w:rsidTr="004C7089">
        <w:trPr>
          <w:jc w:val="center"/>
        </w:trPr>
        <w:tc>
          <w:tcPr>
            <w:tcW w:w="3020" w:type="dxa"/>
            <w:vMerge w:val="restart"/>
            <w:shd w:val="clear" w:color="auto" w:fill="CCEAF9" w:themeFill="accent1" w:themeFillTint="33"/>
            <w:vAlign w:val="center"/>
          </w:tcPr>
          <w:p w14:paraId="19918EB0" w14:textId="77777777"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(Highgate)</w:t>
            </w:r>
            <w:r w:rsidRPr="00B969ED">
              <w:rPr>
                <w:rFonts w:asciiTheme="minorHAnsi" w:hAnsiTheme="minorHAnsi"/>
                <w:b/>
                <w:sz w:val="18"/>
                <w:szCs w:val="18"/>
                <w:vertAlign w:val="superscript"/>
              </w:rPr>
              <w:t>(e)</w:t>
            </w:r>
          </w:p>
        </w:tc>
        <w:tc>
          <w:tcPr>
            <w:tcW w:w="1712" w:type="dxa"/>
            <w:shd w:val="clear" w:color="auto" w:fill="CCEAF9" w:themeFill="accent1" w:themeFillTint="33"/>
            <w:tcMar>
              <w:top w:w="43" w:type="dxa"/>
              <w:left w:w="115" w:type="dxa"/>
              <w:bottom w:w="43" w:type="dxa"/>
              <w:right w:w="115" w:type="dxa"/>
            </w:tcMar>
            <w:vAlign w:val="center"/>
          </w:tcPr>
          <w:p w14:paraId="001BC105"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p>
        </w:tc>
        <w:tc>
          <w:tcPr>
            <w:tcW w:w="1870" w:type="dxa"/>
            <w:shd w:val="clear" w:color="auto" w:fill="CCEAF9" w:themeFill="accent1" w:themeFillTint="33"/>
            <w:tcMar>
              <w:top w:w="43" w:type="dxa"/>
              <w:left w:w="115" w:type="dxa"/>
              <w:bottom w:w="43" w:type="dxa"/>
              <w:right w:w="576" w:type="dxa"/>
            </w:tcMar>
            <w:vAlign w:val="center"/>
          </w:tcPr>
          <w:p w14:paraId="43C89071"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217</w:t>
            </w:r>
          </w:p>
        </w:tc>
      </w:tr>
      <w:tr w:rsidR="00B969ED" w:rsidRPr="00B969ED" w14:paraId="122B325B" w14:textId="77777777" w:rsidTr="004C7089">
        <w:trPr>
          <w:jc w:val="center"/>
        </w:trPr>
        <w:tc>
          <w:tcPr>
            <w:tcW w:w="3020" w:type="dxa"/>
            <w:vMerge/>
            <w:shd w:val="clear" w:color="auto" w:fill="CCEAF9" w:themeFill="accent1" w:themeFillTint="33"/>
            <w:vAlign w:val="center"/>
          </w:tcPr>
          <w:p w14:paraId="1C5718EE" w14:textId="77777777" w:rsidR="00B969ED" w:rsidRPr="00B969ED" w:rsidRDefault="00B969ED" w:rsidP="00B969ED">
            <w:pPr>
              <w:keepNext/>
              <w:keepLines/>
              <w:spacing w:after="0" w:line="240" w:lineRule="auto"/>
              <w:rPr>
                <w:rFonts w:asciiTheme="minorHAnsi" w:hAnsiTheme="minorHAnsi"/>
                <w:sz w:val="18"/>
                <w:szCs w:val="18"/>
              </w:rPr>
            </w:pPr>
          </w:p>
        </w:tc>
        <w:tc>
          <w:tcPr>
            <w:tcW w:w="1712" w:type="dxa"/>
            <w:shd w:val="clear" w:color="auto" w:fill="CCEAF9" w:themeFill="accent1" w:themeFillTint="33"/>
            <w:tcMar>
              <w:top w:w="43" w:type="dxa"/>
              <w:left w:w="115" w:type="dxa"/>
              <w:bottom w:w="43" w:type="dxa"/>
              <w:right w:w="115" w:type="dxa"/>
            </w:tcMar>
            <w:vAlign w:val="center"/>
          </w:tcPr>
          <w:p w14:paraId="54642CA4"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14:paraId="22117110"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w:t>
            </w:r>
          </w:p>
        </w:tc>
      </w:tr>
      <w:tr w:rsidR="00B969ED" w:rsidRPr="00B969ED" w14:paraId="5B5DC985" w14:textId="77777777" w:rsidTr="004C7089">
        <w:trPr>
          <w:jc w:val="center"/>
        </w:trPr>
        <w:tc>
          <w:tcPr>
            <w:tcW w:w="3020" w:type="dxa"/>
            <w:vMerge w:val="restart"/>
            <w:vAlign w:val="center"/>
          </w:tcPr>
          <w:p w14:paraId="1E3781BC" w14:textId="77777777" w:rsidR="00B969ED" w:rsidRPr="00B969ED" w:rsidRDefault="00B969ED" w:rsidP="00B969ED">
            <w:pPr>
              <w:keepNext/>
              <w:keepLines/>
              <w:spacing w:after="0" w:line="240" w:lineRule="auto"/>
              <w:rPr>
                <w:rFonts w:asciiTheme="minorHAnsi" w:hAnsiTheme="minorHAnsi"/>
                <w:sz w:val="18"/>
                <w:szCs w:val="18"/>
              </w:rPr>
            </w:pPr>
            <w:r w:rsidRPr="00B969ED">
              <w:rPr>
                <w:rFonts w:asciiTheme="minorHAnsi" w:hAnsiTheme="minorHAnsi"/>
                <w:b/>
                <w:sz w:val="18"/>
                <w:szCs w:val="18"/>
              </w:rPr>
              <w:t>Québec–New England (Phase II)</w:t>
            </w:r>
          </w:p>
        </w:tc>
        <w:tc>
          <w:tcPr>
            <w:tcW w:w="1712" w:type="dxa"/>
            <w:tcMar>
              <w:top w:w="43" w:type="dxa"/>
              <w:left w:w="115" w:type="dxa"/>
              <w:bottom w:w="43" w:type="dxa"/>
              <w:right w:w="115" w:type="dxa"/>
            </w:tcMar>
            <w:vAlign w:val="center"/>
          </w:tcPr>
          <w:p w14:paraId="5278D75F"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Energy</w:t>
            </w:r>
            <w:r w:rsidRPr="00B969ED">
              <w:rPr>
                <w:rFonts w:asciiTheme="minorHAnsi" w:hAnsiTheme="minorHAnsi"/>
                <w:sz w:val="18"/>
                <w:szCs w:val="18"/>
                <w:vertAlign w:val="superscript"/>
              </w:rPr>
              <w:t>(f)</w:t>
            </w:r>
          </w:p>
        </w:tc>
        <w:tc>
          <w:tcPr>
            <w:tcW w:w="1870" w:type="dxa"/>
            <w:tcMar>
              <w:top w:w="43" w:type="dxa"/>
              <w:left w:w="115" w:type="dxa"/>
              <w:bottom w:w="43" w:type="dxa"/>
              <w:right w:w="576" w:type="dxa"/>
            </w:tcMar>
            <w:vAlign w:val="center"/>
          </w:tcPr>
          <w:p w14:paraId="00EB3BB2"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2,000</w:t>
            </w:r>
          </w:p>
        </w:tc>
      </w:tr>
      <w:tr w:rsidR="00B969ED" w:rsidRPr="00B969ED" w14:paraId="43B817AF" w14:textId="77777777" w:rsidTr="004C7089">
        <w:trPr>
          <w:jc w:val="center"/>
        </w:trPr>
        <w:tc>
          <w:tcPr>
            <w:tcW w:w="3020" w:type="dxa"/>
            <w:vMerge/>
            <w:vAlign w:val="center"/>
          </w:tcPr>
          <w:p w14:paraId="3808D374" w14:textId="77777777" w:rsidR="00B969ED" w:rsidRPr="00B969ED" w:rsidRDefault="00B969ED" w:rsidP="00B969ED">
            <w:pPr>
              <w:keepNext/>
              <w:keepLines/>
              <w:spacing w:after="0" w:line="240" w:lineRule="auto"/>
              <w:rPr>
                <w:rFonts w:asciiTheme="minorHAnsi" w:hAnsiTheme="minorHAnsi"/>
                <w:sz w:val="18"/>
                <w:szCs w:val="18"/>
              </w:rPr>
            </w:pPr>
          </w:p>
        </w:tc>
        <w:tc>
          <w:tcPr>
            <w:tcW w:w="1712" w:type="dxa"/>
            <w:tcMar>
              <w:top w:w="43" w:type="dxa"/>
              <w:left w:w="115" w:type="dxa"/>
              <w:bottom w:w="43" w:type="dxa"/>
              <w:right w:w="115" w:type="dxa"/>
            </w:tcMar>
            <w:vAlign w:val="center"/>
          </w:tcPr>
          <w:p w14:paraId="45A4C9CE" w14:textId="77777777" w:rsidR="00B969ED" w:rsidRPr="00B969ED" w:rsidRDefault="00B969ED" w:rsidP="00B969ED">
            <w:pPr>
              <w:keepNext/>
              <w:keepLines/>
              <w:spacing w:after="0" w:line="240" w:lineRule="auto"/>
              <w:jc w:val="center"/>
              <w:rPr>
                <w:rFonts w:asciiTheme="minorHAnsi" w:hAnsiTheme="minorHAnsi"/>
                <w:sz w:val="18"/>
                <w:szCs w:val="18"/>
              </w:rPr>
            </w:pPr>
            <w:r w:rsidRPr="00B969ED">
              <w:rPr>
                <w:rFonts w:asciiTheme="minorHAnsi" w:hAnsiTheme="minorHAnsi"/>
                <w:sz w:val="18"/>
                <w:szCs w:val="18"/>
              </w:rPr>
              <w:t>Capacity</w:t>
            </w:r>
          </w:p>
        </w:tc>
        <w:tc>
          <w:tcPr>
            <w:tcW w:w="1870" w:type="dxa"/>
            <w:tcMar>
              <w:top w:w="43" w:type="dxa"/>
              <w:left w:w="115" w:type="dxa"/>
              <w:bottom w:w="43" w:type="dxa"/>
              <w:right w:w="576" w:type="dxa"/>
            </w:tcMar>
            <w:vAlign w:val="center"/>
          </w:tcPr>
          <w:p w14:paraId="5DDEB44F" w14:textId="77777777" w:rsidR="00B969ED" w:rsidRPr="00B969ED" w:rsidRDefault="00B969ED" w:rsidP="00B969ED">
            <w:pPr>
              <w:keepNext/>
              <w:keepLines/>
              <w:tabs>
                <w:tab w:val="center" w:pos="1028"/>
              </w:tabs>
              <w:spacing w:after="0" w:line="240" w:lineRule="auto"/>
              <w:jc w:val="right"/>
              <w:rPr>
                <w:rFonts w:asciiTheme="minorHAnsi" w:hAnsiTheme="minorHAnsi"/>
                <w:sz w:val="18"/>
                <w:szCs w:val="18"/>
              </w:rPr>
            </w:pPr>
            <w:r w:rsidRPr="00B969ED">
              <w:rPr>
                <w:rFonts w:asciiTheme="minorHAnsi" w:hAnsiTheme="minorHAnsi"/>
                <w:sz w:val="18"/>
                <w:szCs w:val="18"/>
              </w:rPr>
              <w:t>1,400</w:t>
            </w:r>
          </w:p>
        </w:tc>
      </w:tr>
    </w:tbl>
    <w:p w14:paraId="08717E60" w14:textId="77777777" w:rsidR="00B969ED" w:rsidRPr="00B969ED" w:rsidRDefault="00B969ED" w:rsidP="00B969ED">
      <w:pPr>
        <w:keepNext/>
        <w:keepLines/>
        <w:spacing w:before="120"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(a) </w:t>
      </w:r>
      <w:r w:rsidRPr="00B969ED">
        <w:rPr>
          <w:rFonts w:asciiTheme="minorHAnsi" w:hAnsiTheme="minorHAnsi"/>
          <w:sz w:val="16"/>
          <w:szCs w:val="16"/>
        </w:rPr>
        <w:tab/>
        <w:t xml:space="preserve">Limits are for the summer period. These limits may not include possible simultaneous impacts and should not be considered as “firm.” </w:t>
      </w:r>
    </w:p>
    <w:p w14:paraId="0509EEA3" w14:textId="77777777"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(b) </w:t>
      </w:r>
      <w:r w:rsidRPr="00B969ED">
        <w:rPr>
          <w:rFonts w:asciiTheme="minorHAnsi" w:hAnsiTheme="minorHAnsi"/>
          <w:sz w:val="16"/>
          <w:szCs w:val="16"/>
        </w:rPr>
        <w:tab/>
        <w:t xml:space="preserve">The AC import capabilities do not include the Cross-Sound Cable </w:t>
      </w:r>
      <w:r w:rsidR="00B60B6E">
        <w:rPr>
          <w:rFonts w:asciiTheme="minorHAnsi" w:hAnsiTheme="minorHAnsi"/>
          <w:sz w:val="16"/>
          <w:szCs w:val="16"/>
        </w:rPr>
        <w:t xml:space="preserve">(CSC) </w:t>
      </w:r>
      <w:r w:rsidRPr="00B969ED">
        <w:rPr>
          <w:rFonts w:asciiTheme="minorHAnsi" w:hAnsiTheme="minorHAnsi"/>
          <w:sz w:val="16"/>
          <w:szCs w:val="16"/>
        </w:rPr>
        <w:t>and the Northport–Norwalk Cable. Simultaneously importing into New England and Connecticut can lower the New York to New England AC capability.</w:t>
      </w:r>
    </w:p>
    <w:p w14:paraId="69149ACF" w14:textId="77777777" w:rsidR="00B969ED" w:rsidRPr="00B969ED"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(c) </w:t>
      </w:r>
      <w:r w:rsidRPr="00B969ED">
        <w:rPr>
          <w:rFonts w:asciiTheme="minorHAnsi" w:hAnsiTheme="minorHAnsi"/>
          <w:sz w:val="16"/>
          <w:szCs w:val="16"/>
        </w:rPr>
        <w:tab/>
        <w:t>Import capability on the C</w:t>
      </w:r>
      <w:r w:rsidR="00B60B6E">
        <w:rPr>
          <w:rFonts w:asciiTheme="minorHAnsi" w:hAnsiTheme="minorHAnsi"/>
          <w:sz w:val="16"/>
          <w:szCs w:val="16"/>
        </w:rPr>
        <w:t>SC</w:t>
      </w:r>
      <w:r w:rsidRPr="00B969ED">
        <w:rPr>
          <w:rFonts w:asciiTheme="minorHAnsi" w:hAnsiTheme="minorHAnsi"/>
          <w:sz w:val="16"/>
          <w:szCs w:val="16"/>
        </w:rPr>
        <w:t xml:space="preserve"> is dependent on the level of local generation in Connecticut.</w:t>
      </w:r>
    </w:p>
    <w:p w14:paraId="5683EEDC" w14:textId="77777777" w:rsidR="00B969ED" w:rsidRPr="00C46567" w:rsidRDefault="00B969ED" w:rsidP="00B969ED">
      <w:pPr>
        <w:keepNext/>
        <w:keepLines/>
        <w:spacing w:after="80" w:line="240" w:lineRule="auto"/>
        <w:ind w:left="1440" w:right="1080" w:hanging="274"/>
        <w:rPr>
          <w:rFonts w:asciiTheme="minorHAnsi" w:hAnsiTheme="minorHAnsi"/>
          <w:sz w:val="16"/>
          <w:szCs w:val="16"/>
        </w:rPr>
      </w:pPr>
      <w:r w:rsidRPr="00B969ED">
        <w:rPr>
          <w:rFonts w:asciiTheme="minorHAnsi" w:hAnsiTheme="minorHAnsi"/>
          <w:sz w:val="16"/>
          <w:szCs w:val="16"/>
        </w:rPr>
        <w:t xml:space="preserve">(d) </w:t>
      </w:r>
      <w:r w:rsidRPr="00B969ED">
        <w:rPr>
          <w:rFonts w:asciiTheme="minorHAnsi" w:hAnsiTheme="minorHAnsi"/>
          <w:sz w:val="16"/>
          <w:szCs w:val="16"/>
        </w:rPr>
        <w:tab/>
        <w:t xml:space="preserve">The electrical limit of the Maritimes (New Brunswick)–New England tie is 1,000 MW. When adjusted for the ability to deliver capacity to the greater New England control area, the New </w:t>
      </w:r>
      <w:r w:rsidRPr="00C46567">
        <w:rPr>
          <w:rFonts w:asciiTheme="minorHAnsi" w:hAnsiTheme="minorHAnsi"/>
          <w:sz w:val="16"/>
          <w:szCs w:val="16"/>
        </w:rPr>
        <w:t>Brunswick–New England transfer capability becomes 700 MW.</w:t>
      </w:r>
    </w:p>
    <w:p w14:paraId="1E6F4AD6" w14:textId="77777777" w:rsidR="00B969ED" w:rsidRPr="00C46567" w:rsidRDefault="00B969ED" w:rsidP="00B969ED">
      <w:pPr>
        <w:keepNext/>
        <w:keepLines/>
        <w:spacing w:after="80" w:line="240" w:lineRule="auto"/>
        <w:ind w:left="1440" w:right="1080" w:hanging="274"/>
        <w:rPr>
          <w:rFonts w:asciiTheme="minorHAnsi" w:hAnsiTheme="minorHAnsi"/>
          <w:sz w:val="16"/>
          <w:szCs w:val="16"/>
        </w:rPr>
      </w:pPr>
      <w:r w:rsidRPr="00C46567">
        <w:rPr>
          <w:rFonts w:asciiTheme="minorHAnsi" w:hAnsiTheme="minorHAnsi"/>
          <w:sz w:val="16"/>
          <w:szCs w:val="16"/>
        </w:rPr>
        <w:t xml:space="preserve">(e) </w:t>
      </w:r>
      <w:r w:rsidRPr="00C46567">
        <w:rPr>
          <w:rFonts w:asciiTheme="minorHAnsi" w:hAnsiTheme="minorHAnsi"/>
          <w:sz w:val="16"/>
          <w:szCs w:val="16"/>
        </w:rPr>
        <w:tab/>
        <w:t>The capability listing for the Highgate facility is for the New England AC side of the Highgate terminal.</w:t>
      </w:r>
    </w:p>
    <w:p w14:paraId="2E96B036" w14:textId="77777777" w:rsidR="00B969ED" w:rsidRDefault="00B969ED" w:rsidP="00B969ED">
      <w:pPr>
        <w:spacing w:line="240" w:lineRule="auto"/>
        <w:ind w:left="1440" w:right="1080" w:hanging="274"/>
        <w:rPr>
          <w:rFonts w:asciiTheme="minorHAnsi" w:hAnsiTheme="minorHAnsi"/>
          <w:sz w:val="16"/>
          <w:szCs w:val="16"/>
        </w:rPr>
      </w:pPr>
      <w:r w:rsidRPr="00C46567">
        <w:rPr>
          <w:rFonts w:asciiTheme="minorHAnsi" w:hAnsiTheme="minorHAnsi"/>
          <w:sz w:val="16"/>
          <w:szCs w:val="16"/>
        </w:rPr>
        <w:t xml:space="preserve">(f) </w:t>
      </w:r>
      <w:r w:rsidRPr="00C46567">
        <w:rPr>
          <w:rFonts w:asciiTheme="minorHAnsi" w:hAnsiTheme="minorHAnsi"/>
          <w:sz w:val="16"/>
          <w:szCs w:val="16"/>
        </w:rPr>
        <w:tab/>
        <w:t xml:space="preserve">Because of the need to protect for the loss of </w:t>
      </w:r>
      <w:r w:rsidR="00A45A03" w:rsidRPr="00C46567">
        <w:rPr>
          <w:rFonts w:asciiTheme="minorHAnsi" w:hAnsiTheme="minorHAnsi"/>
          <w:sz w:val="16"/>
          <w:szCs w:val="16"/>
        </w:rPr>
        <w:t xml:space="preserve">the Phase II DC tie (rated at 2,000 MW) </w:t>
      </w:r>
      <w:r w:rsidRPr="00C46567">
        <w:rPr>
          <w:rFonts w:asciiTheme="minorHAnsi" w:hAnsiTheme="minorHAnsi"/>
          <w:sz w:val="16"/>
          <w:szCs w:val="16"/>
        </w:rPr>
        <w:t xml:space="preserve">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w:t>
      </w:r>
      <w:hyperlink r:id="rId55" w:history="1">
        <w:r w:rsidRPr="00C46567">
          <w:rPr>
            <w:rFonts w:asciiTheme="minorHAnsi" w:hAnsiTheme="minorHAnsi"/>
            <w:color w:val="000000"/>
            <w:sz w:val="16"/>
            <w:szCs w:val="16"/>
          </w:rPr>
          <w:t>http://www.iso-ne.com/isoexpress/web/reports/operations/-/tree/single-src-cont</w:t>
        </w:r>
      </w:hyperlink>
      <w:r w:rsidRPr="00C46567">
        <w:rPr>
          <w:rFonts w:asciiTheme="minorHAnsi" w:hAnsiTheme="minorHAnsi"/>
          <w:sz w:val="16"/>
          <w:szCs w:val="16"/>
        </w:rPr>
        <w:t>.</w:t>
      </w:r>
      <w:r w:rsidRPr="00B969ED">
        <w:rPr>
          <w:rFonts w:asciiTheme="minorHAnsi" w:hAnsiTheme="minorHAnsi"/>
          <w:sz w:val="16"/>
          <w:szCs w:val="16"/>
        </w:rPr>
        <w:t xml:space="preserve"> </w:t>
      </w:r>
    </w:p>
    <w:p w14:paraId="65F2D17F" w14:textId="4B2EECD3" w:rsidR="00B969ED" w:rsidRPr="00B969ED" w:rsidRDefault="00B969ED" w:rsidP="00B969ED">
      <w:pPr>
        <w:spacing w:before="120"/>
      </w:pPr>
      <w:r w:rsidRPr="00B969ED">
        <w:t xml:space="preserve">Historically, New England experienced net capacity and energy imports. The ISO expects this trend to continue, given the amount of import capacity supply obligations resulting from the Forward Capacity Auctions </w:t>
      </w:r>
      <w:r w:rsidRPr="00D355B3">
        <w:t>(see Section </w:t>
      </w:r>
      <w:r w:rsidR="00D355B3" w:rsidRPr="001446CF">
        <w:fldChar w:fldCharType="begin"/>
      </w:r>
      <w:r w:rsidR="00D355B3" w:rsidRPr="001446CF">
        <w:instrText xml:space="preserve"> REF _Ref10720490 \r \h </w:instrText>
      </w:r>
      <w:r w:rsidR="001446CF">
        <w:instrText xml:space="preserve"> \* MERGEFORMAT </w:instrText>
      </w:r>
      <w:r w:rsidR="00D355B3" w:rsidRPr="001446CF">
        <w:fldChar w:fldCharType="separate"/>
      </w:r>
      <w:r w:rsidR="005D0B73">
        <w:t>4.1.3</w:t>
      </w:r>
      <w:r w:rsidR="00D355B3" w:rsidRPr="001446CF">
        <w:fldChar w:fldCharType="end"/>
      </w:r>
      <w:r w:rsidRPr="001446CF">
        <w:t>) a</w:t>
      </w:r>
      <w:r w:rsidRPr="00B969ED">
        <w:t xml:space="preserve">nd the number of tie-line projects in the ISO’s interconnection queue </w:t>
      </w:r>
      <w:r w:rsidRPr="00D31060">
        <w:t>(Section</w:t>
      </w:r>
      <w:r w:rsidR="00D355B3" w:rsidRPr="00D31060">
        <w:t xml:space="preserve"> </w:t>
      </w:r>
      <w:r w:rsidR="00D355B3" w:rsidRPr="00D31060">
        <w:fldChar w:fldCharType="begin"/>
      </w:r>
      <w:r w:rsidR="00D355B3" w:rsidRPr="00D31060">
        <w:instrText xml:space="preserve"> REF _Ref10720535 \r \h </w:instrText>
      </w:r>
      <w:r w:rsidR="001446CF">
        <w:instrText xml:space="preserve"> \* MERGEFORMAT </w:instrText>
      </w:r>
      <w:r w:rsidR="00D355B3" w:rsidRPr="00D31060">
        <w:fldChar w:fldCharType="separate"/>
      </w:r>
      <w:r w:rsidR="005D0B73">
        <w:t>4.5.3</w:t>
      </w:r>
      <w:r w:rsidR="00D355B3" w:rsidRPr="00D31060">
        <w:fldChar w:fldCharType="end"/>
      </w:r>
      <w:r w:rsidRPr="00D31060">
        <w:t>)</w:t>
      </w:r>
      <w:r w:rsidRPr="001446CF">
        <w:t>, which could provide additional opportunities for importing energy from neighboring</w:t>
      </w:r>
      <w:r w:rsidRPr="00B969ED">
        <w:t xml:space="preserve"> power systems. </w:t>
      </w:r>
    </w:p>
    <w:p w14:paraId="2F5BD2B9" w14:textId="2CA63473" w:rsidR="00B969ED" w:rsidRDefault="00B969ED" w:rsidP="00B969ED">
      <w:pPr>
        <w:spacing w:before="120"/>
      </w:pPr>
      <w:r w:rsidRPr="00B969ED">
        <w:t xml:space="preserve">The summer import </w:t>
      </w:r>
      <w:r w:rsidR="00B60B6E">
        <w:t>CSOs</w:t>
      </w:r>
      <w:r w:rsidRPr="00B969ED">
        <w:t xml:space="preserve"> for FCA 10 (for the 2019/2020 capacity commitment period) through FCA 13 (for the 2022/2023 period) range from 1,450 MW (in FCA 10) to 1,188 MW (in FCA 13). The tie-reliability benefits used in calculating the ICR ranges from 1,990 MW to 2,020 MW </w:t>
      </w:r>
      <w:r w:rsidRPr="001446CF">
        <w:t>during that same period, with over half provided from Québec (i.e., Hydro-Québec). Summer import</w:t>
      </w:r>
      <w:r w:rsidRPr="00B969ED">
        <w:t xml:space="preserve"> </w:t>
      </w:r>
      <w:r w:rsidR="00B60B6E">
        <w:t>CSOs</w:t>
      </w:r>
      <w:r w:rsidRPr="00B969ED">
        <w:t xml:space="preserve"> that cleared in FCA 13 are greatest from HQ at 44%, as illustrated </w:t>
      </w:r>
      <w:r w:rsidRPr="00D355B3">
        <w:t xml:space="preserve">in </w:t>
      </w:r>
      <w:r w:rsidRPr="00D355B3">
        <w:fldChar w:fldCharType="begin"/>
      </w:r>
      <w:r w:rsidRPr="00D355B3">
        <w:instrText xml:space="preserve"> REF _Ref7010469 \h </w:instrText>
      </w:r>
      <w:r w:rsidR="00654D6A" w:rsidRPr="00D355B3">
        <w:instrText xml:space="preserve"> \* MERGEFORMAT </w:instrText>
      </w:r>
      <w:r w:rsidRPr="00D355B3">
        <w:fldChar w:fldCharType="separate"/>
      </w:r>
      <w:r w:rsidR="005D0B73" w:rsidRPr="005D0B73">
        <w:rPr>
          <w:bCs/>
          <w:szCs w:val="18"/>
        </w:rPr>
        <w:t xml:space="preserve">Figure </w:t>
      </w:r>
      <w:r w:rsidR="005D0B73" w:rsidRPr="005D0B73">
        <w:rPr>
          <w:bCs/>
          <w:noProof/>
          <w:szCs w:val="18"/>
        </w:rPr>
        <w:t>6</w:t>
      </w:r>
      <w:r w:rsidR="005D0B73" w:rsidRPr="005D0B73">
        <w:rPr>
          <w:bCs/>
          <w:noProof/>
          <w:szCs w:val="18"/>
        </w:rPr>
        <w:noBreakHyphen/>
        <w:t>1</w:t>
      </w:r>
      <w:r w:rsidRPr="00D355B3">
        <w:fldChar w:fldCharType="end"/>
      </w:r>
      <w:r w:rsidRPr="00D355B3">
        <w:t>. The</w:t>
      </w:r>
      <w:r w:rsidRPr="00B969ED">
        <w:t xml:space="preserve"> figure also shows cleared summer import </w:t>
      </w:r>
      <w:r w:rsidR="00B60B6E">
        <w:t>CSOs</w:t>
      </w:r>
      <w:r w:rsidRPr="00B969ED">
        <w:t xml:space="preserve"> for FCA 13 by generation type. Most of the import capacity is backed by the HQ control area</w:t>
      </w:r>
      <w:r w:rsidR="0037199D">
        <w:t xml:space="preserve">, which is predominately </w:t>
      </w:r>
      <w:r w:rsidRPr="00B969ED">
        <w:t>hydroelectric</w:t>
      </w:r>
      <w:r w:rsidR="0037199D">
        <w:t xml:space="preserve"> facilities but also includes</w:t>
      </w:r>
      <w:r w:rsidRPr="00B969ED">
        <w:t xml:space="preserve"> coal, oil, petroleum, natural gas, nuclear, wood, and wind generation.</w:t>
      </w:r>
    </w:p>
    <w:p w14:paraId="70AFD806" w14:textId="77777777" w:rsidR="00EB20F1" w:rsidRDefault="00EB20F1" w:rsidP="00EB20F1">
      <w:pPr>
        <w:spacing w:before="120" w:after="0" w:line="240" w:lineRule="auto"/>
        <w:jc w:val="center"/>
      </w:pPr>
    </w:p>
    <w:p w14:paraId="24FF4FB3" w14:textId="77777777" w:rsidR="004513EC" w:rsidRDefault="004513EC" w:rsidP="00D31060">
      <w:pPr>
        <w:spacing w:after="0" w:line="240" w:lineRule="auto"/>
        <w:jc w:val="center"/>
      </w:pPr>
      <w:r w:rsidRPr="00660369">
        <w:rPr>
          <w:noProof/>
        </w:rPr>
        <w:lastRenderedPageBreak/>
        <w:drawing>
          <wp:inline distT="0" distB="0" distL="0" distR="0" wp14:anchorId="534219CB" wp14:editId="29E472B7">
            <wp:extent cx="5638941" cy="2021840"/>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627" r="3044" b="9390"/>
                    <a:stretch/>
                  </pic:blipFill>
                  <pic:spPr bwMode="auto">
                    <a:xfrm>
                      <a:off x="0" y="0"/>
                      <a:ext cx="5650850" cy="2026110"/>
                    </a:xfrm>
                    <a:prstGeom prst="rect">
                      <a:avLst/>
                    </a:prstGeom>
                    <a:noFill/>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A140B2" w14:textId="5637FDFA" w:rsidR="00B969ED" w:rsidRPr="00B969ED" w:rsidRDefault="00B969ED" w:rsidP="004B7B51">
      <w:pPr>
        <w:tabs>
          <w:tab w:val="left" w:pos="270"/>
        </w:tabs>
        <w:spacing w:before="120" w:after="80" w:line="240" w:lineRule="auto"/>
        <w:ind w:left="90" w:right="180"/>
        <w:rPr>
          <w:rFonts w:ascii="Calibri" w:eastAsia="Times New Roman" w:hAnsi="Calibri"/>
          <w:b/>
          <w:bCs/>
          <w:szCs w:val="18"/>
        </w:rPr>
      </w:pPr>
      <w:bookmarkStart w:id="793" w:name="_Ref7010469"/>
      <w:bookmarkStart w:id="794" w:name="_Toc17709754"/>
      <w:r w:rsidRPr="00B969ED">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6</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1</w:t>
      </w:r>
      <w:r w:rsidR="008E7223">
        <w:rPr>
          <w:rFonts w:ascii="Calibri" w:hAnsi="Calibri"/>
          <w:b/>
          <w:bCs/>
          <w:szCs w:val="18"/>
        </w:rPr>
        <w:fldChar w:fldCharType="end"/>
      </w:r>
      <w:bookmarkEnd w:id="793"/>
      <w:r w:rsidRPr="00B969ED">
        <w:rPr>
          <w:rFonts w:ascii="Calibri" w:hAnsi="Calibri"/>
          <w:b/>
          <w:bCs/>
          <w:szCs w:val="18"/>
        </w:rPr>
        <w:t>: FCA 13 Import capacity supply obligation by interface (left) and ge</w:t>
      </w:r>
      <w:r w:rsidRPr="00B969ED">
        <w:rPr>
          <w:rFonts w:ascii="Calibri" w:eastAsia="Times New Roman" w:hAnsi="Calibri"/>
          <w:b/>
          <w:bCs/>
          <w:szCs w:val="18"/>
        </w:rPr>
        <w:t>neration type (right) (MW).</w:t>
      </w:r>
      <w:bookmarkEnd w:id="794"/>
    </w:p>
    <w:p w14:paraId="523BCF1E" w14:textId="77777777" w:rsidR="00B969ED" w:rsidRPr="00B969ED" w:rsidRDefault="00B969ED" w:rsidP="004B7B51">
      <w:pPr>
        <w:tabs>
          <w:tab w:val="left" w:pos="270"/>
        </w:tabs>
        <w:spacing w:line="240" w:lineRule="auto"/>
        <w:ind w:left="90" w:right="180"/>
      </w:pPr>
      <w:r w:rsidRPr="00B969ED">
        <w:rPr>
          <w:rFonts w:asciiTheme="majorHAnsi" w:hAnsiTheme="majorHAnsi"/>
          <w:b/>
          <w:sz w:val="18"/>
          <w:szCs w:val="18"/>
        </w:rPr>
        <w:t>Note:</w:t>
      </w:r>
      <w:r w:rsidRPr="00B969ED">
        <w:rPr>
          <w:rFonts w:asciiTheme="majorHAnsi" w:hAnsiTheme="majorHAnsi"/>
          <w:sz w:val="18"/>
          <w:szCs w:val="18"/>
        </w:rPr>
        <w:t xml:space="preserve"> The ISO has no detail regarding the resource mix of the HQ control-area-backed imports. It does have a list of resource types without specific resource names or megawatt allocations.</w:t>
      </w:r>
    </w:p>
    <w:p w14:paraId="5B85A5D0" w14:textId="77777777" w:rsidR="00B969ED" w:rsidRDefault="00B969ED" w:rsidP="00B969ED">
      <w:pPr>
        <w:spacing w:before="120"/>
      </w:pPr>
      <w:r w:rsidRPr="00B969ED">
        <w:t>The annual net energy imports have increased from 9,363 GWh in 2009 to over 20,000 GWh for 2014 through 2018. Imports have supplied approximately 16% to 17% of the total New England net energy for load since 2014.</w:t>
      </w:r>
      <w:r w:rsidRPr="00B969ED">
        <w:rPr>
          <w:vertAlign w:val="superscript"/>
        </w:rPr>
        <w:footnoteReference w:id="252"/>
      </w:r>
      <w:r w:rsidRPr="00B969ED">
        <w:t xml:space="preserve"> </w:t>
      </w:r>
    </w:p>
    <w:p w14:paraId="3136F654" w14:textId="77777777" w:rsidR="00EA5CA9" w:rsidRPr="00B969ED" w:rsidRDefault="00EA5CA9" w:rsidP="004B7400">
      <w:pPr>
        <w:pStyle w:val="Heading3"/>
      </w:pPr>
      <w:bookmarkStart w:id="795" w:name="_Ref12110739"/>
      <w:bookmarkStart w:id="796" w:name="_Toc12795213"/>
      <w:r>
        <w:t>Avoided New England Emissions due to Imports</w:t>
      </w:r>
      <w:bookmarkEnd w:id="795"/>
      <w:bookmarkEnd w:id="796"/>
    </w:p>
    <w:p w14:paraId="2494BF39" w14:textId="195E6C13" w:rsidR="00B969ED" w:rsidRPr="00B969ED" w:rsidRDefault="00B969ED" w:rsidP="00B969ED">
      <w:r w:rsidRPr="00B969ED">
        <w:t>New England imported 23,549 GWh of energy (i.e., gross imports without accounting for exports) during 2018. Over half the energy imports were from HQ, which is predominantly a hydro system.</w:t>
      </w:r>
      <w:r w:rsidRPr="00B969ED">
        <w:rPr>
          <w:vertAlign w:val="superscript"/>
        </w:rPr>
        <w:footnoteReference w:id="253"/>
      </w:r>
      <w:r w:rsidRPr="00B969ED">
        <w:t xml:space="preserve"> Avoided New England emissions associated with energy import</w:t>
      </w:r>
      <w:r w:rsidR="00C52447">
        <w:t>s</w:t>
      </w:r>
      <w:r w:rsidRPr="00B969ED">
        <w:t xml:space="preserve"> were estimated using the 2017 New England system average emission </w:t>
      </w:r>
      <w:r w:rsidRPr="00C52447">
        <w:t xml:space="preserve">rates (see Section </w:t>
      </w:r>
      <w:r w:rsidR="00C52447" w:rsidRPr="00C52447">
        <w:fldChar w:fldCharType="begin"/>
      </w:r>
      <w:r w:rsidR="00C52447" w:rsidRPr="00C52447">
        <w:instrText xml:space="preserve"> REF _Ref10721434 \r \h </w:instrText>
      </w:r>
      <w:r w:rsidR="00C52447">
        <w:instrText xml:space="preserve"> \* MERGEFORMAT </w:instrText>
      </w:r>
      <w:r w:rsidR="00C52447" w:rsidRPr="00C52447">
        <w:fldChar w:fldCharType="separate"/>
      </w:r>
      <w:r w:rsidR="005D0B73">
        <w:t>8.5</w:t>
      </w:r>
      <w:r w:rsidR="00C52447" w:rsidRPr="00C52447">
        <w:fldChar w:fldCharType="end"/>
      </w:r>
      <w:r w:rsidRPr="00C52447">
        <w:t>).</w:t>
      </w:r>
      <w:r w:rsidRPr="00C52447">
        <w:rPr>
          <w:vertAlign w:val="superscript"/>
        </w:rPr>
        <w:footnoteReference w:id="254"/>
      </w:r>
      <w:r w:rsidRPr="00B969ED">
        <w:t xml:space="preserve"> The estimated avoided emissions were 2.07 ktons of </w:t>
      </w:r>
      <w:r w:rsidRPr="00C52447">
        <w:t>nitrogen oxides (NO</w:t>
      </w:r>
      <w:r w:rsidR="00C52447" w:rsidRPr="00C52447">
        <w:rPr>
          <w:vertAlign w:val="subscript"/>
        </w:rPr>
        <w:t>X</w:t>
      </w:r>
      <w:r w:rsidRPr="00C52447">
        <w:t xml:space="preserve">), 0.54 ktons of </w:t>
      </w:r>
      <w:r w:rsidR="006C1259">
        <w:t>sulfur dioxide (</w:t>
      </w:r>
      <w:r w:rsidRPr="00C52447">
        <w:t>SO</w:t>
      </w:r>
      <w:r w:rsidRPr="00C52447">
        <w:rPr>
          <w:vertAlign w:val="subscript"/>
        </w:rPr>
        <w:t>2</w:t>
      </w:r>
      <w:r w:rsidR="006C1259">
        <w:t>)</w:t>
      </w:r>
      <w:r w:rsidRPr="00C52447">
        <w:t>, and</w:t>
      </w:r>
      <w:r w:rsidR="00C52447">
        <w:t xml:space="preserve"> </w:t>
      </w:r>
      <w:r w:rsidRPr="00C52447">
        <w:rPr>
          <w:color w:val="1F497D"/>
        </w:rPr>
        <w:t>4</w:t>
      </w:r>
      <w:r w:rsidRPr="00C52447">
        <w:t xml:space="preserve">,746 ktons of </w:t>
      </w:r>
      <w:r w:rsidR="006C1259">
        <w:t>carbon dioxide (</w:t>
      </w:r>
      <w:r w:rsidRPr="00C52447">
        <w:t>CO</w:t>
      </w:r>
      <w:r w:rsidRPr="00C52447">
        <w:rPr>
          <w:vertAlign w:val="subscript"/>
        </w:rPr>
        <w:t>2</w:t>
      </w:r>
      <w:r w:rsidR="006C1259">
        <w:t>)</w:t>
      </w:r>
      <w:r w:rsidRPr="00C52447">
        <w:t xml:space="preserve">. </w:t>
      </w:r>
      <w:r w:rsidR="00C51B49" w:rsidRPr="00A03DBC">
        <w:rPr>
          <w:rFonts w:cs="Arial"/>
        </w:rPr>
        <w:fldChar w:fldCharType="begin"/>
      </w:r>
      <w:r w:rsidR="00C51B49" w:rsidRPr="00C51B49">
        <w:rPr>
          <w:rFonts w:cs="Arial"/>
        </w:rPr>
        <w:instrText xml:space="preserve"> REF _Ref7077068 \h  \* MERGEFORMAT </w:instrText>
      </w:r>
      <w:r w:rsidR="00C51B49" w:rsidRPr="00A03DBC">
        <w:rPr>
          <w:rFonts w:cs="Arial"/>
        </w:rPr>
      </w:r>
      <w:r w:rsidR="00C51B49" w:rsidRPr="00A03DBC">
        <w:rPr>
          <w:rFonts w:cs="Arial"/>
        </w:rPr>
        <w:fldChar w:fldCharType="separate"/>
      </w:r>
      <w:r w:rsidR="00C51B49" w:rsidRPr="00C51B49">
        <w:rPr>
          <w:rFonts w:cs="Arial"/>
          <w:bCs/>
          <w:szCs w:val="18"/>
        </w:rPr>
        <w:t>Table</w:t>
      </w:r>
      <w:r w:rsidR="00C51B49" w:rsidRPr="00C51B49">
        <w:rPr>
          <w:rFonts w:ascii="Calibri" w:hAnsi="Calibri"/>
          <w:b/>
          <w:bCs/>
          <w:szCs w:val="18"/>
        </w:rPr>
        <w:t> </w:t>
      </w:r>
      <w:r w:rsidR="00C51B49" w:rsidRPr="00646F7C">
        <w:rPr>
          <w:bCs/>
          <w:noProof/>
          <w:szCs w:val="18"/>
        </w:rPr>
        <w:t>6</w:t>
      </w:r>
      <w:r w:rsidR="00C51B49" w:rsidRPr="00646F7C">
        <w:rPr>
          <w:bCs/>
          <w:noProof/>
          <w:szCs w:val="18"/>
        </w:rPr>
        <w:noBreakHyphen/>
        <w:t>2</w:t>
      </w:r>
      <w:r w:rsidR="00C51B49" w:rsidRPr="00A03DBC">
        <w:rPr>
          <w:rFonts w:cs="Arial"/>
        </w:rPr>
        <w:fldChar w:fldCharType="end"/>
      </w:r>
      <w:r w:rsidRPr="00C51B49">
        <w:t xml:space="preserve"> shows the estimated avoided emissions due to imports from Québec, as well as from New</w:t>
      </w:r>
      <w:r w:rsidRPr="00B969ED">
        <w:t xml:space="preserve"> Brunswick and New York. </w:t>
      </w:r>
    </w:p>
    <w:p w14:paraId="7978A4DA" w14:textId="7CA473BE" w:rsidR="00B969ED" w:rsidRPr="00B969ED" w:rsidRDefault="00B969ED" w:rsidP="00B969ED">
      <w:pPr>
        <w:keepNext/>
        <w:keepLines/>
        <w:spacing w:after="120" w:line="240" w:lineRule="auto"/>
        <w:jc w:val="center"/>
        <w:rPr>
          <w:rFonts w:ascii="Calibri" w:hAnsi="Calibri"/>
          <w:b/>
          <w:bCs/>
          <w:color w:val="1F497D"/>
          <w:szCs w:val="18"/>
        </w:rPr>
      </w:pPr>
      <w:bookmarkStart w:id="797" w:name="_Ref7077068"/>
      <w:bookmarkStart w:id="798" w:name="_Toc12795347"/>
      <w:r w:rsidRPr="00B969ED">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6</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797"/>
      <w:r w:rsidRPr="00B969ED">
        <w:rPr>
          <w:rFonts w:ascii="Calibri" w:hAnsi="Calibri"/>
          <w:b/>
          <w:bCs/>
          <w:szCs w:val="18"/>
        </w:rPr>
        <w:br/>
        <w:t xml:space="preserve">Estimated Avoided Emissions </w:t>
      </w:r>
      <w:r w:rsidR="007B390D">
        <w:rPr>
          <w:rFonts w:ascii="Calibri" w:hAnsi="Calibri"/>
          <w:b/>
          <w:bCs/>
          <w:szCs w:val="18"/>
        </w:rPr>
        <w:t xml:space="preserve">in New England </w:t>
      </w:r>
      <w:r w:rsidRPr="00B969ED">
        <w:rPr>
          <w:rFonts w:ascii="Calibri" w:hAnsi="Calibri"/>
          <w:b/>
          <w:bCs/>
          <w:szCs w:val="18"/>
        </w:rPr>
        <w:t>Due to Imports</w:t>
      </w:r>
      <w:r w:rsidRPr="00B969ED">
        <w:rPr>
          <w:rFonts w:ascii="Calibri" w:hAnsi="Calibri"/>
          <w:b/>
          <w:bCs/>
          <w:szCs w:val="18"/>
          <w:vertAlign w:val="superscript"/>
        </w:rPr>
        <w:t>(a)</w:t>
      </w:r>
      <w:bookmarkEnd w:id="798"/>
    </w:p>
    <w:tbl>
      <w:tblPr>
        <w:tblW w:w="5313" w:type="dxa"/>
        <w:jc w:val="center"/>
        <w:tblCellMar>
          <w:left w:w="0" w:type="dxa"/>
          <w:right w:w="0" w:type="dxa"/>
        </w:tblCellMar>
        <w:tblLook w:val="04A0" w:firstRow="1" w:lastRow="0" w:firstColumn="1" w:lastColumn="0" w:noHBand="0" w:noVBand="1"/>
      </w:tblPr>
      <w:tblGrid>
        <w:gridCol w:w="1439"/>
        <w:gridCol w:w="1174"/>
        <w:gridCol w:w="900"/>
        <w:gridCol w:w="840"/>
        <w:gridCol w:w="960"/>
      </w:tblGrid>
      <w:tr w:rsidR="00B969ED" w:rsidRPr="00B969ED" w14:paraId="1635F337" w14:textId="77777777" w:rsidTr="004C7089">
        <w:trPr>
          <w:trHeight w:val="375"/>
          <w:jc w:val="center"/>
        </w:trPr>
        <w:tc>
          <w:tcPr>
            <w:tcW w:w="1439"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14:paraId="24593369" w14:textId="08530762" w:rsidR="00B969ED" w:rsidRPr="009F3091" w:rsidRDefault="00AD3541" w:rsidP="009F3091">
            <w:pPr>
              <w:keepNext/>
              <w:keepLines/>
              <w:spacing w:before="40" w:after="40" w:line="240" w:lineRule="auto"/>
              <w:jc w:val="center"/>
              <w:rPr>
                <w:rFonts w:asciiTheme="minorHAnsi" w:hAnsiTheme="minorHAnsi" w:cstheme="minorHAnsi"/>
                <w:b/>
                <w:color w:val="FFFFFF" w:themeColor="background1"/>
                <w:sz w:val="18"/>
                <w:szCs w:val="18"/>
              </w:rPr>
            </w:pPr>
            <w:r w:rsidRPr="009F3091">
              <w:rPr>
                <w:rFonts w:asciiTheme="minorHAnsi" w:hAnsiTheme="minorHAnsi" w:cstheme="minorHAnsi"/>
                <w:b/>
                <w:color w:val="FFFFFF" w:themeColor="background1"/>
                <w:sz w:val="18"/>
                <w:szCs w:val="18"/>
              </w:rPr>
              <w:t>Point of Interconnection</w:t>
            </w:r>
          </w:p>
        </w:tc>
        <w:tc>
          <w:tcPr>
            <w:tcW w:w="1174" w:type="dxa"/>
            <w:tcBorders>
              <w:top w:val="single" w:sz="2" w:space="0" w:color="auto"/>
              <w:left w:val="single" w:sz="2" w:space="0" w:color="auto"/>
              <w:bottom w:val="single" w:sz="2" w:space="0" w:color="auto"/>
              <w:right w:val="single" w:sz="2" w:space="0" w:color="auto"/>
            </w:tcBorders>
            <w:shd w:val="clear" w:color="auto" w:fill="1795D2" w:themeFill="accent1"/>
          </w:tcPr>
          <w:p w14:paraId="22D05354" w14:textId="4F66CA4D" w:rsidR="00B969ED" w:rsidRPr="00B969ED" w:rsidRDefault="00B969ED" w:rsidP="00762226">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Imports</w:t>
            </w:r>
            <w:r w:rsidR="00944C52">
              <w:rPr>
                <w:rFonts w:asciiTheme="minorHAnsi" w:hAnsiTheme="minorHAnsi" w:cstheme="minorHAnsi"/>
                <w:b/>
                <w:bCs/>
                <w:color w:val="FFFFFF" w:themeColor="background1"/>
                <w:sz w:val="18"/>
                <w:szCs w:val="18"/>
              </w:rPr>
              <w:br/>
            </w:r>
            <w:r w:rsidRPr="00B969ED">
              <w:rPr>
                <w:rFonts w:asciiTheme="minorHAnsi" w:hAnsiTheme="minorHAnsi" w:cstheme="minorHAnsi"/>
                <w:b/>
                <w:bCs/>
                <w:color w:val="FFFFFF" w:themeColor="background1"/>
                <w:sz w:val="18"/>
                <w:szCs w:val="18"/>
              </w:rPr>
              <w:t>(GWh)</w:t>
            </w:r>
          </w:p>
        </w:tc>
        <w:tc>
          <w:tcPr>
            <w:tcW w:w="90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14:paraId="4438D023" w14:textId="356BDAF1" w:rsidR="00B969ED" w:rsidRPr="00B969ED" w:rsidRDefault="00B969ED" w:rsidP="001B3117">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NO</w:t>
            </w:r>
            <w:r w:rsidRPr="00B969ED">
              <w:rPr>
                <w:rFonts w:asciiTheme="minorHAnsi" w:hAnsiTheme="minorHAnsi" w:cstheme="minorHAnsi"/>
                <w:b/>
                <w:bCs/>
                <w:color w:val="FFFFFF" w:themeColor="background1"/>
                <w:sz w:val="18"/>
                <w:szCs w:val="18"/>
                <w:vertAlign w:val="subscript"/>
              </w:rPr>
              <w:t>X</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c>
          <w:tcPr>
            <w:tcW w:w="84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14:paraId="4F794366" w14:textId="05BB29C5" w:rsidR="00B969ED" w:rsidRPr="00B969ED" w:rsidRDefault="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SO</w:t>
            </w:r>
            <w:r w:rsidRPr="00B969ED">
              <w:rPr>
                <w:rFonts w:asciiTheme="minorHAnsi" w:hAnsiTheme="minorHAnsi" w:cstheme="minorHAnsi"/>
                <w:b/>
                <w:bCs/>
                <w:color w:val="FFFFFF" w:themeColor="background1"/>
                <w:sz w:val="18"/>
                <w:szCs w:val="18"/>
                <w:vertAlign w:val="subscript"/>
              </w:rPr>
              <w:t>2</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c>
          <w:tcPr>
            <w:tcW w:w="96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14:paraId="0D1FC0D9" w14:textId="783E125A" w:rsidR="00B969ED" w:rsidRPr="00B969ED" w:rsidRDefault="00B969ED">
            <w:pPr>
              <w:keepNext/>
              <w:keepLines/>
              <w:spacing w:before="40" w:after="40" w:line="240" w:lineRule="auto"/>
              <w:jc w:val="center"/>
              <w:rPr>
                <w:rFonts w:asciiTheme="minorHAnsi" w:hAnsiTheme="minorHAnsi" w:cstheme="minorHAnsi"/>
                <w:b/>
                <w:bCs/>
                <w:color w:val="FFFFFF" w:themeColor="background1"/>
                <w:sz w:val="18"/>
                <w:szCs w:val="18"/>
              </w:rPr>
            </w:pPr>
            <w:r w:rsidRPr="00B969ED">
              <w:rPr>
                <w:rFonts w:asciiTheme="minorHAnsi" w:hAnsiTheme="minorHAnsi" w:cstheme="minorHAnsi"/>
                <w:b/>
                <w:bCs/>
                <w:color w:val="FFFFFF" w:themeColor="background1"/>
                <w:sz w:val="18"/>
                <w:szCs w:val="18"/>
              </w:rPr>
              <w:t>CO</w:t>
            </w:r>
            <w:r w:rsidRPr="00B969ED">
              <w:rPr>
                <w:rFonts w:asciiTheme="minorHAnsi" w:hAnsiTheme="minorHAnsi" w:cstheme="minorHAnsi"/>
                <w:b/>
                <w:bCs/>
                <w:color w:val="FFFFFF" w:themeColor="background1"/>
                <w:sz w:val="18"/>
                <w:szCs w:val="18"/>
                <w:vertAlign w:val="subscript"/>
              </w:rPr>
              <w:t>2</w:t>
            </w:r>
            <w:r w:rsidR="00944C52">
              <w:rPr>
                <w:rFonts w:asciiTheme="minorHAnsi" w:hAnsiTheme="minorHAnsi" w:cstheme="minorHAnsi"/>
                <w:b/>
                <w:bCs/>
                <w:color w:val="FFFFFF" w:themeColor="background1"/>
                <w:sz w:val="18"/>
                <w:szCs w:val="18"/>
                <w:vertAlign w:val="subscript"/>
              </w:rPr>
              <w:br/>
            </w:r>
            <w:r w:rsidRPr="00B969ED">
              <w:rPr>
                <w:rFonts w:asciiTheme="minorHAnsi" w:hAnsiTheme="minorHAnsi" w:cstheme="minorHAnsi"/>
                <w:b/>
                <w:bCs/>
                <w:color w:val="FFFFFF" w:themeColor="background1"/>
                <w:sz w:val="18"/>
                <w:szCs w:val="18"/>
              </w:rPr>
              <w:t>(ktons)</w:t>
            </w:r>
          </w:p>
        </w:tc>
      </w:tr>
      <w:tr w:rsidR="00B969ED" w:rsidRPr="00B969ED" w14:paraId="74634D53" w14:textId="77777777"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14:paraId="2EC0492B" w14:textId="6B6F853C" w:rsidR="00B969ED" w:rsidRPr="00B969ED" w:rsidRDefault="00B969ED" w:rsidP="00AD3541">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Québec </w:t>
            </w:r>
          </w:p>
        </w:tc>
        <w:tc>
          <w:tcPr>
            <w:tcW w:w="1174" w:type="dxa"/>
            <w:tcBorders>
              <w:top w:val="single" w:sz="2" w:space="0" w:color="auto"/>
              <w:left w:val="single" w:sz="2" w:space="0" w:color="auto"/>
              <w:bottom w:val="single" w:sz="2" w:space="0" w:color="auto"/>
              <w:right w:val="single" w:sz="2" w:space="0" w:color="auto"/>
            </w:tcBorders>
            <w:tcMar>
              <w:right w:w="115" w:type="dxa"/>
            </w:tcMar>
          </w:tcPr>
          <w:p w14:paraId="21C3B557"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13,919</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6C107F5A"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2.09</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4FF29B1A"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0.56</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29351494" w14:textId="77777777"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4,746</w:t>
            </w:r>
          </w:p>
        </w:tc>
      </w:tr>
      <w:tr w:rsidR="00B969ED" w:rsidRPr="00B969ED" w14:paraId="17F8754E" w14:textId="77777777" w:rsidTr="00944C52">
        <w:trPr>
          <w:trHeight w:val="300"/>
          <w:jc w:val="center"/>
        </w:trPr>
        <w:tc>
          <w:tcPr>
            <w:tcW w:w="1439"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08" w:type="dxa"/>
            </w:tcMar>
            <w:vAlign w:val="bottom"/>
            <w:hideMark/>
          </w:tcPr>
          <w:p w14:paraId="209A6802" w14:textId="77777777"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Brunswick </w:t>
            </w:r>
          </w:p>
        </w:tc>
        <w:tc>
          <w:tcPr>
            <w:tcW w:w="117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right w:w="115" w:type="dxa"/>
            </w:tcMar>
          </w:tcPr>
          <w:p w14:paraId="5E94DC22"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4,058</w:t>
            </w:r>
          </w:p>
        </w:tc>
        <w:tc>
          <w:tcPr>
            <w:tcW w:w="90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14:paraId="0FCDE22A"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0.61</w:t>
            </w:r>
          </w:p>
        </w:tc>
        <w:tc>
          <w:tcPr>
            <w:tcW w:w="84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14:paraId="686A289E"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0.16</w:t>
            </w:r>
          </w:p>
        </w:tc>
        <w:tc>
          <w:tcPr>
            <w:tcW w:w="960"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0" w:type="dxa"/>
              <w:left w:w="108" w:type="dxa"/>
              <w:bottom w:w="0" w:type="dxa"/>
              <w:right w:w="115" w:type="dxa"/>
            </w:tcMar>
            <w:vAlign w:val="bottom"/>
            <w:hideMark/>
          </w:tcPr>
          <w:p w14:paraId="4BA51A8D" w14:textId="77777777"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1,384</w:t>
            </w:r>
          </w:p>
        </w:tc>
      </w:tr>
      <w:tr w:rsidR="00B969ED" w:rsidRPr="00B969ED" w14:paraId="27F01FAC" w14:textId="77777777" w:rsidTr="004C7089">
        <w:trPr>
          <w:trHeight w:val="300"/>
          <w:jc w:val="center"/>
        </w:trPr>
        <w:tc>
          <w:tcPr>
            <w:tcW w:w="1439"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08" w:type="dxa"/>
            </w:tcMar>
            <w:vAlign w:val="bottom"/>
            <w:hideMark/>
          </w:tcPr>
          <w:p w14:paraId="31B90242" w14:textId="77777777" w:rsidR="00B969ED" w:rsidRPr="00B969ED" w:rsidRDefault="00B969ED" w:rsidP="00B969ED">
            <w:pPr>
              <w:keepNext/>
              <w:keepLines/>
              <w:spacing w:before="40" w:after="40" w:line="240" w:lineRule="auto"/>
              <w:rPr>
                <w:rFonts w:asciiTheme="minorHAnsi" w:hAnsiTheme="minorHAnsi" w:cstheme="minorHAnsi"/>
                <w:b/>
                <w:sz w:val="18"/>
                <w:szCs w:val="18"/>
              </w:rPr>
            </w:pPr>
            <w:r w:rsidRPr="00B969ED">
              <w:rPr>
                <w:rFonts w:asciiTheme="minorHAnsi" w:hAnsiTheme="minorHAnsi" w:cstheme="minorHAnsi"/>
                <w:b/>
                <w:sz w:val="18"/>
                <w:szCs w:val="18"/>
              </w:rPr>
              <w:t xml:space="preserve">New York </w:t>
            </w:r>
          </w:p>
        </w:tc>
        <w:tc>
          <w:tcPr>
            <w:tcW w:w="1174" w:type="dxa"/>
            <w:tcBorders>
              <w:top w:val="single" w:sz="2" w:space="0" w:color="auto"/>
              <w:left w:val="single" w:sz="2" w:space="0" w:color="auto"/>
              <w:bottom w:val="single" w:sz="2" w:space="0" w:color="auto"/>
              <w:right w:val="single" w:sz="2" w:space="0" w:color="auto"/>
            </w:tcBorders>
            <w:tcMar>
              <w:right w:w="115" w:type="dxa"/>
            </w:tcMar>
          </w:tcPr>
          <w:p w14:paraId="21987E69"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bCs/>
                <w:color w:val="000000"/>
                <w:sz w:val="18"/>
                <w:szCs w:val="18"/>
              </w:rPr>
              <w:t>5,572</w:t>
            </w:r>
          </w:p>
        </w:tc>
        <w:tc>
          <w:tcPr>
            <w:tcW w:w="90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72365337"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0.84</w:t>
            </w:r>
          </w:p>
        </w:tc>
        <w:tc>
          <w:tcPr>
            <w:tcW w:w="84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2923535A" w14:textId="77777777" w:rsidR="00B969ED" w:rsidRPr="00B969ED" w:rsidRDefault="00B969ED" w:rsidP="00B969ED">
            <w:pPr>
              <w:keepNext/>
              <w:keepLines/>
              <w:spacing w:before="40" w:after="40" w:line="240" w:lineRule="auto"/>
              <w:jc w:val="right"/>
              <w:rPr>
                <w:rFonts w:asciiTheme="minorHAnsi" w:hAnsiTheme="minorHAnsi" w:cstheme="minorHAnsi"/>
                <w:color w:val="000000"/>
                <w:sz w:val="18"/>
                <w:szCs w:val="18"/>
              </w:rPr>
            </w:pPr>
            <w:r w:rsidRPr="00B969ED">
              <w:rPr>
                <w:rFonts w:asciiTheme="minorHAnsi" w:hAnsiTheme="minorHAnsi" w:cstheme="minorHAnsi"/>
                <w:color w:val="000000"/>
                <w:sz w:val="18"/>
                <w:szCs w:val="18"/>
              </w:rPr>
              <w:t>0.22</w:t>
            </w:r>
          </w:p>
        </w:tc>
        <w:tc>
          <w:tcPr>
            <w:tcW w:w="960" w:type="dxa"/>
            <w:tcBorders>
              <w:top w:val="single" w:sz="2" w:space="0" w:color="auto"/>
              <w:left w:val="single" w:sz="2" w:space="0" w:color="auto"/>
              <w:bottom w:val="single" w:sz="2" w:space="0" w:color="auto"/>
              <w:right w:val="single" w:sz="2" w:space="0" w:color="auto"/>
            </w:tcBorders>
            <w:noWrap/>
            <w:tcMar>
              <w:top w:w="0" w:type="dxa"/>
              <w:left w:w="108" w:type="dxa"/>
              <w:bottom w:w="0" w:type="dxa"/>
              <w:right w:w="115" w:type="dxa"/>
            </w:tcMar>
            <w:vAlign w:val="bottom"/>
            <w:hideMark/>
          </w:tcPr>
          <w:p w14:paraId="4B416C9A" w14:textId="77777777" w:rsidR="00B969ED" w:rsidRPr="00B969ED" w:rsidRDefault="00B969ED" w:rsidP="00B969ED">
            <w:pPr>
              <w:keepNext/>
              <w:keepLines/>
              <w:spacing w:before="40" w:after="40" w:line="240" w:lineRule="auto"/>
              <w:jc w:val="right"/>
              <w:rPr>
                <w:rFonts w:asciiTheme="minorHAnsi" w:hAnsiTheme="minorHAnsi" w:cstheme="minorHAnsi"/>
                <w:sz w:val="18"/>
                <w:szCs w:val="18"/>
              </w:rPr>
            </w:pPr>
            <w:r w:rsidRPr="00B969ED">
              <w:rPr>
                <w:rFonts w:asciiTheme="minorHAnsi" w:hAnsiTheme="minorHAnsi" w:cstheme="minorHAnsi"/>
                <w:sz w:val="18"/>
                <w:szCs w:val="18"/>
              </w:rPr>
              <w:t>1,900</w:t>
            </w:r>
          </w:p>
        </w:tc>
      </w:tr>
      <w:tr w:rsidR="00944C52" w:rsidRPr="00944C52" w14:paraId="1BFC81EA" w14:textId="77777777" w:rsidTr="00944C52">
        <w:trPr>
          <w:trHeight w:val="300"/>
          <w:jc w:val="center"/>
        </w:trPr>
        <w:tc>
          <w:tcPr>
            <w:tcW w:w="1439"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08" w:type="dxa"/>
            </w:tcMar>
            <w:vAlign w:val="bottom"/>
            <w:hideMark/>
          </w:tcPr>
          <w:p w14:paraId="41FBC727" w14:textId="77777777" w:rsidR="00B969ED" w:rsidRPr="00944C52" w:rsidRDefault="00B969ED" w:rsidP="00B969ED">
            <w:pPr>
              <w:keepNext/>
              <w:keepLines/>
              <w:spacing w:before="40" w:after="40" w:line="240" w:lineRule="auto"/>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 xml:space="preserve">Total </w:t>
            </w:r>
          </w:p>
        </w:tc>
        <w:tc>
          <w:tcPr>
            <w:tcW w:w="1174" w:type="dxa"/>
            <w:tcBorders>
              <w:top w:val="single" w:sz="2" w:space="0" w:color="auto"/>
              <w:left w:val="single" w:sz="2" w:space="0" w:color="auto"/>
              <w:bottom w:val="single" w:sz="2" w:space="0" w:color="auto"/>
              <w:right w:val="single" w:sz="2" w:space="0" w:color="auto"/>
            </w:tcBorders>
            <w:shd w:val="clear" w:color="auto" w:fill="1795D2" w:themeFill="accent1"/>
            <w:tcMar>
              <w:right w:w="115" w:type="dxa"/>
            </w:tcMar>
          </w:tcPr>
          <w:p w14:paraId="7313E973" w14:textId="77777777"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23,549</w:t>
            </w:r>
          </w:p>
        </w:tc>
        <w:tc>
          <w:tcPr>
            <w:tcW w:w="90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14:paraId="5DEFC927" w14:textId="77777777"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3.53</w:t>
            </w:r>
          </w:p>
        </w:tc>
        <w:tc>
          <w:tcPr>
            <w:tcW w:w="84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14:paraId="5304B80E" w14:textId="77777777"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0.94</w:t>
            </w:r>
          </w:p>
        </w:tc>
        <w:tc>
          <w:tcPr>
            <w:tcW w:w="960" w:type="dxa"/>
            <w:tcBorders>
              <w:top w:val="single" w:sz="2" w:space="0" w:color="auto"/>
              <w:left w:val="single" w:sz="2" w:space="0" w:color="auto"/>
              <w:bottom w:val="single" w:sz="2" w:space="0" w:color="auto"/>
              <w:right w:val="single" w:sz="2" w:space="0" w:color="auto"/>
            </w:tcBorders>
            <w:shd w:val="clear" w:color="auto" w:fill="1795D2" w:themeFill="accent1"/>
            <w:noWrap/>
            <w:tcMar>
              <w:top w:w="0" w:type="dxa"/>
              <w:left w:w="108" w:type="dxa"/>
              <w:bottom w:w="0" w:type="dxa"/>
              <w:right w:w="115" w:type="dxa"/>
            </w:tcMar>
            <w:vAlign w:val="bottom"/>
            <w:hideMark/>
          </w:tcPr>
          <w:p w14:paraId="7715D796" w14:textId="77777777" w:rsidR="00B969ED" w:rsidRPr="00944C52" w:rsidRDefault="00B969ED" w:rsidP="00B969ED">
            <w:pPr>
              <w:keepNext/>
              <w:keepLines/>
              <w:spacing w:before="40" w:after="40" w:line="240" w:lineRule="auto"/>
              <w:jc w:val="right"/>
              <w:rPr>
                <w:rFonts w:asciiTheme="minorHAnsi" w:hAnsiTheme="minorHAnsi" w:cstheme="minorHAnsi"/>
                <w:b/>
                <w:bCs/>
                <w:color w:val="FFFFFF" w:themeColor="background1"/>
                <w:sz w:val="18"/>
                <w:szCs w:val="18"/>
              </w:rPr>
            </w:pPr>
            <w:r w:rsidRPr="00944C52">
              <w:rPr>
                <w:rFonts w:asciiTheme="minorHAnsi" w:hAnsiTheme="minorHAnsi" w:cstheme="minorHAnsi"/>
                <w:b/>
                <w:bCs/>
                <w:color w:val="FFFFFF" w:themeColor="background1"/>
                <w:sz w:val="18"/>
                <w:szCs w:val="18"/>
              </w:rPr>
              <w:t>8,030</w:t>
            </w:r>
          </w:p>
        </w:tc>
      </w:tr>
    </w:tbl>
    <w:p w14:paraId="40B6CB85" w14:textId="1F40FE92" w:rsidR="009F3091" w:rsidRPr="00B31FEF" w:rsidRDefault="00B969ED" w:rsidP="009F3091">
      <w:pPr>
        <w:pStyle w:val="ListParagraph"/>
        <w:keepNext/>
        <w:keepLines/>
        <w:numPr>
          <w:ilvl w:val="0"/>
          <w:numId w:val="749"/>
        </w:numPr>
        <w:tabs>
          <w:tab w:val="left" w:pos="2070"/>
        </w:tabs>
        <w:spacing w:before="120" w:after="240" w:line="240" w:lineRule="auto"/>
        <w:ind w:left="2070" w:right="1886" w:hanging="234"/>
        <w:rPr>
          <w:rFonts w:asciiTheme="minorHAnsi" w:hAnsiTheme="minorHAnsi"/>
          <w:sz w:val="16"/>
          <w:szCs w:val="16"/>
        </w:rPr>
      </w:pPr>
      <w:r w:rsidRPr="00AE7E0C">
        <w:rPr>
          <w:rFonts w:asciiTheme="minorHAnsi" w:hAnsiTheme="minorHAnsi"/>
          <w:sz w:val="16"/>
          <w:szCs w:val="16"/>
        </w:rPr>
        <w:t xml:space="preserve">Emissions are based on 2017 system emission rates as reported in the </w:t>
      </w:r>
      <w:r w:rsidRPr="00AE7E0C">
        <w:rPr>
          <w:rFonts w:asciiTheme="minorHAnsi" w:hAnsiTheme="minorHAnsi"/>
          <w:i/>
          <w:sz w:val="16"/>
          <w:szCs w:val="16"/>
        </w:rPr>
        <w:t>2017 ISO New England Electric Generator Air Emissio</w:t>
      </w:r>
      <w:r w:rsidRPr="009C22B0">
        <w:rPr>
          <w:rFonts w:asciiTheme="minorHAnsi" w:hAnsiTheme="minorHAnsi"/>
          <w:i/>
          <w:sz w:val="16"/>
          <w:szCs w:val="16"/>
        </w:rPr>
        <w:t>ns Report</w:t>
      </w:r>
      <w:r w:rsidR="00AE7E0C" w:rsidRPr="009C22B0">
        <w:rPr>
          <w:rFonts w:asciiTheme="minorHAnsi" w:hAnsiTheme="minorHAnsi"/>
          <w:i/>
          <w:sz w:val="16"/>
          <w:szCs w:val="16"/>
        </w:rPr>
        <w:t xml:space="preserve"> </w:t>
      </w:r>
      <w:r w:rsidR="00AE7E0C" w:rsidRPr="009C22B0">
        <w:rPr>
          <w:rFonts w:asciiTheme="minorHAnsi" w:hAnsiTheme="minorHAnsi"/>
          <w:sz w:val="16"/>
          <w:szCs w:val="16"/>
        </w:rPr>
        <w:t xml:space="preserve">(April 2019),  </w:t>
      </w:r>
      <w:hyperlink r:id="rId57" w:history="1">
        <w:r w:rsidR="00AE7E0C" w:rsidRPr="009C22B0">
          <w:rPr>
            <w:rFonts w:asciiTheme="minorHAnsi" w:hAnsiTheme="minorHAnsi"/>
            <w:color w:val="000000"/>
            <w:sz w:val="16"/>
            <w:szCs w:val="16"/>
          </w:rPr>
          <w:t>https://www.iso-ne.com/static-assets/documents/2019/04/2017_emissions_report.pdf</w:t>
        </w:r>
      </w:hyperlink>
      <w:r w:rsidRPr="009C22B0">
        <w:rPr>
          <w:rFonts w:asciiTheme="minorHAnsi" w:hAnsiTheme="minorHAnsi"/>
          <w:sz w:val="16"/>
          <w:szCs w:val="16"/>
        </w:rPr>
        <w:t>. These rates are 0.</w:t>
      </w:r>
      <w:r w:rsidR="00944C52" w:rsidRPr="009C22B0">
        <w:rPr>
          <w:rFonts w:asciiTheme="minorHAnsi" w:hAnsiTheme="minorHAnsi"/>
          <w:sz w:val="16"/>
          <w:szCs w:val="16"/>
        </w:rPr>
        <w:t>30</w:t>
      </w:r>
      <w:r w:rsidR="00944C52">
        <w:rPr>
          <w:rFonts w:asciiTheme="minorHAnsi" w:hAnsiTheme="minorHAnsi"/>
          <w:sz w:val="16"/>
          <w:szCs w:val="16"/>
        </w:rPr>
        <w:t> </w:t>
      </w:r>
      <w:r w:rsidRPr="009C22B0">
        <w:rPr>
          <w:rFonts w:asciiTheme="minorHAnsi" w:hAnsiTheme="minorHAnsi"/>
          <w:sz w:val="16"/>
          <w:szCs w:val="16"/>
        </w:rPr>
        <w:t>lb/MWh for NO</w:t>
      </w:r>
      <w:r w:rsidRPr="009C22B0">
        <w:rPr>
          <w:rFonts w:asciiTheme="minorHAnsi" w:hAnsiTheme="minorHAnsi"/>
          <w:sz w:val="16"/>
          <w:szCs w:val="16"/>
          <w:vertAlign w:val="subscript"/>
        </w:rPr>
        <w:t>X</w:t>
      </w:r>
      <w:r w:rsidRPr="009C22B0">
        <w:rPr>
          <w:rFonts w:asciiTheme="minorHAnsi" w:hAnsiTheme="minorHAnsi"/>
          <w:sz w:val="16"/>
          <w:szCs w:val="16"/>
        </w:rPr>
        <w:t>, 0.08 lb/MWh for SO</w:t>
      </w:r>
      <w:r w:rsidRPr="009C22B0">
        <w:rPr>
          <w:rFonts w:asciiTheme="minorHAnsi" w:hAnsiTheme="minorHAnsi"/>
          <w:sz w:val="16"/>
          <w:szCs w:val="16"/>
          <w:vertAlign w:val="subscript"/>
        </w:rPr>
        <w:t>2</w:t>
      </w:r>
      <w:r w:rsidRPr="009C22B0">
        <w:rPr>
          <w:rFonts w:asciiTheme="minorHAnsi" w:hAnsiTheme="minorHAnsi"/>
          <w:sz w:val="16"/>
          <w:szCs w:val="16"/>
        </w:rPr>
        <w:t>, and 682 lb/MWh for CO</w:t>
      </w:r>
      <w:r w:rsidRPr="009C22B0">
        <w:rPr>
          <w:rFonts w:asciiTheme="minorHAnsi" w:hAnsiTheme="minorHAnsi"/>
          <w:sz w:val="16"/>
          <w:szCs w:val="16"/>
          <w:vertAlign w:val="subscript"/>
        </w:rPr>
        <w:t>2</w:t>
      </w:r>
      <w:r w:rsidRPr="009C22B0">
        <w:rPr>
          <w:rFonts w:asciiTheme="minorHAnsi" w:hAnsiTheme="minorHAnsi"/>
          <w:sz w:val="16"/>
          <w:szCs w:val="16"/>
        </w:rPr>
        <w:t>.</w:t>
      </w:r>
      <w:r w:rsidR="00C52447" w:rsidRPr="009C22B0">
        <w:rPr>
          <w:rFonts w:asciiTheme="minorHAnsi" w:hAnsiTheme="minorHAnsi"/>
          <w:sz w:val="16"/>
          <w:szCs w:val="16"/>
        </w:rPr>
        <w:t xml:space="preserve"> The data do not </w:t>
      </w:r>
      <w:r w:rsidR="007B390D" w:rsidRPr="009C22B0">
        <w:rPr>
          <w:rFonts w:asciiTheme="minorHAnsi" w:hAnsiTheme="minorHAnsi"/>
          <w:sz w:val="16"/>
          <w:szCs w:val="16"/>
        </w:rPr>
        <w:t>account for emissions in other systems</w:t>
      </w:r>
      <w:r w:rsidR="00C52447" w:rsidRPr="009C22B0">
        <w:rPr>
          <w:rFonts w:asciiTheme="minorHAnsi" w:hAnsiTheme="minorHAnsi"/>
          <w:sz w:val="16"/>
          <w:szCs w:val="16"/>
        </w:rPr>
        <w:t>.</w:t>
      </w:r>
      <w:r w:rsidR="00AE7E0C" w:rsidRPr="009C22B0">
        <w:rPr>
          <w:rFonts w:asciiTheme="minorHAnsi" w:hAnsiTheme="minorHAnsi"/>
          <w:sz w:val="16"/>
          <w:szCs w:val="16"/>
        </w:rPr>
        <w:t xml:space="preserve"> </w:t>
      </w:r>
      <w:r w:rsidR="00AE7E0C" w:rsidRPr="009F3091">
        <w:rPr>
          <w:rFonts w:asciiTheme="minorHAnsi" w:hAnsiTheme="minorHAnsi"/>
          <w:sz w:val="16"/>
          <w:szCs w:val="16"/>
        </w:rPr>
        <w:t>The 2017 emissions report includes additional information</w:t>
      </w:r>
      <w:r w:rsidR="0037199D" w:rsidRPr="009F3091">
        <w:rPr>
          <w:rFonts w:asciiTheme="minorHAnsi" w:hAnsiTheme="minorHAnsi"/>
          <w:sz w:val="16"/>
          <w:szCs w:val="16"/>
        </w:rPr>
        <w:t xml:space="preserve"> regarding </w:t>
      </w:r>
      <w:r w:rsidR="00AE7E0C" w:rsidRPr="009F3091">
        <w:rPr>
          <w:rFonts w:asciiTheme="minorHAnsi" w:hAnsiTheme="minorHAnsi"/>
          <w:sz w:val="16"/>
          <w:szCs w:val="16"/>
        </w:rPr>
        <w:t>average incremental emissions</w:t>
      </w:r>
      <w:r w:rsidR="0037199D" w:rsidRPr="009F3091">
        <w:rPr>
          <w:rFonts w:asciiTheme="minorHAnsi" w:hAnsiTheme="minorHAnsi"/>
          <w:sz w:val="16"/>
          <w:szCs w:val="16"/>
        </w:rPr>
        <w:t>,</w:t>
      </w:r>
      <w:r w:rsidR="00AE7E0C" w:rsidRPr="009F3091">
        <w:rPr>
          <w:rFonts w:asciiTheme="minorHAnsi" w:hAnsiTheme="minorHAnsi"/>
          <w:sz w:val="16"/>
          <w:szCs w:val="16"/>
        </w:rPr>
        <w:t xml:space="preserve"> </w:t>
      </w:r>
      <w:r w:rsidR="009C22B0" w:rsidRPr="009F3091">
        <w:rPr>
          <w:rFonts w:asciiTheme="minorHAnsi" w:hAnsiTheme="minorHAnsi"/>
          <w:sz w:val="16"/>
          <w:szCs w:val="16"/>
        </w:rPr>
        <w:t xml:space="preserve">which can be </w:t>
      </w:r>
      <w:r w:rsidR="00AE7E0C" w:rsidRPr="009F3091">
        <w:rPr>
          <w:rFonts w:asciiTheme="minorHAnsi" w:hAnsiTheme="minorHAnsi"/>
          <w:sz w:val="16"/>
          <w:szCs w:val="16"/>
        </w:rPr>
        <w:t xml:space="preserve">supplemented with </w:t>
      </w:r>
      <w:r w:rsidR="009C22B0" w:rsidRPr="009F3091">
        <w:rPr>
          <w:rFonts w:asciiTheme="minorHAnsi" w:hAnsiTheme="minorHAnsi"/>
          <w:sz w:val="16"/>
          <w:szCs w:val="16"/>
        </w:rPr>
        <w:t>a January 2019 Environmental Advisory Group (EAG) p</w:t>
      </w:r>
      <w:r w:rsidR="00AE7E0C" w:rsidRPr="009F3091">
        <w:rPr>
          <w:rFonts w:asciiTheme="minorHAnsi" w:hAnsiTheme="minorHAnsi"/>
          <w:sz w:val="16"/>
          <w:szCs w:val="16"/>
        </w:rPr>
        <w:t>resentation</w:t>
      </w:r>
      <w:r w:rsidR="009C22B0" w:rsidRPr="009F3091">
        <w:rPr>
          <w:rFonts w:asciiTheme="minorHAnsi" w:hAnsiTheme="minorHAnsi"/>
          <w:sz w:val="16"/>
          <w:szCs w:val="16"/>
        </w:rPr>
        <w:t xml:space="preserve"> that </w:t>
      </w:r>
      <w:r w:rsidR="00AE7E0C" w:rsidRPr="009F3091">
        <w:rPr>
          <w:rFonts w:asciiTheme="minorHAnsi" w:hAnsiTheme="minorHAnsi"/>
          <w:sz w:val="16"/>
          <w:szCs w:val="16"/>
        </w:rPr>
        <w:t>included the load-weighted percentage marginal fuel type by month</w:t>
      </w:r>
      <w:r w:rsidR="009C22B0" w:rsidRPr="009F3091">
        <w:rPr>
          <w:rFonts w:asciiTheme="minorHAnsi" w:hAnsiTheme="minorHAnsi"/>
          <w:sz w:val="16"/>
          <w:szCs w:val="16"/>
        </w:rPr>
        <w:t xml:space="preserve">. See </w:t>
      </w:r>
      <w:r w:rsidR="009C22B0" w:rsidRPr="009F3091">
        <w:rPr>
          <w:rFonts w:asciiTheme="minorHAnsi" w:hAnsiTheme="minorHAnsi"/>
          <w:i/>
          <w:sz w:val="16"/>
          <w:szCs w:val="16"/>
        </w:rPr>
        <w:t>Environmental Regulatory Update</w:t>
      </w:r>
      <w:r w:rsidR="009C22B0" w:rsidRPr="009F3091">
        <w:rPr>
          <w:rFonts w:asciiTheme="minorHAnsi" w:hAnsiTheme="minorHAnsi"/>
          <w:sz w:val="16"/>
          <w:szCs w:val="16"/>
        </w:rPr>
        <w:t xml:space="preserve"> (January 29, 2019), slide 25, </w:t>
      </w:r>
      <w:hyperlink r:id="rId58" w:history="1">
        <w:r w:rsidR="00AE7E0C" w:rsidRPr="009F3091">
          <w:rPr>
            <w:rFonts w:asciiTheme="minorHAnsi" w:hAnsiTheme="minorHAnsi"/>
            <w:sz w:val="16"/>
            <w:szCs w:val="16"/>
          </w:rPr>
          <w:t>https://www.iso-ne.com/static-assets/documents/2019/01/envtlupdate_20190129.pdf</w:t>
        </w:r>
      </w:hyperlink>
      <w:r w:rsidR="009C22B0" w:rsidRPr="009F3091">
        <w:rPr>
          <w:rFonts w:asciiTheme="minorHAnsi" w:hAnsiTheme="minorHAnsi"/>
          <w:sz w:val="16"/>
          <w:szCs w:val="16"/>
        </w:rPr>
        <w:t>.</w:t>
      </w:r>
    </w:p>
    <w:p w14:paraId="3ADE2C5E" w14:textId="77777777" w:rsidR="00B969ED" w:rsidRPr="00B969ED" w:rsidRDefault="00B969ED" w:rsidP="00646F7C">
      <w:pPr>
        <w:pStyle w:val="Heading2"/>
      </w:pPr>
      <w:bookmarkStart w:id="799" w:name="_Toc484947384"/>
      <w:bookmarkStart w:id="800" w:name="_Toc490323069"/>
      <w:bookmarkStart w:id="801" w:name="_Toc12795214"/>
      <w:r w:rsidRPr="00B969ED">
        <w:t>Summary</w:t>
      </w:r>
      <w:bookmarkEnd w:id="799"/>
      <w:bookmarkEnd w:id="800"/>
      <w:bookmarkEnd w:id="801"/>
    </w:p>
    <w:p w14:paraId="7858EC6F" w14:textId="77777777" w:rsidR="00B969ED" w:rsidRPr="00B969ED" w:rsidRDefault="00B969ED" w:rsidP="00B969ED">
      <w:r w:rsidRPr="00B969ED">
        <w:t>The ISO coordinates planning activities with the Northeast Power Coordinating Council and throughout North America through NERC studies, as well as joint system assessments and studies of planned projects and planning activities with neighboring systems. The JIPC, IRC, and EIPC also have all coordinated interregional activities and discussion, such as of the effects of environmental regulations and the development of renewable resources.</w:t>
      </w:r>
    </w:p>
    <w:p w14:paraId="067359CF" w14:textId="77777777" w:rsidR="00B969ED" w:rsidRPr="00B969ED" w:rsidRDefault="00B969ED" w:rsidP="00B969ED">
      <w:r w:rsidRPr="00B969ED">
        <w:t>The ISO has achieved full compliance with all required planning standards and has successfully implemented the Northeastern ISO/RTO Planning Protocol, which has further improved interregional planning among neighboring areas. It will continue this effort as part of ongoing regional compliance with FERC Order 1000. Stakeholder input has been provided through the IPSAC.</w:t>
      </w:r>
    </w:p>
    <w:p w14:paraId="12491ADE" w14:textId="77777777" w:rsidR="00E2185A" w:rsidRDefault="00B969ED" w:rsidP="00B969ED">
      <w:pPr>
        <w:sectPr w:rsidR="00E2185A" w:rsidSect="00806C40">
          <w:pgSz w:w="12240" w:h="15840"/>
          <w:pgMar w:top="1440" w:right="1440" w:bottom="1440" w:left="1800" w:header="720" w:footer="720" w:gutter="0"/>
          <w:cols w:space="720"/>
          <w:docGrid w:linePitch="360"/>
        </w:sectPr>
      </w:pPr>
      <w:r w:rsidRPr="00B969ED">
        <w:t>Interconnections with neighboring systems provide access to capacity and energy and reduce emissions within the New England area. The interconnections have improved regional reliability and the economic operation of the system. The ISO fully reflects the energy and capacity import capabilities of the interconnections in its planning studies.</w:t>
      </w:r>
    </w:p>
    <w:p w14:paraId="199860C3" w14:textId="77777777" w:rsidR="00E2185A" w:rsidRPr="00E2185A" w:rsidRDefault="0056689A" w:rsidP="00E2185A">
      <w:pPr>
        <w:pStyle w:val="Heading1"/>
      </w:pPr>
      <w:bookmarkStart w:id="802" w:name="_Ref387650525"/>
      <w:r>
        <w:lastRenderedPageBreak/>
        <w:br/>
      </w:r>
      <w:bookmarkStart w:id="803" w:name="_Ref11055619"/>
      <w:bookmarkStart w:id="804" w:name="_Ref11937748"/>
      <w:bookmarkStart w:id="805" w:name="_Ref12006458"/>
      <w:bookmarkStart w:id="806" w:name="_Ref12006818"/>
      <w:bookmarkStart w:id="807" w:name="_Toc12795215"/>
      <w:r w:rsidR="00E2185A" w:rsidRPr="00E2185A">
        <w:t>Energy Security</w:t>
      </w:r>
      <w:bookmarkEnd w:id="803"/>
      <w:bookmarkEnd w:id="804"/>
      <w:bookmarkEnd w:id="805"/>
      <w:bookmarkEnd w:id="806"/>
      <w:bookmarkEnd w:id="807"/>
    </w:p>
    <w:p w14:paraId="05C4CF77" w14:textId="77777777" w:rsidR="00DC1646" w:rsidRDefault="00E2185A" w:rsidP="00DC1646">
      <w:r w:rsidRPr="00E2185A">
        <w:t xml:space="preserve">As the operator of the region’s six-state power system, ISO New England must plan and operate the grid to ensure a reliable power system, which </w:t>
      </w:r>
      <w:r w:rsidRPr="00E2185A">
        <w:rPr>
          <w:rFonts w:cs="NeueHaasGroteskText Std"/>
          <w:color w:val="000000"/>
          <w:sz w:val="19"/>
          <w:szCs w:val="19"/>
        </w:rPr>
        <w:t xml:space="preserve">requires a reliable supply of fuels used to generate electricity. </w:t>
      </w:r>
      <w:r w:rsidRPr="00A92973">
        <w:rPr>
          <w:rFonts w:cs="NeueHaasGroteskText Std"/>
          <w:color w:val="000000"/>
          <w:sz w:val="19"/>
          <w:szCs w:val="19"/>
        </w:rPr>
        <w:t>Energy security—the assurance that resources will have or be able to get the natural gas, wind, sun, or other</w:t>
      </w:r>
      <w:r w:rsidR="005A7B3A">
        <w:rPr>
          <w:rFonts w:cs="NeueHaasGroteskText Std"/>
          <w:color w:val="000000"/>
          <w:sz w:val="19"/>
          <w:szCs w:val="19"/>
        </w:rPr>
        <w:t xml:space="preserve"> </w:t>
      </w:r>
      <w:r w:rsidRPr="00A92973">
        <w:rPr>
          <w:rFonts w:cs="NeueHaasGroteskText Std"/>
          <w:color w:val="000000"/>
          <w:sz w:val="19"/>
          <w:szCs w:val="19"/>
        </w:rPr>
        <w:t>fuel</w:t>
      </w:r>
      <w:r w:rsidR="005A7B3A">
        <w:rPr>
          <w:rFonts w:cs="NeueHaasGroteskText Std"/>
          <w:color w:val="000000"/>
          <w:sz w:val="19"/>
          <w:szCs w:val="19"/>
        </w:rPr>
        <w:t xml:space="preserve"> </w:t>
      </w:r>
      <w:r w:rsidRPr="00A92973">
        <w:rPr>
          <w:rFonts w:cs="NeueHaasGroteskText Std"/>
          <w:color w:val="000000"/>
          <w:sz w:val="19"/>
          <w:szCs w:val="19"/>
        </w:rPr>
        <w:t xml:space="preserve">they need to generate </w:t>
      </w:r>
      <w:r w:rsidR="005A7B3A">
        <w:rPr>
          <w:rFonts w:cs="NeueHaasGroteskText Std"/>
          <w:color w:val="000000"/>
          <w:sz w:val="19"/>
          <w:szCs w:val="19"/>
        </w:rPr>
        <w:t>sufficient</w:t>
      </w:r>
      <w:r w:rsidRPr="00A92973">
        <w:rPr>
          <w:rFonts w:cs="NeueHaasGroteskText Std"/>
          <w:color w:val="000000"/>
          <w:sz w:val="19"/>
          <w:szCs w:val="19"/>
        </w:rPr>
        <w:t xml:space="preserve"> electricity to meet system demand, when they need it—</w:t>
      </w:r>
      <w:r w:rsidRPr="00851352">
        <w:rPr>
          <w:rFonts w:cs="NeueHaasGroteskText Std"/>
          <w:color w:val="000000"/>
          <w:sz w:val="19"/>
          <w:szCs w:val="19"/>
        </w:rPr>
        <w:t>is c</w:t>
      </w:r>
      <w:r w:rsidRPr="00E2185A">
        <w:rPr>
          <w:rFonts w:cs="NeueHaasGroteskText Std"/>
          <w:color w:val="000000"/>
          <w:sz w:val="19"/>
          <w:szCs w:val="19"/>
        </w:rPr>
        <w:t xml:space="preserve">ritical to ensure the region’s power system reliability. </w:t>
      </w:r>
      <w:r w:rsidR="00DC1646" w:rsidRPr="00DC1646">
        <w:t xml:space="preserve">Although New England has adequate capacity resources to meet projected electricity demand, as more limited-energy resources are developed and traditional generating resources retire, </w:t>
      </w:r>
      <w:r w:rsidR="00B378D4">
        <w:t xml:space="preserve">in some situations, </w:t>
      </w:r>
      <w:r w:rsidR="00DC1646" w:rsidRPr="00DC1646">
        <w:t xml:space="preserve">the grid may not be able to supply enough energy to meet demand. </w:t>
      </w:r>
    </w:p>
    <w:p w14:paraId="6A57CBAA" w14:textId="77777777" w:rsidR="00DC1646" w:rsidRPr="00DC1646" w:rsidRDefault="00DC1646" w:rsidP="00DC1646">
      <w:r w:rsidRPr="00DC1646">
        <w:t xml:space="preserve">This section summarizes capacity and energy production in New England and the region’s natural gas infrastructure. It also discusses energy-security risks and natural gas and oil price volatility, </w:t>
      </w:r>
      <w:r w:rsidR="002F49B9">
        <w:t xml:space="preserve">and </w:t>
      </w:r>
      <w:r w:rsidRPr="00DC1646">
        <w:t xml:space="preserve">ongoing risk analyses and efforts to mitigate these risks to ensure that the region has enough energy to reliability serve firm load. </w:t>
      </w:r>
    </w:p>
    <w:p w14:paraId="452D24E1" w14:textId="77777777" w:rsidR="00DC1646" w:rsidRDefault="008B55BC" w:rsidP="004B7400">
      <w:pPr>
        <w:pStyle w:val="Heading2"/>
      </w:pPr>
      <w:bookmarkStart w:id="808" w:name="_Toc12795216"/>
      <w:r>
        <w:t xml:space="preserve">Overview of </w:t>
      </w:r>
      <w:r w:rsidR="00DC1646">
        <w:t>Energy-Security Risks in New England</w:t>
      </w:r>
      <w:bookmarkEnd w:id="808"/>
    </w:p>
    <w:p w14:paraId="6FECA9B2" w14:textId="77777777" w:rsidR="00E2185A" w:rsidRPr="00E2185A" w:rsidRDefault="00E2185A" w:rsidP="00E2185A">
      <w:r w:rsidRPr="00E2185A">
        <w:rPr>
          <w:rFonts w:cs="NeueHaasGroteskText Std"/>
          <w:color w:val="000000"/>
          <w:sz w:val="19"/>
          <w:szCs w:val="19"/>
        </w:rPr>
        <w:t xml:space="preserve">New England’s energy-related risks to current and future power system reliability </w:t>
      </w:r>
      <w:r w:rsidRPr="00E2185A">
        <w:t>are as follows:</w:t>
      </w:r>
    </w:p>
    <w:p w14:paraId="65370953" w14:textId="77777777" w:rsidR="00E2185A" w:rsidRPr="00E2185A" w:rsidRDefault="00E2185A" w:rsidP="00E2185A">
      <w:pPr>
        <w:numPr>
          <w:ilvl w:val="0"/>
          <w:numId w:val="669"/>
        </w:numPr>
        <w:spacing w:after="120"/>
      </w:pPr>
      <w:r w:rsidRPr="00E2185A">
        <w:t>The region relies heavily on natural-gas-fired generators, and their need for fuel has raised reliability issues because of seasonal constraints on the natural gas delivery system and the increasing reliance on imported liquefied natural gas (LNG), which can be a</w:t>
      </w:r>
      <w:r w:rsidRPr="00E2185A">
        <w:rPr>
          <w:szCs w:val="18"/>
        </w:rPr>
        <w:t>n important complement to pipeline gas</w:t>
      </w:r>
      <w:r w:rsidRPr="00E2185A">
        <w:t xml:space="preserve">. </w:t>
      </w:r>
    </w:p>
    <w:p w14:paraId="0B6D9224" w14:textId="77777777" w:rsidR="00E2185A" w:rsidRPr="00E2185A" w:rsidRDefault="00EA307A" w:rsidP="00E2185A">
      <w:pPr>
        <w:numPr>
          <w:ilvl w:val="0"/>
          <w:numId w:val="669"/>
        </w:numPr>
        <w:spacing w:after="120"/>
      </w:pPr>
      <w:r>
        <w:t>Gas pipelines serving the region operate at or near capacity; they will not be expanded until customers make new firm commitments. Also, t</w:t>
      </w:r>
      <w:r w:rsidR="00E2185A" w:rsidRPr="00E2185A">
        <w:t xml:space="preserve">he lack of firm fuel contracts by gas-fired generators has </w:t>
      </w:r>
      <w:r w:rsidR="00C20020">
        <w:t>limited</w:t>
      </w:r>
      <w:r w:rsidR="00E2185A" w:rsidRPr="00E2185A">
        <w:t xml:space="preserve"> funding for natural gas infrastructure expansion, which results in limited availability of gas pipeline transportation </w:t>
      </w:r>
      <w:r>
        <w:t xml:space="preserve">at times of </w:t>
      </w:r>
      <w:r w:rsidR="00E2185A" w:rsidRPr="00E2185A">
        <w:t xml:space="preserve">peak demand. Instead, generators are relying on </w:t>
      </w:r>
      <w:r w:rsidR="00E2185A" w:rsidRPr="00E2185A">
        <w:rPr>
          <w:rFonts w:cs="NeueHaasGroteskText Std"/>
          <w:color w:val="000000"/>
          <w:sz w:val="19"/>
          <w:szCs w:val="19"/>
        </w:rPr>
        <w:t xml:space="preserve">fuel delivered just in time. </w:t>
      </w:r>
    </w:p>
    <w:p w14:paraId="058C3284" w14:textId="77777777" w:rsidR="00E2185A" w:rsidRPr="00E2185A" w:rsidRDefault="00E2185A" w:rsidP="00E2185A">
      <w:pPr>
        <w:numPr>
          <w:ilvl w:val="0"/>
          <w:numId w:val="669"/>
        </w:numPr>
        <w:spacing w:after="120"/>
      </w:pPr>
      <w:r w:rsidRPr="00E2185A">
        <w:t>Most natural-gas-fired generators with dual-fuel capability (i.e., oil back up) have limited on-site fuel-storage capacity for the oil, and some resources need an extended time to switch fuels and replenish liquid fuels.</w:t>
      </w:r>
    </w:p>
    <w:p w14:paraId="6E7AB7B5" w14:textId="1E1C4014" w:rsidR="00E2185A" w:rsidRPr="00E2185A" w:rsidRDefault="00E2185A" w:rsidP="00E2185A">
      <w:pPr>
        <w:numPr>
          <w:ilvl w:val="0"/>
          <w:numId w:val="669"/>
        </w:numPr>
        <w:spacing w:after="120"/>
      </w:pPr>
      <w:r w:rsidRPr="00E2185A">
        <w:t>Older oil and coal resources face energy-production constraints, with</w:t>
      </w:r>
      <w:r w:rsidR="00183D0E">
        <w:t xml:space="preserve"> coal- and</w:t>
      </w:r>
      <w:r w:rsidRPr="00E2185A">
        <w:t xml:space="preserve"> oil-fired generators potentially experiencing issues with fuel availability, delivery, and environmental restrictions on some operations and total operating ho</w:t>
      </w:r>
      <w:r w:rsidRPr="00D1271D">
        <w:t xml:space="preserve">urs (see </w:t>
      </w:r>
      <w:r w:rsidR="005A7B3A" w:rsidRPr="009D7C03">
        <w:fldChar w:fldCharType="begin"/>
      </w:r>
      <w:r w:rsidR="005A7B3A" w:rsidRPr="00C26828">
        <w:instrText xml:space="preserve"> REF _Ref418883784 \r \h </w:instrText>
      </w:r>
      <w:r w:rsidR="00C26828" w:rsidRPr="0048391E">
        <w:instrText xml:space="preserve"> \* MERGEFORMAT </w:instrText>
      </w:r>
      <w:r w:rsidR="005A7B3A" w:rsidRPr="009D7C03">
        <w:fldChar w:fldCharType="separate"/>
      </w:r>
      <w:r w:rsidR="005D0B73">
        <w:t>Section 8</w:t>
      </w:r>
      <w:r w:rsidR="005A7B3A" w:rsidRPr="009D7C03">
        <w:fldChar w:fldCharType="end"/>
      </w:r>
      <w:r w:rsidRPr="00C26828">
        <w:t>), along</w:t>
      </w:r>
      <w:r w:rsidRPr="00E2185A">
        <w:t xml:space="preserve"> with other challenges caused by their infrequent operation. </w:t>
      </w:r>
    </w:p>
    <w:p w14:paraId="74E69F13" w14:textId="77777777" w:rsidR="00E2185A" w:rsidRPr="00E2185A" w:rsidRDefault="00E2185A" w:rsidP="00D31060">
      <w:pPr>
        <w:numPr>
          <w:ilvl w:val="0"/>
          <w:numId w:val="669"/>
        </w:numPr>
        <w:spacing w:after="120"/>
      </w:pPr>
      <w:r w:rsidRPr="00E2185A">
        <w:t xml:space="preserve">The availability of natural gas and New England’s reliance on this fuel also has an immediate effect on wholesale energy market prices; spot-market gas prices typically either set or closely follow the price for wholesale electricity. </w:t>
      </w:r>
    </w:p>
    <w:p w14:paraId="4E7193B6" w14:textId="77777777" w:rsidR="00E2185A" w:rsidRDefault="00E2185A" w:rsidP="00E2185A">
      <w:pPr>
        <w:numPr>
          <w:ilvl w:val="0"/>
          <w:numId w:val="669"/>
        </w:numPr>
      </w:pPr>
      <w:r w:rsidRPr="00E2185A">
        <w:t xml:space="preserve">New England also faces the retirement of older, uneconomic non-gas-fired generation that can store fuel </w:t>
      </w:r>
      <w:r w:rsidRPr="00E2185A">
        <w:rPr>
          <w:rFonts w:cs="NeueHaasGroteskText Std"/>
          <w:color w:val="000000"/>
          <w:sz w:val="19"/>
          <w:szCs w:val="19"/>
        </w:rPr>
        <w:t>(e.g. nuclear, coal, and oil)</w:t>
      </w:r>
      <w:r w:rsidRPr="00E2185A">
        <w:t xml:space="preserve">, which will indirectly increase the region’s reliance on the remaining gas-fired generators. </w:t>
      </w:r>
    </w:p>
    <w:p w14:paraId="763C9809" w14:textId="0089DC8B" w:rsidR="006A5667" w:rsidRPr="00E2185A" w:rsidRDefault="0054408E" w:rsidP="00B378D4">
      <w:r>
        <w:t xml:space="preserve">Longer term, </w:t>
      </w:r>
      <w:r w:rsidR="00DC1646">
        <w:t xml:space="preserve">New England’s energy-security </w:t>
      </w:r>
      <w:r w:rsidR="00DC1646" w:rsidRPr="00DC1646">
        <w:t xml:space="preserve">risks </w:t>
      </w:r>
      <w:r>
        <w:t>may</w:t>
      </w:r>
      <w:r w:rsidR="00DC1646" w:rsidRPr="00DC1646">
        <w:t xml:space="preserve"> not </w:t>
      </w:r>
      <w:r>
        <w:t xml:space="preserve">be </w:t>
      </w:r>
      <w:r w:rsidR="00DC1646" w:rsidRPr="00DC1646">
        <w:t xml:space="preserve">limited to the winter period. </w:t>
      </w:r>
      <w:r w:rsidR="00DC1646" w:rsidRPr="00DC1646">
        <w:rPr>
          <w:rFonts w:cs="NeueHaasGroteskText Std"/>
          <w:color w:val="000000"/>
        </w:rPr>
        <w:t>Energy from solar and wind generators is weather dependent and not always available.</w:t>
      </w:r>
      <w:r w:rsidR="00DC1646" w:rsidRPr="00DC1646">
        <w:t xml:space="preserve"> Constraints or uncertainties to </w:t>
      </w:r>
      <w:r w:rsidR="00DC1646" w:rsidRPr="00DC1646">
        <w:lastRenderedPageBreak/>
        <w:t>the fuel</w:t>
      </w:r>
      <w:r w:rsidR="00ED50A8">
        <w:t xml:space="preserve"> </w:t>
      </w:r>
      <w:r w:rsidR="00DC1646" w:rsidRPr="00DC1646">
        <w:t>supply are a concern even when supplemental fuel-supply arrangements would be cost</w:t>
      </w:r>
      <w:r w:rsidR="00ED50A8">
        <w:t xml:space="preserve"> </w:t>
      </w:r>
      <w:r w:rsidR="00DC1646" w:rsidRPr="00DC1646">
        <w:t xml:space="preserve">effective as a means to reduce reliability risks. </w:t>
      </w:r>
    </w:p>
    <w:p w14:paraId="0DA19931" w14:textId="77777777" w:rsidR="00E2185A" w:rsidRPr="00E2185A" w:rsidRDefault="00E2185A" w:rsidP="00BF58EC">
      <w:pPr>
        <w:pStyle w:val="Heading2"/>
        <w:rPr>
          <w:rFonts w:eastAsia="Times New Roman"/>
        </w:rPr>
      </w:pPr>
      <w:bookmarkStart w:id="809" w:name="_Ref12022526"/>
      <w:bookmarkStart w:id="810" w:name="_Toc12795217"/>
      <w:r w:rsidRPr="00E2185A">
        <w:rPr>
          <w:rFonts w:eastAsia="Times New Roman"/>
        </w:rPr>
        <w:t>Capacity and Electric Energy Production in the Region by Fuel Type</w:t>
      </w:r>
      <w:bookmarkEnd w:id="809"/>
      <w:bookmarkEnd w:id="810"/>
      <w:r w:rsidRPr="00E2185A" w:rsidDel="00BF3EC6">
        <w:rPr>
          <w:rFonts w:eastAsia="Times New Roman"/>
        </w:rPr>
        <w:t xml:space="preserve"> </w:t>
      </w:r>
    </w:p>
    <w:p w14:paraId="0B7EB376" w14:textId="4D0A090A" w:rsidR="00E2185A" w:rsidRPr="00E2185A" w:rsidRDefault="00E2185A" w:rsidP="00E2185A">
      <w:r w:rsidRPr="00E2185A">
        <w:t>New England’s capacity and electric energy production in 2018 indicates that the region is highly dependent on natural-gas-fired generation. As shown in</w:t>
      </w:r>
      <w:r w:rsidR="00C26828">
        <w:t xml:space="preserve"> </w:t>
      </w:r>
      <w:r w:rsidR="00C26828" w:rsidRPr="00C26828">
        <w:fldChar w:fldCharType="begin"/>
      </w:r>
      <w:r w:rsidR="00C26828" w:rsidRPr="00C26828">
        <w:instrText xml:space="preserve"> REF _Ref11945170 \h  \* MERGEFORMAT </w:instrText>
      </w:r>
      <w:r w:rsidR="00C26828" w:rsidRPr="00C26828">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1</w:t>
      </w:r>
      <w:r w:rsidR="00C26828" w:rsidRPr="00C26828">
        <w:fldChar w:fldCharType="end"/>
      </w:r>
      <w:r w:rsidRPr="00C26828">
        <w:t xml:space="preserve">, </w:t>
      </w:r>
      <w:r w:rsidRPr="00E2185A">
        <w:t xml:space="preserve">approximately 49% of the region’s winter generation </w:t>
      </w:r>
      <w:r w:rsidRPr="00ED50A8">
        <w:t>in 2018</w:t>
      </w:r>
      <w:r w:rsidRPr="00E2185A">
        <w:t xml:space="preserve"> was fueled by natural</w:t>
      </w:r>
      <w:r w:rsidR="00C26828">
        <w:t xml:space="preserve"> </w:t>
      </w:r>
      <w:r w:rsidRPr="00E2185A">
        <w:t xml:space="preserve">gas. Nuclear generation supplied 30% of the electric energy, but each of the other types of generating resources produced less than 8%. </w:t>
      </w:r>
    </w:p>
    <w:p w14:paraId="0D0CFF84" w14:textId="659F403D" w:rsidR="0060316B" w:rsidRPr="000A75DF" w:rsidRDefault="0060316B" w:rsidP="004847AB">
      <w:pPr>
        <w:spacing w:after="0" w:line="240" w:lineRule="auto"/>
        <w:jc w:val="center"/>
      </w:pPr>
      <w:r w:rsidRPr="000A75DF">
        <w:rPr>
          <w:noProof/>
        </w:rPr>
        <w:drawing>
          <wp:inline distT="0" distB="0" distL="0" distR="0" wp14:anchorId="3D932020" wp14:editId="1B157167">
            <wp:extent cx="5614813" cy="3597275"/>
            <wp:effectExtent l="19050" t="19050" r="2413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4066" cy="3603203"/>
                    </a:xfrm>
                    <a:prstGeom prst="rect">
                      <a:avLst/>
                    </a:prstGeom>
                    <a:noFill/>
                    <a:ln w="3175">
                      <a:solidFill>
                        <a:srgbClr val="000000"/>
                      </a:solidFill>
                    </a:ln>
                  </pic:spPr>
                </pic:pic>
              </a:graphicData>
            </a:graphic>
          </wp:inline>
        </w:drawing>
      </w:r>
    </w:p>
    <w:p w14:paraId="16F7B3A2" w14:textId="1486263C" w:rsidR="00E2185A" w:rsidRPr="002C1224" w:rsidRDefault="00E2185A" w:rsidP="00E2185A">
      <w:pPr>
        <w:keepNext/>
        <w:keepLines/>
        <w:spacing w:before="120" w:after="80" w:line="240" w:lineRule="auto"/>
        <w:ind w:left="86"/>
        <w:rPr>
          <w:rFonts w:asciiTheme="minorHAnsi" w:hAnsiTheme="minorHAnsi"/>
          <w:b/>
          <w:bCs/>
          <w:szCs w:val="18"/>
        </w:rPr>
      </w:pPr>
      <w:bookmarkStart w:id="811" w:name="_Ref11945170"/>
      <w:bookmarkStart w:id="812" w:name="_Toc17709755"/>
      <w:r w:rsidRPr="000A75DF">
        <w:rPr>
          <w:rFonts w:asciiTheme="minorHAnsi" w:hAnsiTheme="minorHAnsi"/>
          <w:b/>
          <w:bCs/>
          <w:szCs w:val="18"/>
        </w:rPr>
        <w:t xml:space="preserve">Figure </w:t>
      </w:r>
      <w:r w:rsidR="008E7223">
        <w:rPr>
          <w:rFonts w:asciiTheme="minorHAnsi" w:hAnsiTheme="minorHAnsi"/>
          <w:b/>
          <w:bCs/>
          <w:szCs w:val="18"/>
        </w:rPr>
        <w:fldChar w:fldCharType="begin"/>
      </w:r>
      <w:r w:rsidR="008E7223">
        <w:rPr>
          <w:rFonts w:asciiTheme="minorHAnsi" w:hAnsiTheme="minorHAnsi"/>
          <w:b/>
          <w:bCs/>
          <w:szCs w:val="18"/>
        </w:rPr>
        <w:instrText xml:space="preserve"> STYLEREF 1 \s </w:instrText>
      </w:r>
      <w:r w:rsidR="008E7223">
        <w:rPr>
          <w:rFonts w:asciiTheme="minorHAnsi" w:hAnsiTheme="minorHAnsi"/>
          <w:b/>
          <w:bCs/>
          <w:szCs w:val="18"/>
        </w:rPr>
        <w:fldChar w:fldCharType="separate"/>
      </w:r>
      <w:r w:rsidR="008E7223">
        <w:rPr>
          <w:rFonts w:asciiTheme="minorHAnsi" w:hAnsiTheme="minorHAnsi"/>
          <w:b/>
          <w:bCs/>
          <w:noProof/>
          <w:szCs w:val="18"/>
        </w:rPr>
        <w:t>7</w:t>
      </w:r>
      <w:r w:rsidR="008E7223">
        <w:rPr>
          <w:rFonts w:asciiTheme="minorHAnsi" w:hAnsiTheme="minorHAnsi"/>
          <w:b/>
          <w:bCs/>
          <w:szCs w:val="18"/>
        </w:rPr>
        <w:fldChar w:fldCharType="end"/>
      </w:r>
      <w:r w:rsidR="008E7223">
        <w:rPr>
          <w:rFonts w:asciiTheme="minorHAnsi" w:hAnsiTheme="minorHAnsi"/>
          <w:b/>
          <w:bCs/>
          <w:szCs w:val="18"/>
        </w:rPr>
        <w:noBreakHyphen/>
      </w:r>
      <w:r w:rsidR="008E7223">
        <w:rPr>
          <w:rFonts w:asciiTheme="minorHAnsi" w:hAnsiTheme="minorHAnsi"/>
          <w:b/>
          <w:bCs/>
          <w:szCs w:val="18"/>
        </w:rPr>
        <w:fldChar w:fldCharType="begin"/>
      </w:r>
      <w:r w:rsidR="008E7223">
        <w:rPr>
          <w:rFonts w:asciiTheme="minorHAnsi" w:hAnsiTheme="minorHAnsi"/>
          <w:b/>
          <w:bCs/>
          <w:szCs w:val="18"/>
        </w:rPr>
        <w:instrText xml:space="preserve"> SEQ Figure \* ARABIC \s 1 </w:instrText>
      </w:r>
      <w:r w:rsidR="008E7223">
        <w:rPr>
          <w:rFonts w:asciiTheme="minorHAnsi" w:hAnsiTheme="minorHAnsi"/>
          <w:b/>
          <w:bCs/>
          <w:szCs w:val="18"/>
        </w:rPr>
        <w:fldChar w:fldCharType="separate"/>
      </w:r>
      <w:r w:rsidR="008E7223">
        <w:rPr>
          <w:rFonts w:asciiTheme="minorHAnsi" w:hAnsiTheme="minorHAnsi"/>
          <w:b/>
          <w:bCs/>
          <w:noProof/>
          <w:szCs w:val="18"/>
        </w:rPr>
        <w:t>1</w:t>
      </w:r>
      <w:r w:rsidR="008E7223">
        <w:rPr>
          <w:rFonts w:asciiTheme="minorHAnsi" w:hAnsiTheme="minorHAnsi"/>
          <w:b/>
          <w:bCs/>
          <w:szCs w:val="18"/>
        </w:rPr>
        <w:fldChar w:fldCharType="end"/>
      </w:r>
      <w:bookmarkEnd w:id="811"/>
      <w:r w:rsidRPr="000A75DF">
        <w:rPr>
          <w:rFonts w:asciiTheme="minorHAnsi" w:hAnsiTheme="minorHAnsi"/>
          <w:b/>
          <w:bCs/>
          <w:szCs w:val="18"/>
        </w:rPr>
        <w:t xml:space="preserve">: New England’s </w:t>
      </w:r>
      <w:r w:rsidR="00A01B23" w:rsidRPr="000A75DF">
        <w:rPr>
          <w:rFonts w:asciiTheme="minorHAnsi" w:hAnsiTheme="minorHAnsi"/>
          <w:b/>
          <w:bCs/>
          <w:szCs w:val="18"/>
        </w:rPr>
        <w:t xml:space="preserve">generator </w:t>
      </w:r>
      <w:r w:rsidRPr="000A75DF">
        <w:rPr>
          <w:rFonts w:asciiTheme="minorHAnsi" w:hAnsiTheme="minorHAnsi"/>
          <w:b/>
          <w:bCs/>
          <w:szCs w:val="18"/>
        </w:rPr>
        <w:t xml:space="preserve">winter seasonal claimed capability (MW, %) and </w:t>
      </w:r>
      <w:r w:rsidR="00AD3541" w:rsidRPr="000A75DF">
        <w:rPr>
          <w:rFonts w:asciiTheme="minorHAnsi" w:hAnsiTheme="minorHAnsi"/>
          <w:b/>
          <w:bCs/>
          <w:szCs w:val="18"/>
        </w:rPr>
        <w:t xml:space="preserve">annual </w:t>
      </w:r>
      <w:r w:rsidRPr="000A75DF">
        <w:rPr>
          <w:rFonts w:asciiTheme="minorHAnsi" w:hAnsiTheme="minorHAnsi"/>
          <w:b/>
          <w:bCs/>
          <w:szCs w:val="18"/>
        </w:rPr>
        <w:t>electric energy production (GWh, %) by fuel type for 201</w:t>
      </w:r>
      <w:r w:rsidR="005B16D2" w:rsidRPr="000A75DF">
        <w:rPr>
          <w:rFonts w:asciiTheme="minorHAnsi" w:hAnsiTheme="minorHAnsi"/>
          <w:b/>
          <w:bCs/>
          <w:szCs w:val="18"/>
        </w:rPr>
        <w:t>8</w:t>
      </w:r>
      <w:r w:rsidRPr="000A75DF">
        <w:rPr>
          <w:rFonts w:asciiTheme="minorHAnsi" w:hAnsiTheme="minorHAnsi"/>
          <w:b/>
          <w:bCs/>
          <w:szCs w:val="18"/>
        </w:rPr>
        <w:t>.</w:t>
      </w:r>
      <w:bookmarkEnd w:id="812"/>
      <w:r w:rsidRPr="002C1224">
        <w:rPr>
          <w:rFonts w:asciiTheme="minorHAnsi" w:hAnsiTheme="minorHAnsi"/>
          <w:b/>
          <w:bCs/>
          <w:szCs w:val="18"/>
        </w:rPr>
        <w:t xml:space="preserve"> </w:t>
      </w:r>
    </w:p>
    <w:p w14:paraId="37B308E5" w14:textId="77777777" w:rsidR="00E2185A" w:rsidRPr="002C1224" w:rsidRDefault="00E2185A" w:rsidP="00E2185A">
      <w:pPr>
        <w:keepNext/>
        <w:keepLines/>
        <w:spacing w:after="80" w:line="240" w:lineRule="auto"/>
        <w:ind w:left="90" w:right="180"/>
        <w:rPr>
          <w:rFonts w:asciiTheme="minorHAnsi" w:hAnsiTheme="minorHAnsi"/>
          <w:bCs/>
          <w:sz w:val="16"/>
          <w:szCs w:val="16"/>
        </w:rPr>
      </w:pPr>
      <w:r w:rsidRPr="002C1224">
        <w:rPr>
          <w:rFonts w:asciiTheme="minorHAnsi" w:hAnsiTheme="minorHAnsi"/>
          <w:b/>
          <w:bCs/>
          <w:sz w:val="16"/>
          <w:szCs w:val="16"/>
        </w:rPr>
        <w:t>Note:</w:t>
      </w:r>
      <w:r w:rsidRPr="002C1224">
        <w:rPr>
          <w:rFonts w:asciiTheme="minorHAnsi" w:hAnsiTheme="minorHAnsi"/>
          <w:bCs/>
          <w:sz w:val="16"/>
          <w:szCs w:val="16"/>
        </w:rPr>
        <w:t xml:space="preserve"> The capacity and energy statistics exclude the capacity and energy associated with imports and behind-the-meter generation not registered in the region’s wholesale energy markets. In 2018, the NEL, accounting for both EE and BTM PV, was 123,430 GWh, pumped storage consumed an additional of 1,804 GWh, and the net imports into the region were 21,505 GWh, which represents 17% of the 2018 system net energy for load. (Numbers may not add in the figure due to rounding.)</w:t>
      </w:r>
    </w:p>
    <w:p w14:paraId="6A691820" w14:textId="411E790B" w:rsidR="00E2185A" w:rsidRPr="00E2185A" w:rsidRDefault="00E2185A" w:rsidP="00E2185A">
      <w:pPr>
        <w:spacing w:line="240" w:lineRule="auto"/>
        <w:ind w:left="90" w:right="180"/>
        <w:rPr>
          <w:rFonts w:asciiTheme="minorHAnsi" w:hAnsiTheme="minorHAnsi"/>
          <w:bCs/>
          <w:sz w:val="16"/>
          <w:szCs w:val="16"/>
        </w:rPr>
      </w:pPr>
      <w:r w:rsidRPr="002C1224">
        <w:rPr>
          <w:rFonts w:asciiTheme="minorHAnsi" w:hAnsiTheme="minorHAnsi"/>
          <w:b/>
          <w:bCs/>
          <w:sz w:val="16"/>
          <w:szCs w:val="16"/>
        </w:rPr>
        <w:t>Sources:</w:t>
      </w:r>
      <w:r w:rsidRPr="002C1224">
        <w:rPr>
          <w:rFonts w:asciiTheme="minorHAnsi" w:hAnsiTheme="minorHAnsi"/>
          <w:bCs/>
          <w:sz w:val="16"/>
          <w:szCs w:val="16"/>
        </w:rPr>
        <w:t xml:space="preserve"> The capacity data are the same as 2019 CELT Report data (</w:t>
      </w:r>
      <w:hyperlink r:id="rId60" w:history="1">
        <w:r w:rsidR="00115CAB" w:rsidRPr="00115CAB">
          <w:rPr>
            <w:rStyle w:val="Hyperlink"/>
            <w:rFonts w:asciiTheme="minorHAnsi" w:hAnsiTheme="minorHAnsi"/>
            <w:bCs/>
            <w:sz w:val="16"/>
            <w:szCs w:val="16"/>
          </w:rPr>
          <w:t>https://www.iso-ne.com/static-assets/documents/2019/04/2019_celt_report.xls</w:t>
        </w:r>
      </w:hyperlink>
      <w:r w:rsidRPr="00E2185A">
        <w:rPr>
          <w:rFonts w:asciiTheme="minorHAnsi" w:hAnsiTheme="minorHAnsi"/>
          <w:bCs/>
          <w:sz w:val="16"/>
          <w:szCs w:val="16"/>
        </w:rPr>
        <w:t xml:space="preserve">). The </w:t>
      </w:r>
      <w:r w:rsidR="00AD3541">
        <w:rPr>
          <w:rFonts w:asciiTheme="minorHAnsi" w:hAnsiTheme="minorHAnsi"/>
          <w:bCs/>
          <w:sz w:val="16"/>
          <w:szCs w:val="16"/>
        </w:rPr>
        <w:t xml:space="preserve">annual </w:t>
      </w:r>
      <w:r w:rsidRPr="00E2185A">
        <w:rPr>
          <w:rFonts w:asciiTheme="minorHAnsi" w:hAnsiTheme="minorHAnsi"/>
          <w:bCs/>
          <w:sz w:val="16"/>
          <w:szCs w:val="16"/>
        </w:rPr>
        <w:t>energy data are based on the March 1, 2019, 90-day resettlement of total electric energy production for 2018.</w:t>
      </w:r>
    </w:p>
    <w:p w14:paraId="5CCF62C8" w14:textId="57D84402" w:rsidR="00E2185A" w:rsidRPr="00E2185A" w:rsidRDefault="00E2185A" w:rsidP="00E2185A">
      <w:pPr>
        <w:rPr>
          <w:rFonts w:eastAsia="Times New Roman"/>
        </w:rPr>
      </w:pPr>
      <w:r w:rsidRPr="00E2185A">
        <w:rPr>
          <w:rFonts w:eastAsia="Times New Roman"/>
        </w:rPr>
        <w:t xml:space="preserve">The region </w:t>
      </w:r>
      <w:r w:rsidR="00231293">
        <w:rPr>
          <w:rFonts w:eastAsia="Times New Roman"/>
        </w:rPr>
        <w:t xml:space="preserve">expects </w:t>
      </w:r>
      <w:r w:rsidRPr="00E2185A">
        <w:rPr>
          <w:rFonts w:eastAsia="Times New Roman"/>
        </w:rPr>
        <w:t>to rely on natural gas</w:t>
      </w:r>
      <w:r w:rsidR="00231293">
        <w:rPr>
          <w:rFonts w:eastAsia="Times New Roman"/>
        </w:rPr>
        <w:t>-fired generators</w:t>
      </w:r>
      <w:r w:rsidRPr="00E2185A">
        <w:rPr>
          <w:rFonts w:eastAsia="Times New Roman"/>
        </w:rPr>
        <w:t xml:space="preserve"> to balance </w:t>
      </w:r>
      <w:r w:rsidR="00231293">
        <w:rPr>
          <w:rFonts w:eastAsia="Times New Roman"/>
        </w:rPr>
        <w:t xml:space="preserve">the system, especially with the large-scale addition of </w:t>
      </w:r>
      <w:r w:rsidRPr="00E2185A">
        <w:rPr>
          <w:rFonts w:eastAsia="Times New Roman"/>
        </w:rPr>
        <w:t>variable renewable resources. In 2000, natural gas fueled just 15% of the region’s electricity</w:t>
      </w:r>
      <w:r w:rsidR="00ED50A8">
        <w:rPr>
          <w:rFonts w:eastAsia="Times New Roman"/>
        </w:rPr>
        <w:t>,</w:t>
      </w:r>
      <w:r w:rsidRPr="00E2185A">
        <w:rPr>
          <w:rFonts w:eastAsia="Times New Roman"/>
        </w:rPr>
        <w:t xml:space="preserve"> while today it is closer to 50%. It has become the dominant fuel used to produce electricity in New England, displacing higher-emitting and less economic power plants.</w:t>
      </w:r>
      <w:r w:rsidRPr="00E2185A">
        <w:rPr>
          <w:rFonts w:eastAsia="Times New Roman"/>
          <w:vertAlign w:val="superscript"/>
        </w:rPr>
        <w:footnoteReference w:id="255"/>
      </w:r>
      <w:r w:rsidRPr="00E2185A">
        <w:rPr>
          <w:rFonts w:eastAsia="Times New Roman"/>
        </w:rPr>
        <w:t xml:space="preserve"> </w:t>
      </w:r>
      <w:r w:rsidRPr="00E2185A">
        <w:t xml:space="preserve">However, most newly built natural-gas-fired generators do not have dual-fuel capability due to the difficulty to obtain operating </w:t>
      </w:r>
      <w:r w:rsidRPr="00E2185A">
        <w:lastRenderedPageBreak/>
        <w:t xml:space="preserve">permits. Additionally, for facilities that have obtained permits, the maximum allowable hours to run on the back-up fuel is often so few that pursuing operating </w:t>
      </w:r>
      <w:r w:rsidR="00EA307A">
        <w:t xml:space="preserve">on oil </w:t>
      </w:r>
      <w:r w:rsidRPr="00E2185A">
        <w:t>is not economical. Existing dual-fuel generators often need extended time to either or both switch fuels or replenish liquid fuels, making it uneconomic to continue operating as a dual-fuel generator or to maintain the secondary fuel on site.</w:t>
      </w:r>
    </w:p>
    <w:p w14:paraId="1B0D86B9" w14:textId="0A7BB1CE" w:rsidR="00E2185A" w:rsidRDefault="00E2185A" w:rsidP="00E2185A">
      <w:r w:rsidRPr="00E2185A">
        <w:rPr>
          <w:rFonts w:eastAsia="Times New Roman"/>
        </w:rPr>
        <w:t xml:space="preserve">Recent Forward Capacity Market auction results (see Section </w:t>
      </w:r>
      <w:r w:rsidR="00EA307A">
        <w:rPr>
          <w:rFonts w:eastAsia="Times New Roman"/>
        </w:rPr>
        <w:fldChar w:fldCharType="begin"/>
      </w:r>
      <w:r w:rsidR="00EA307A">
        <w:rPr>
          <w:rFonts w:eastAsia="Times New Roman"/>
        </w:rPr>
        <w:instrText xml:space="preserve"> REF _Ref11823371 \r \h </w:instrText>
      </w:r>
      <w:r w:rsidR="00EA307A">
        <w:rPr>
          <w:rFonts w:eastAsia="Times New Roman"/>
        </w:rPr>
      </w:r>
      <w:r w:rsidR="00EA307A">
        <w:rPr>
          <w:rFonts w:eastAsia="Times New Roman"/>
        </w:rPr>
        <w:fldChar w:fldCharType="separate"/>
      </w:r>
      <w:r w:rsidR="005D0B73">
        <w:rPr>
          <w:rFonts w:eastAsia="Times New Roman"/>
        </w:rPr>
        <w:t>4.1.3</w:t>
      </w:r>
      <w:r w:rsidR="00EA307A">
        <w:rPr>
          <w:rFonts w:eastAsia="Times New Roman"/>
        </w:rPr>
        <w:fldChar w:fldCharType="end"/>
      </w:r>
      <w:r w:rsidRPr="00E2185A">
        <w:rPr>
          <w:rFonts w:eastAsia="Times New Roman"/>
        </w:rPr>
        <w:t>) show the retirement of regional coal- and oil-fired generators as well as the loss of two nuclear plants.</w:t>
      </w:r>
      <w:r w:rsidRPr="00E2185A">
        <w:rPr>
          <w:rFonts w:eastAsia="Times New Roman"/>
          <w:vertAlign w:val="superscript"/>
        </w:rPr>
        <w:footnoteReference w:id="256"/>
      </w:r>
      <w:r w:rsidRPr="00E2185A">
        <w:rPr>
          <w:rFonts w:eastAsia="Times New Roman"/>
        </w:rPr>
        <w:t xml:space="preserve"> As additional generators retire, units in the ISO interconnection queue, which primarily are natural-gas-fired generation and photovoltaic and </w:t>
      </w:r>
      <w:r w:rsidRPr="004847AB">
        <w:rPr>
          <w:rFonts w:eastAsia="Times New Roman"/>
        </w:rPr>
        <w:t>wind resources (see Section </w:t>
      </w:r>
      <w:r w:rsidR="004847AB" w:rsidRPr="004847AB">
        <w:rPr>
          <w:rFonts w:eastAsia="Times New Roman"/>
        </w:rPr>
        <w:fldChar w:fldCharType="begin"/>
      </w:r>
      <w:r w:rsidR="004847AB" w:rsidRPr="004847AB">
        <w:rPr>
          <w:rFonts w:eastAsia="Times New Roman"/>
        </w:rPr>
        <w:instrText xml:space="preserve"> REF _Ref11668385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5D0B73">
        <w:rPr>
          <w:rFonts w:eastAsia="Times New Roman"/>
        </w:rPr>
        <w:t>4.5.3</w:t>
      </w:r>
      <w:r w:rsidR="004847AB" w:rsidRPr="004847AB">
        <w:rPr>
          <w:rFonts w:eastAsia="Times New Roman"/>
        </w:rPr>
        <w:fldChar w:fldCharType="end"/>
      </w:r>
      <w:r w:rsidRPr="004847AB">
        <w:rPr>
          <w:rFonts w:eastAsia="Times New Roman"/>
        </w:rPr>
        <w:t>), will likely replace them</w:t>
      </w:r>
      <w:r w:rsidRPr="004847AB">
        <w:t xml:space="preserve">. </w:t>
      </w:r>
      <w:r w:rsidRPr="004847AB">
        <w:rPr>
          <w:rFonts w:eastAsia="Times New Roman"/>
        </w:rPr>
        <w:t xml:space="preserve">The growth of offshore and onshore wind and photovoltaics resulting from state renewable targets and legislative funding ensure their development (see Section </w:t>
      </w:r>
      <w:r w:rsidR="004847AB" w:rsidRPr="004847AB">
        <w:rPr>
          <w:rFonts w:eastAsia="Times New Roman"/>
        </w:rPr>
        <w:fldChar w:fldCharType="begin"/>
      </w:r>
      <w:r w:rsidR="004847AB" w:rsidRPr="004847AB">
        <w:rPr>
          <w:rFonts w:eastAsia="Times New Roman"/>
        </w:rPr>
        <w:instrText xml:space="preserve"> REF _Ref11945617 \r \h </w:instrText>
      </w:r>
      <w:r w:rsidR="004847AB">
        <w:rPr>
          <w:rFonts w:eastAsia="Times New Roman"/>
        </w:rPr>
        <w:instrText xml:space="preserve"> \* MERGEFORMAT </w:instrText>
      </w:r>
      <w:r w:rsidR="004847AB" w:rsidRPr="004847AB">
        <w:rPr>
          <w:rFonts w:eastAsia="Times New Roman"/>
        </w:rPr>
      </w:r>
      <w:r w:rsidR="004847AB" w:rsidRPr="004847AB">
        <w:rPr>
          <w:rFonts w:eastAsia="Times New Roman"/>
        </w:rPr>
        <w:fldChar w:fldCharType="separate"/>
      </w:r>
      <w:r w:rsidR="005D0B73">
        <w:rPr>
          <w:rFonts w:eastAsia="Times New Roman"/>
        </w:rPr>
        <w:t>8.4</w:t>
      </w:r>
      <w:r w:rsidR="004847AB" w:rsidRPr="004847AB">
        <w:rPr>
          <w:rFonts w:eastAsia="Times New Roman"/>
        </w:rPr>
        <w:fldChar w:fldCharType="end"/>
      </w:r>
      <w:r w:rsidRPr="004847AB">
        <w:rPr>
          <w:rFonts w:eastAsia="Times New Roman"/>
        </w:rPr>
        <w:t>).</w:t>
      </w:r>
      <w:r w:rsidRPr="004847AB">
        <w:t xml:space="preserve"> </w:t>
      </w:r>
      <w:r w:rsidR="00EA307A" w:rsidRPr="004847AB">
        <w:fldChar w:fldCharType="begin"/>
      </w:r>
      <w:r w:rsidR="00EA307A" w:rsidRPr="004847AB">
        <w:instrText xml:space="preserve"> REF _Ref11823488 \h  \* MERGEFORMAT </w:instrText>
      </w:r>
      <w:r w:rsidR="00EA307A" w:rsidRPr="004847AB">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2</w:t>
      </w:r>
      <w:r w:rsidR="00EA307A" w:rsidRPr="004847AB">
        <w:fldChar w:fldCharType="end"/>
      </w:r>
      <w:r w:rsidR="00EA307A" w:rsidRPr="004847AB">
        <w:t xml:space="preserve"> </w:t>
      </w:r>
      <w:r w:rsidRPr="004847AB">
        <w:t>shows the expected regional resource winter capacity mix for 2019, 2022, and 2028. As indicated, offshore wind generation in the capacity mix is expected to grow</w:t>
      </w:r>
      <w:r w:rsidRPr="00E2185A">
        <w:t xml:space="preserve"> from approximately 0.1% in winter 2019 to 10.1% in 2028.</w:t>
      </w:r>
    </w:p>
    <w:p w14:paraId="4362CF2C" w14:textId="131303BF" w:rsidR="00A01B23" w:rsidRPr="00E2185A" w:rsidRDefault="00A03DBC" w:rsidP="00A03DBC">
      <w:pPr>
        <w:keepNext/>
        <w:keepLines/>
        <w:spacing w:after="0" w:line="240" w:lineRule="auto"/>
        <w:jc w:val="center"/>
      </w:pPr>
      <w:r w:rsidRPr="00A03DBC">
        <w:rPr>
          <w:noProof/>
        </w:rPr>
        <w:drawing>
          <wp:inline distT="0" distB="0" distL="0" distR="0" wp14:anchorId="1DC71D4F" wp14:editId="532F6F4B">
            <wp:extent cx="4919556" cy="3506161"/>
            <wp:effectExtent l="19050" t="19050" r="1460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8606" cy="3512611"/>
                    </a:xfrm>
                    <a:prstGeom prst="rect">
                      <a:avLst/>
                    </a:prstGeom>
                    <a:noFill/>
                    <a:ln w="3175">
                      <a:solidFill>
                        <a:srgbClr val="000000"/>
                      </a:solidFill>
                    </a:ln>
                  </pic:spPr>
                </pic:pic>
              </a:graphicData>
            </a:graphic>
          </wp:inline>
        </w:drawing>
      </w:r>
    </w:p>
    <w:p w14:paraId="2E7E4552" w14:textId="2C6AC14F" w:rsidR="00E2185A" w:rsidRPr="00E2185A" w:rsidRDefault="00E2185A" w:rsidP="00AC5C6A">
      <w:pPr>
        <w:keepNext/>
        <w:keepLines/>
        <w:spacing w:before="120" w:after="80" w:line="240" w:lineRule="auto"/>
        <w:ind w:left="630" w:right="270"/>
        <w:rPr>
          <w:rFonts w:ascii="Calibri" w:hAnsi="Calibri"/>
          <w:b/>
          <w:bCs/>
          <w:szCs w:val="18"/>
        </w:rPr>
      </w:pPr>
      <w:bookmarkStart w:id="813" w:name="_Ref11823488"/>
      <w:bookmarkStart w:id="814" w:name="_Toc17709756"/>
      <w:r w:rsidRPr="00A03DBC">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2</w:t>
      </w:r>
      <w:r w:rsidR="008E7223">
        <w:rPr>
          <w:rFonts w:ascii="Calibri" w:hAnsi="Calibri"/>
          <w:b/>
          <w:bCs/>
          <w:szCs w:val="18"/>
        </w:rPr>
        <w:fldChar w:fldCharType="end"/>
      </w:r>
      <w:bookmarkEnd w:id="813"/>
      <w:r w:rsidRPr="00A03DBC">
        <w:rPr>
          <w:rFonts w:ascii="Calibri" w:hAnsi="Calibri"/>
          <w:b/>
          <w:bCs/>
          <w:szCs w:val="18"/>
        </w:rPr>
        <w:t xml:space="preserve">: </w:t>
      </w:r>
      <w:r w:rsidR="005B16D2" w:rsidRPr="00A03DBC">
        <w:rPr>
          <w:rFonts w:ascii="Calibri" w:hAnsi="Calibri"/>
          <w:b/>
          <w:bCs/>
          <w:szCs w:val="18"/>
        </w:rPr>
        <w:t>N</w:t>
      </w:r>
      <w:r w:rsidR="00A01B23" w:rsidRPr="00A03DBC">
        <w:rPr>
          <w:rFonts w:ascii="Calibri" w:hAnsi="Calibri"/>
          <w:b/>
          <w:bCs/>
          <w:szCs w:val="18"/>
        </w:rPr>
        <w:t xml:space="preserve">ew England </w:t>
      </w:r>
      <w:r w:rsidR="00A01B23" w:rsidRPr="00A03DBC">
        <w:rPr>
          <w:rFonts w:asciiTheme="majorHAnsi" w:hAnsiTheme="majorHAnsi"/>
          <w:b/>
          <w:bCs/>
        </w:rPr>
        <w:t>g</w:t>
      </w:r>
      <w:r w:rsidRPr="00A03DBC">
        <w:rPr>
          <w:rFonts w:asciiTheme="majorHAnsi" w:hAnsiTheme="majorHAnsi"/>
          <w:b/>
          <w:bCs/>
        </w:rPr>
        <w:t>enerat</w:t>
      </w:r>
      <w:r w:rsidR="00A01B23" w:rsidRPr="00A03DBC">
        <w:rPr>
          <w:rFonts w:asciiTheme="majorHAnsi" w:hAnsiTheme="majorHAnsi"/>
          <w:b/>
          <w:bCs/>
        </w:rPr>
        <w:t>or</w:t>
      </w:r>
      <w:r w:rsidRPr="00A03DBC">
        <w:rPr>
          <w:rFonts w:asciiTheme="majorHAnsi" w:hAnsiTheme="majorHAnsi"/>
          <w:b/>
          <w:bCs/>
        </w:rPr>
        <w:t xml:space="preserve"> winter capability by fuel type based on the 2019 CELT</w:t>
      </w:r>
      <w:r w:rsidR="00AC5C6A" w:rsidRPr="00A03DBC">
        <w:rPr>
          <w:rFonts w:asciiTheme="majorHAnsi" w:hAnsiTheme="majorHAnsi"/>
          <w:b/>
          <w:bCs/>
        </w:rPr>
        <w:br/>
      </w:r>
      <w:r w:rsidRPr="00A03DBC">
        <w:rPr>
          <w:rFonts w:asciiTheme="majorHAnsi" w:hAnsiTheme="majorHAnsi"/>
          <w:b/>
          <w:bCs/>
        </w:rPr>
        <w:t xml:space="preserve">Report, the interconnection queue, and FCM-cleared capacity for </w:t>
      </w:r>
      <w:r w:rsidRPr="00A03DBC">
        <w:rPr>
          <w:rFonts w:asciiTheme="majorHAnsi" w:hAnsiTheme="majorHAnsi"/>
          <w:b/>
        </w:rPr>
        <w:t>2019, 2023 and 2028</w:t>
      </w:r>
      <w:r w:rsidRPr="00A03DBC" w:rsidDel="001C4241">
        <w:rPr>
          <w:rFonts w:asciiTheme="majorHAnsi" w:hAnsiTheme="majorHAnsi"/>
          <w:b/>
          <w:bCs/>
        </w:rPr>
        <w:t xml:space="preserve"> </w:t>
      </w:r>
      <w:r w:rsidRPr="00A03DBC">
        <w:rPr>
          <w:rFonts w:asciiTheme="majorHAnsi" w:hAnsiTheme="majorHAnsi"/>
          <w:b/>
          <w:bCs/>
        </w:rPr>
        <w:t>(MW, %).</w:t>
      </w:r>
      <w:bookmarkEnd w:id="814"/>
      <w:r w:rsidRPr="00E2185A">
        <w:rPr>
          <w:rFonts w:asciiTheme="majorHAnsi" w:hAnsiTheme="majorHAnsi"/>
          <w:b/>
          <w:bCs/>
        </w:rPr>
        <w:t xml:space="preserve"> </w:t>
      </w:r>
    </w:p>
    <w:p w14:paraId="3D363920" w14:textId="71973268" w:rsidR="00E2185A" w:rsidRPr="00E2185A" w:rsidRDefault="00E2185A" w:rsidP="00A03DBC">
      <w:pPr>
        <w:spacing w:line="240" w:lineRule="auto"/>
        <w:ind w:left="634" w:right="547"/>
        <w:rPr>
          <w:rFonts w:asciiTheme="minorHAnsi" w:eastAsia="Times New Roman" w:hAnsiTheme="minorHAnsi"/>
          <w:sz w:val="16"/>
          <w:szCs w:val="16"/>
        </w:rPr>
      </w:pPr>
      <w:r w:rsidRPr="00E2185A">
        <w:rPr>
          <w:rFonts w:asciiTheme="minorHAnsi" w:eastAsia="Times New Roman" w:hAnsiTheme="minorHAnsi"/>
          <w:b/>
          <w:sz w:val="16"/>
          <w:szCs w:val="16"/>
        </w:rPr>
        <w:t>Note:</w:t>
      </w:r>
      <w:r w:rsidRPr="00E2185A">
        <w:rPr>
          <w:rFonts w:asciiTheme="minorHAnsi" w:eastAsia="Times New Roman" w:hAnsiTheme="minorHAnsi"/>
          <w:sz w:val="16"/>
          <w:szCs w:val="16"/>
        </w:rPr>
        <w:t xml:space="preserve"> The figure does not include interchange with neighboring regions (see Section</w:t>
      </w:r>
      <w:r w:rsidR="00AC5C6A">
        <w:rPr>
          <w:rFonts w:asciiTheme="minorHAnsi" w:eastAsia="Times New Roman" w:hAnsiTheme="minorHAnsi"/>
          <w:sz w:val="16"/>
          <w:szCs w:val="16"/>
        </w:rPr>
        <w:t xml:space="preserve"> </w:t>
      </w:r>
      <w:r w:rsidR="00AC5C6A">
        <w:rPr>
          <w:rFonts w:asciiTheme="minorHAnsi" w:eastAsia="Times New Roman" w:hAnsiTheme="minorHAnsi"/>
          <w:sz w:val="16"/>
          <w:szCs w:val="16"/>
        </w:rPr>
        <w:fldChar w:fldCharType="begin"/>
      </w:r>
      <w:r w:rsidR="00AC5C6A">
        <w:rPr>
          <w:rFonts w:asciiTheme="minorHAnsi" w:eastAsia="Times New Roman" w:hAnsiTheme="minorHAnsi"/>
          <w:sz w:val="16"/>
          <w:szCs w:val="16"/>
        </w:rPr>
        <w:instrText xml:space="preserve"> REF _Ref17710971 \n \h </w:instrText>
      </w:r>
      <w:r w:rsidR="00AC5C6A">
        <w:rPr>
          <w:rFonts w:asciiTheme="minorHAnsi" w:eastAsia="Times New Roman" w:hAnsiTheme="minorHAnsi"/>
          <w:sz w:val="16"/>
          <w:szCs w:val="16"/>
        </w:rPr>
      </w:r>
      <w:r w:rsidR="00AC5C6A">
        <w:rPr>
          <w:rFonts w:asciiTheme="minorHAnsi" w:eastAsia="Times New Roman" w:hAnsiTheme="minorHAnsi"/>
          <w:sz w:val="16"/>
          <w:szCs w:val="16"/>
        </w:rPr>
        <w:fldChar w:fldCharType="separate"/>
      </w:r>
      <w:r w:rsidR="005D0B73">
        <w:rPr>
          <w:rFonts w:asciiTheme="minorHAnsi" w:eastAsia="Times New Roman" w:hAnsiTheme="minorHAnsi"/>
          <w:sz w:val="16"/>
          <w:szCs w:val="16"/>
        </w:rPr>
        <w:t>6.7</w:t>
      </w:r>
      <w:r w:rsidR="00AC5C6A">
        <w:rPr>
          <w:rFonts w:asciiTheme="minorHAnsi" w:eastAsia="Times New Roman" w:hAnsiTheme="minorHAnsi"/>
          <w:sz w:val="16"/>
          <w:szCs w:val="16"/>
        </w:rPr>
        <w:fldChar w:fldCharType="end"/>
      </w:r>
      <w:r w:rsidRPr="00E2185A">
        <w:rPr>
          <w:rFonts w:asciiTheme="minorHAnsi" w:eastAsia="Times New Roman" w:hAnsiTheme="minorHAnsi"/>
          <w:sz w:val="16"/>
          <w:szCs w:val="16"/>
        </w:rPr>
        <w:t xml:space="preserve">). It also does not include active demand resources, EE, and BTM PV (see </w:t>
      </w:r>
      <w:r w:rsidRPr="00E2185A">
        <w:rPr>
          <w:rFonts w:asciiTheme="minorHAnsi" w:eastAsia="Times New Roman" w:hAnsiTheme="minorHAnsi"/>
          <w:sz w:val="16"/>
          <w:szCs w:val="16"/>
        </w:rPr>
        <w:fldChar w:fldCharType="begin"/>
      </w:r>
      <w:r w:rsidRPr="00E2185A">
        <w:rPr>
          <w:rFonts w:asciiTheme="minorHAnsi" w:eastAsia="Times New Roman" w:hAnsiTheme="minorHAnsi"/>
          <w:sz w:val="16"/>
          <w:szCs w:val="16"/>
        </w:rPr>
        <w:instrText xml:space="preserve"> REF _Ref418357222 \r \h  \* MERGEFORMAT </w:instrText>
      </w:r>
      <w:r w:rsidRPr="00E2185A">
        <w:rPr>
          <w:rFonts w:asciiTheme="minorHAnsi" w:eastAsia="Times New Roman" w:hAnsiTheme="minorHAnsi"/>
          <w:sz w:val="16"/>
          <w:szCs w:val="16"/>
        </w:rPr>
      </w:r>
      <w:r w:rsidRPr="00E2185A">
        <w:rPr>
          <w:rFonts w:asciiTheme="minorHAnsi" w:eastAsia="Times New Roman" w:hAnsiTheme="minorHAnsi"/>
          <w:sz w:val="16"/>
          <w:szCs w:val="16"/>
        </w:rPr>
        <w:fldChar w:fldCharType="separate"/>
      </w:r>
      <w:r w:rsidR="005D0B73">
        <w:rPr>
          <w:rFonts w:asciiTheme="minorHAnsi" w:eastAsia="Times New Roman" w:hAnsiTheme="minorHAnsi"/>
          <w:sz w:val="16"/>
          <w:szCs w:val="16"/>
        </w:rPr>
        <w:t>Section 3</w:t>
      </w:r>
      <w:r w:rsidRPr="00E2185A">
        <w:rPr>
          <w:rFonts w:asciiTheme="minorHAnsi" w:eastAsia="Times New Roman" w:hAnsiTheme="minorHAnsi"/>
          <w:sz w:val="16"/>
          <w:szCs w:val="16"/>
        </w:rPr>
        <w:fldChar w:fldCharType="end"/>
      </w:r>
      <w:r w:rsidRPr="00E2185A">
        <w:rPr>
          <w:rFonts w:asciiTheme="minorHAnsi" w:eastAsia="Times New Roman" w:hAnsiTheme="minorHAnsi"/>
          <w:sz w:val="16"/>
          <w:szCs w:val="16"/>
        </w:rPr>
        <w:t>). A total of 1,869 MW of PV resources forecasted to be added by summer 2028 are not reflected in the winter capabilities. Onshore wind is derated to 30% of nameplate capacity based on an average ratio of winter SCC to nameplate for existing wind units, and offshore wind is derated to 50% of nameplate capacity based on the anticipated ratio of winter SCC to nameplate for existing as well as proposed wind facilities.</w:t>
      </w:r>
      <w:r w:rsidR="000A75DF">
        <w:rPr>
          <w:rFonts w:asciiTheme="minorHAnsi" w:eastAsia="Times New Roman" w:hAnsiTheme="minorHAnsi"/>
          <w:sz w:val="16"/>
          <w:szCs w:val="16"/>
        </w:rPr>
        <w:t xml:space="preserve"> </w:t>
      </w:r>
      <w:r w:rsidR="000A75DF" w:rsidRPr="000A75DF">
        <w:rPr>
          <w:rFonts w:asciiTheme="minorHAnsi" w:eastAsia="Times New Roman" w:hAnsiTheme="minorHAnsi"/>
          <w:sz w:val="16"/>
          <w:szCs w:val="16"/>
        </w:rPr>
        <w:t>For 2019, 2023, and 2028</w:t>
      </w:r>
      <w:r w:rsidR="000A75DF">
        <w:rPr>
          <w:rFonts w:asciiTheme="minorHAnsi" w:eastAsia="Times New Roman" w:hAnsiTheme="minorHAnsi"/>
          <w:sz w:val="16"/>
          <w:szCs w:val="16"/>
        </w:rPr>
        <w:t>,</w:t>
      </w:r>
      <w:r w:rsidR="000A75DF" w:rsidRPr="000A75DF">
        <w:rPr>
          <w:rFonts w:asciiTheme="minorHAnsi" w:eastAsia="Times New Roman" w:hAnsiTheme="minorHAnsi"/>
          <w:sz w:val="16"/>
          <w:szCs w:val="16"/>
        </w:rPr>
        <w:t xml:space="preserve"> respectively, the figure shows offshore wind at 19 MW (0.1%), 102 </w:t>
      </w:r>
      <w:r w:rsidR="000A75DF">
        <w:rPr>
          <w:rFonts w:asciiTheme="minorHAnsi" w:eastAsia="Times New Roman" w:hAnsiTheme="minorHAnsi"/>
          <w:sz w:val="16"/>
          <w:szCs w:val="16"/>
        </w:rPr>
        <w:t>M</w:t>
      </w:r>
      <w:r w:rsidR="000A75DF" w:rsidRPr="000A75DF">
        <w:rPr>
          <w:rFonts w:asciiTheme="minorHAnsi" w:eastAsia="Times New Roman" w:hAnsiTheme="minorHAnsi"/>
          <w:sz w:val="16"/>
          <w:szCs w:val="16"/>
        </w:rPr>
        <w:t>W (0.3%), and</w:t>
      </w:r>
      <w:r w:rsidR="00A03DBC">
        <w:rPr>
          <w:rFonts w:asciiTheme="minorHAnsi" w:eastAsia="Times New Roman" w:hAnsiTheme="minorHAnsi"/>
          <w:sz w:val="16"/>
          <w:szCs w:val="16"/>
        </w:rPr>
        <w:t xml:space="preserve"> </w:t>
      </w:r>
      <w:r w:rsidR="000A75DF" w:rsidRPr="000A75DF">
        <w:rPr>
          <w:rFonts w:asciiTheme="minorHAnsi" w:eastAsia="Times New Roman" w:hAnsiTheme="minorHAnsi"/>
          <w:sz w:val="16"/>
          <w:szCs w:val="16"/>
        </w:rPr>
        <w:t>4,204 MW (10.1%); onshore wind at 396 MW (1.2%), 407 MW (1.2%), and 1,067 MW (2.6%); battery storage at 0 MW (0%), 0 MW (0%), and 1,216 MW (2.9%); and coal at 917 MW (2.7%), 535 MW (1.6%), and 535 MW (1.3%).</w:t>
      </w:r>
    </w:p>
    <w:p w14:paraId="643A4E66" w14:textId="0A17774D" w:rsidR="00E2185A" w:rsidRPr="00E2185A" w:rsidRDefault="00E2185A" w:rsidP="00A03DBC">
      <w:pPr>
        <w:spacing w:line="240" w:lineRule="auto"/>
        <w:ind w:right="547"/>
        <w:rPr>
          <w:rFonts w:asciiTheme="minorHAnsi" w:eastAsia="Times New Roman" w:hAnsiTheme="minorHAnsi"/>
          <w:sz w:val="16"/>
          <w:szCs w:val="16"/>
        </w:rPr>
      </w:pPr>
      <w:r w:rsidRPr="00E2185A">
        <w:lastRenderedPageBreak/>
        <w:t xml:space="preserve">The unavailability of fuel, coupled with the unpredictability of renewable resources, could result in operational issues. Winter operable-capacity analyses indicate under certain extreme conditions that the region may face shortfalls and may need to rely on additional imports or load and capacity-relief actions from OP 4, </w:t>
      </w:r>
      <w:r w:rsidRPr="00E2185A">
        <w:rPr>
          <w:i/>
        </w:rPr>
        <w:t>Actions during a Capacity Deficiency,</w:t>
      </w:r>
      <w:r w:rsidRPr="00E2185A">
        <w:t xml:space="preserve"> to meet peak demand</w:t>
      </w:r>
      <w:r w:rsidR="00A73765">
        <w:t xml:space="preserve"> (see Section </w:t>
      </w:r>
      <w:r w:rsidR="00A73765">
        <w:fldChar w:fldCharType="begin"/>
      </w:r>
      <w:r w:rsidR="00A73765">
        <w:instrText xml:space="preserve"> REF _Ref419703700 \r \h </w:instrText>
      </w:r>
      <w:r w:rsidR="00A73765">
        <w:fldChar w:fldCharType="separate"/>
      </w:r>
      <w:r w:rsidR="005D0B73">
        <w:t>4.3</w:t>
      </w:r>
      <w:r w:rsidR="00A73765">
        <w:fldChar w:fldCharType="end"/>
      </w:r>
      <w:r w:rsidR="00A73765">
        <w:t>)</w:t>
      </w:r>
      <w:r w:rsidRPr="00E2185A">
        <w:t>.</w:t>
      </w:r>
    </w:p>
    <w:p w14:paraId="2BDE8DBA" w14:textId="77777777" w:rsidR="00E2185A" w:rsidRPr="00A03DBC" w:rsidRDefault="00E2185A" w:rsidP="00A03DBC">
      <w:pPr>
        <w:pStyle w:val="Heading2"/>
        <w:rPr>
          <w:rFonts w:eastAsia="Times New Roman"/>
          <w:b w:val="0"/>
          <w:bCs w:val="0"/>
        </w:rPr>
      </w:pPr>
      <w:bookmarkStart w:id="815" w:name="_Ref8636893"/>
      <w:bookmarkStart w:id="816" w:name="_Toc12795218"/>
      <w:r w:rsidRPr="00A03DBC">
        <w:rPr>
          <w:rFonts w:eastAsia="Times New Roman"/>
        </w:rPr>
        <w:t>Natural Gas Infrastructure</w:t>
      </w:r>
      <w:bookmarkEnd w:id="815"/>
      <w:bookmarkEnd w:id="816"/>
      <w:r w:rsidRPr="00A03DBC">
        <w:rPr>
          <w:rFonts w:eastAsia="Times New Roman"/>
        </w:rPr>
        <w:t xml:space="preserve"> </w:t>
      </w:r>
    </w:p>
    <w:p w14:paraId="13EFD6EA" w14:textId="77777777" w:rsidR="00E2185A" w:rsidRPr="00E2185A" w:rsidRDefault="00E2185A" w:rsidP="00E2185A">
      <w:r w:rsidRPr="00E2185A">
        <w:rPr>
          <w:rFonts w:cs="NeueHaasGroteskText Std"/>
        </w:rPr>
        <w:t xml:space="preserve">The natural gas pipeline system within New England is relatively small, and its access to the rest of the North American pipeline network is limited. </w:t>
      </w:r>
      <w:r w:rsidRPr="00E2185A">
        <w:t>This section summarizes the natural gas delivery system in New England, including LNG terminals, and pending improvements to the pipeline system.</w:t>
      </w:r>
    </w:p>
    <w:p w14:paraId="73148747" w14:textId="77777777" w:rsidR="00E2185A" w:rsidRPr="00E2185A" w:rsidRDefault="00E2185A" w:rsidP="00A03DBC">
      <w:pPr>
        <w:pStyle w:val="Heading3"/>
      </w:pPr>
      <w:bookmarkStart w:id="817" w:name="_Ref8637001"/>
      <w:bookmarkStart w:id="818" w:name="_Toc12795219"/>
      <w:r w:rsidRPr="00E2185A">
        <w:t>Natural Gas Pipelines and LNG Terminals</w:t>
      </w:r>
      <w:bookmarkEnd w:id="817"/>
      <w:bookmarkEnd w:id="818"/>
    </w:p>
    <w:p w14:paraId="75969870" w14:textId="77777777" w:rsidR="00E2185A" w:rsidRPr="00E2185A" w:rsidRDefault="00E2185A" w:rsidP="00E2185A">
      <w:r w:rsidRPr="00E2185A">
        <w:t>Natural gas-fired generators receive fuel from five interstate pipelines serving New England:</w:t>
      </w:r>
    </w:p>
    <w:p w14:paraId="2D630563" w14:textId="77777777" w:rsidR="00E2185A" w:rsidRPr="00E2185A" w:rsidRDefault="00E2185A" w:rsidP="00E2185A">
      <w:pPr>
        <w:numPr>
          <w:ilvl w:val="0"/>
          <w:numId w:val="575"/>
        </w:numPr>
        <w:spacing w:after="120"/>
      </w:pPr>
      <w:r w:rsidRPr="00E2185A">
        <w:t>Three originate from the south and west:</w:t>
      </w:r>
    </w:p>
    <w:p w14:paraId="4AD274D1" w14:textId="77777777" w:rsidR="00E2185A" w:rsidRPr="00E2185A" w:rsidRDefault="00E2185A" w:rsidP="00E2185A">
      <w:pPr>
        <w:numPr>
          <w:ilvl w:val="1"/>
          <w:numId w:val="575"/>
        </w:numPr>
        <w:spacing w:after="120"/>
      </w:pPr>
      <w:r w:rsidRPr="00E2185A">
        <w:t>Algonquin Gas Transmission (AGT) Pipeline</w:t>
      </w:r>
    </w:p>
    <w:p w14:paraId="06D84534" w14:textId="77777777" w:rsidR="00E2185A" w:rsidRPr="00E2185A" w:rsidRDefault="00E2185A" w:rsidP="00E2185A">
      <w:pPr>
        <w:numPr>
          <w:ilvl w:val="1"/>
          <w:numId w:val="575"/>
        </w:numPr>
        <w:spacing w:after="120"/>
      </w:pPr>
      <w:r w:rsidRPr="00E2185A">
        <w:t>Tennessee Gas Pipeline (TGP)</w:t>
      </w:r>
    </w:p>
    <w:p w14:paraId="31E3961C" w14:textId="77777777" w:rsidR="00E2185A" w:rsidRPr="00E2185A" w:rsidRDefault="00E2185A" w:rsidP="00E2185A">
      <w:pPr>
        <w:numPr>
          <w:ilvl w:val="1"/>
          <w:numId w:val="575"/>
        </w:numPr>
      </w:pPr>
      <w:r w:rsidRPr="00E2185A">
        <w:t>Iroquois Gas Transmission System (IGTS)</w:t>
      </w:r>
    </w:p>
    <w:p w14:paraId="03028F2F" w14:textId="77777777" w:rsidR="00E2185A" w:rsidRPr="00E2185A" w:rsidRDefault="00E2185A" w:rsidP="00E2185A">
      <w:pPr>
        <w:numPr>
          <w:ilvl w:val="0"/>
          <w:numId w:val="575"/>
        </w:numPr>
        <w:spacing w:after="120"/>
        <w:rPr>
          <w:rFonts w:eastAsia="Times New Roman"/>
          <w:szCs w:val="24"/>
        </w:rPr>
      </w:pPr>
      <w:r w:rsidRPr="00E2185A">
        <w:t>The Portland Natural Gas Transmission System (PNGTS) originates in the northwest portion of New Hampshire.</w:t>
      </w:r>
    </w:p>
    <w:p w14:paraId="143BBDD7" w14:textId="77777777" w:rsidR="00E2185A" w:rsidRPr="00E2185A" w:rsidRDefault="00E2185A" w:rsidP="00E2185A">
      <w:pPr>
        <w:numPr>
          <w:ilvl w:val="0"/>
          <w:numId w:val="575"/>
        </w:numPr>
        <w:spacing w:after="120"/>
      </w:pPr>
      <w:r w:rsidRPr="00E2185A">
        <w:t xml:space="preserve">The Maritimes and Northeast (M&amp;N) Pipeline originates in the Canadian Maritime province. </w:t>
      </w:r>
    </w:p>
    <w:p w14:paraId="52EEAAB0" w14:textId="77777777" w:rsidR="00E2185A" w:rsidRPr="00E2185A" w:rsidRDefault="00E2185A" w:rsidP="00E2185A">
      <w:r w:rsidRPr="00E2185A">
        <w:t xml:space="preserve">Three LNG import terminals also serve New England, two onshore and one offshore: </w:t>
      </w:r>
    </w:p>
    <w:p w14:paraId="2916FAA8" w14:textId="77777777" w:rsidR="00E2185A" w:rsidRPr="00E2185A" w:rsidRDefault="00E2185A" w:rsidP="00E2185A">
      <w:pPr>
        <w:numPr>
          <w:ilvl w:val="0"/>
          <w:numId w:val="580"/>
        </w:numPr>
        <w:spacing w:after="120"/>
      </w:pPr>
      <w:r w:rsidRPr="00E2185A">
        <w:t>The Everett LNG Facility (a.k.a Distrigas) in Everett, Massachusetts and New Brunswick’s Canaport LNG terminal</w:t>
      </w:r>
    </w:p>
    <w:p w14:paraId="719AB4E7" w14:textId="77777777" w:rsidR="00E2185A" w:rsidRPr="00E2185A" w:rsidRDefault="00E2185A" w:rsidP="00E2185A">
      <w:pPr>
        <w:numPr>
          <w:ilvl w:val="0"/>
          <w:numId w:val="580"/>
        </w:numPr>
      </w:pPr>
      <w:r w:rsidRPr="00E2185A">
        <w:t xml:space="preserve">Northeast Gateway’s Deepwater Port (offshore LNG terminal) </w:t>
      </w:r>
    </w:p>
    <w:p w14:paraId="6753EA55" w14:textId="0D10384C" w:rsidR="0089113C" w:rsidRDefault="00E2185A" w:rsidP="00867BD9">
      <w:r w:rsidRPr="00E2185A">
        <w:t xml:space="preserve">The Everett LNG Facility is connected to the AGT and TGP pipelines and the local gas distribution company (National Grid)—the gas utility serving Boston’s residential, commercial, and industrial customers. The Canaport LNG terminal sends gas through the Brunswick pipeline, which directly connects to the M&amp;N Pipeline. The M&amp;N Pipeline can deliver gas to the Canadian Maritimes provinces. </w:t>
      </w:r>
      <w:r w:rsidRPr="00E2185A">
        <w:fldChar w:fldCharType="begin"/>
      </w:r>
      <w:r w:rsidRPr="00E2185A">
        <w:instrText xml:space="preserve"> REF _Ref8043587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3</w:t>
      </w:r>
      <w:r w:rsidRPr="00E2185A">
        <w:fldChar w:fldCharType="end"/>
      </w:r>
      <w:r w:rsidR="00B07A65">
        <w:t xml:space="preserve"> </w:t>
      </w:r>
      <w:r w:rsidRPr="00E2185A">
        <w:t>shows the major natural gas infrastructure serving New England.</w:t>
      </w:r>
    </w:p>
    <w:p w14:paraId="3542B4DC" w14:textId="4C2C68E1" w:rsidR="0089113C" w:rsidRPr="0089113C" w:rsidRDefault="0089113C" w:rsidP="00A73765">
      <w:pPr>
        <w:spacing w:after="0" w:line="240" w:lineRule="auto"/>
        <w:jc w:val="center"/>
      </w:pPr>
      <w:r w:rsidRPr="0089113C">
        <w:rPr>
          <w:noProof/>
        </w:rPr>
        <w:lastRenderedPageBreak/>
        <w:drawing>
          <wp:inline distT="0" distB="0" distL="0" distR="0" wp14:anchorId="58E06641" wp14:editId="10C891F4">
            <wp:extent cx="5308228" cy="2738120"/>
            <wp:effectExtent l="19050" t="19050" r="2603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0031" cy="2744208"/>
                    </a:xfrm>
                    <a:prstGeom prst="rect">
                      <a:avLst/>
                    </a:prstGeom>
                    <a:noFill/>
                    <a:ln w="3175">
                      <a:solidFill>
                        <a:srgbClr val="000000"/>
                      </a:solidFill>
                    </a:ln>
                  </pic:spPr>
                </pic:pic>
              </a:graphicData>
            </a:graphic>
          </wp:inline>
        </w:drawing>
      </w:r>
    </w:p>
    <w:p w14:paraId="0E67ACC5" w14:textId="3D18134F" w:rsidR="00E2185A" w:rsidRPr="00867BD9" w:rsidRDefault="00E2185A" w:rsidP="00A73765">
      <w:pPr>
        <w:keepNext/>
        <w:keepLines/>
        <w:spacing w:before="120" w:after="80" w:line="240" w:lineRule="auto"/>
        <w:ind w:left="360" w:right="360"/>
        <w:rPr>
          <w:rFonts w:asciiTheme="minorHAnsi" w:hAnsiTheme="minorHAnsi"/>
          <w:b/>
          <w:bCs/>
          <w:szCs w:val="18"/>
        </w:rPr>
      </w:pPr>
      <w:bookmarkStart w:id="819" w:name="_Ref8043587"/>
      <w:bookmarkStart w:id="820" w:name="_Toc17709757"/>
      <w:r w:rsidRPr="00867BD9">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3</w:t>
      </w:r>
      <w:r w:rsidR="008E7223">
        <w:rPr>
          <w:rFonts w:ascii="Calibri" w:hAnsi="Calibri"/>
          <w:b/>
          <w:bCs/>
          <w:szCs w:val="18"/>
        </w:rPr>
        <w:fldChar w:fldCharType="end"/>
      </w:r>
      <w:bookmarkEnd w:id="819"/>
      <w:r w:rsidRPr="00867BD9">
        <w:rPr>
          <w:rFonts w:asciiTheme="minorHAnsi" w:hAnsiTheme="minorHAnsi"/>
          <w:b/>
          <w:bCs/>
          <w:szCs w:val="18"/>
        </w:rPr>
        <w:t>: Map of natural gas infrastructure serving New England</w:t>
      </w:r>
      <w:r w:rsidR="00A73765" w:rsidRPr="00867BD9">
        <w:rPr>
          <w:rFonts w:asciiTheme="minorHAnsi" w:hAnsiTheme="minorHAnsi"/>
          <w:b/>
          <w:bCs/>
          <w:szCs w:val="18"/>
        </w:rPr>
        <w:t xml:space="preserve"> (operating pipelines, LNG import terminals, and gas hub pricing points in New England)</w:t>
      </w:r>
      <w:r w:rsidRPr="00867BD9">
        <w:rPr>
          <w:rFonts w:asciiTheme="minorHAnsi" w:hAnsiTheme="minorHAnsi"/>
          <w:b/>
          <w:bCs/>
          <w:szCs w:val="18"/>
        </w:rPr>
        <w:t>.</w:t>
      </w:r>
      <w:bookmarkEnd w:id="820"/>
    </w:p>
    <w:p w14:paraId="3A5BCA9F" w14:textId="52FA49E5" w:rsidR="00E2185A" w:rsidRPr="00A93FE0" w:rsidRDefault="00E2185A" w:rsidP="00A73765">
      <w:pPr>
        <w:keepNext/>
        <w:keepLines/>
        <w:spacing w:line="240" w:lineRule="auto"/>
        <w:ind w:left="360" w:right="360"/>
        <w:rPr>
          <w:rFonts w:asciiTheme="minorHAnsi" w:hAnsiTheme="minorHAnsi"/>
          <w:bCs/>
          <w:sz w:val="18"/>
          <w:szCs w:val="18"/>
        </w:rPr>
      </w:pPr>
      <w:r w:rsidRPr="00867BD9">
        <w:rPr>
          <w:rFonts w:ascii="Calibri" w:hAnsi="Calibri"/>
          <w:b/>
          <w:bCs/>
          <w:sz w:val="18"/>
          <w:szCs w:val="18"/>
        </w:rPr>
        <w:t>Source</w:t>
      </w:r>
      <w:r w:rsidRPr="00867BD9">
        <w:rPr>
          <w:rFonts w:asciiTheme="minorHAnsi" w:hAnsiTheme="minorHAnsi"/>
          <w:b/>
          <w:bCs/>
          <w:sz w:val="18"/>
          <w:szCs w:val="18"/>
        </w:rPr>
        <w:t>:</w:t>
      </w:r>
      <w:r w:rsidRPr="00867BD9">
        <w:rPr>
          <w:rFonts w:asciiTheme="minorHAnsi" w:hAnsiTheme="minorHAnsi"/>
          <w:bCs/>
          <w:sz w:val="18"/>
          <w:szCs w:val="18"/>
        </w:rPr>
        <w:t xml:space="preserve"> </w:t>
      </w:r>
      <w:r w:rsidR="00A73765" w:rsidRPr="00867BD9">
        <w:rPr>
          <w:rFonts w:asciiTheme="minorHAnsi" w:hAnsiTheme="minorHAnsi"/>
          <w:bCs/>
          <w:sz w:val="18"/>
          <w:szCs w:val="18"/>
        </w:rPr>
        <w:t>© 2019 S&amp;P Global Market Intelligence All rights reserved. DeLorme, Maymylndia, © OpenStreetMap contributors.</w:t>
      </w:r>
    </w:p>
    <w:p w14:paraId="6E79136B" w14:textId="5B493DCA" w:rsidR="00E2185A" w:rsidRPr="00E2185A" w:rsidRDefault="00E2185A" w:rsidP="00E2185A">
      <w:pPr>
        <w:rPr>
          <w:rFonts w:asciiTheme="minorHAnsi" w:hAnsiTheme="minorHAnsi"/>
        </w:rPr>
      </w:pPr>
      <w:r w:rsidRPr="00E2185A">
        <w:fldChar w:fldCharType="begin"/>
      </w:r>
      <w:r w:rsidRPr="00E2185A">
        <w:instrText xml:space="preserve"> REF _Ref8042292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4</w:t>
      </w:r>
      <w:r w:rsidRPr="00E2185A">
        <w:fldChar w:fldCharType="end"/>
      </w:r>
      <w:r w:rsidRPr="00E2185A">
        <w:t xml:space="preserve"> shows the natural gas supply sources, including the Utica and Marcellus shales, and </w:t>
      </w:r>
      <w:r w:rsidRPr="00E2185A">
        <w:fldChar w:fldCharType="begin"/>
      </w:r>
      <w:r w:rsidRPr="00E2185A">
        <w:instrText xml:space="preserve"> REF _Ref8042298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5</w:t>
      </w:r>
      <w:r w:rsidRPr="00E2185A">
        <w:fldChar w:fldCharType="end"/>
      </w:r>
      <w:r w:rsidRPr="00E2185A">
        <w:t xml:space="preserve"> shows the interstate gas pipeline network in the lower 48 states. Figure 7-5 shows that New England has only two pipelines that can directly access Marcellus and Utica shale gas.</w:t>
      </w:r>
    </w:p>
    <w:p w14:paraId="35EAF206" w14:textId="77777777" w:rsidR="00AD27C5" w:rsidRPr="00E2185A" w:rsidRDefault="00AD27C5" w:rsidP="00A73765">
      <w:pPr>
        <w:keepNext/>
        <w:spacing w:after="0" w:line="240" w:lineRule="auto"/>
        <w:jc w:val="center"/>
        <w:rPr>
          <w:rFonts w:asciiTheme="minorHAnsi" w:hAnsiTheme="minorHAnsi"/>
        </w:rPr>
      </w:pPr>
      <w:r w:rsidRPr="00AD27C5">
        <w:rPr>
          <w:noProof/>
        </w:rPr>
        <w:drawing>
          <wp:inline distT="0" distB="0" distL="0" distR="0" wp14:anchorId="7C5766F2" wp14:editId="401557A9">
            <wp:extent cx="5280623" cy="2926080"/>
            <wp:effectExtent l="19050" t="19050" r="15875"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870" cy="2934528"/>
                    </a:xfrm>
                    <a:prstGeom prst="rect">
                      <a:avLst/>
                    </a:prstGeom>
                    <a:noFill/>
                    <a:ln w="3175">
                      <a:solidFill>
                        <a:srgbClr val="000000"/>
                      </a:solidFill>
                    </a:ln>
                  </pic:spPr>
                </pic:pic>
              </a:graphicData>
            </a:graphic>
          </wp:inline>
        </w:drawing>
      </w:r>
    </w:p>
    <w:p w14:paraId="1153974A" w14:textId="1EFA0B6E" w:rsidR="00E2185A" w:rsidRPr="00B345B0" w:rsidRDefault="00E2185A" w:rsidP="0044363F">
      <w:pPr>
        <w:keepNext/>
        <w:keepLines/>
        <w:spacing w:before="120" w:after="80" w:line="240" w:lineRule="auto"/>
        <w:ind w:left="360" w:right="446"/>
        <w:rPr>
          <w:rFonts w:ascii="Calibri" w:hAnsi="Calibri"/>
          <w:b/>
          <w:szCs w:val="18"/>
        </w:rPr>
      </w:pPr>
      <w:bookmarkStart w:id="821" w:name="_Ref8042292"/>
      <w:bookmarkStart w:id="822" w:name="_Toc17709758"/>
      <w:r w:rsidRPr="00B345B0">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4</w:t>
      </w:r>
      <w:r w:rsidR="008E7223">
        <w:rPr>
          <w:rFonts w:ascii="Calibri" w:hAnsi="Calibri"/>
          <w:b/>
          <w:bCs/>
          <w:szCs w:val="18"/>
        </w:rPr>
        <w:fldChar w:fldCharType="end"/>
      </w:r>
      <w:bookmarkEnd w:id="821"/>
      <w:r w:rsidRPr="00B345B0">
        <w:rPr>
          <w:rFonts w:ascii="Calibri" w:hAnsi="Calibri"/>
          <w:b/>
          <w:bCs/>
          <w:szCs w:val="18"/>
        </w:rPr>
        <w:t xml:space="preserve">: </w:t>
      </w:r>
      <w:r w:rsidRPr="00B345B0">
        <w:rPr>
          <w:rFonts w:ascii="Calibri" w:hAnsi="Calibri"/>
          <w:b/>
          <w:szCs w:val="18"/>
        </w:rPr>
        <w:t>Natural gas supply basins in the continental United States, May 2019.</w:t>
      </w:r>
      <w:bookmarkEnd w:id="822"/>
    </w:p>
    <w:p w14:paraId="4EDFB3D2" w14:textId="77777777" w:rsidR="00AD27C5" w:rsidRPr="008C2BC5" w:rsidRDefault="00E2185A" w:rsidP="0044363F">
      <w:pPr>
        <w:spacing w:line="240" w:lineRule="auto"/>
        <w:ind w:left="360" w:right="446"/>
        <w:rPr>
          <w:sz w:val="18"/>
          <w:szCs w:val="18"/>
        </w:rPr>
      </w:pPr>
      <w:r w:rsidRPr="008C2BC5">
        <w:rPr>
          <w:rFonts w:ascii="Calibri" w:hAnsi="Calibri"/>
          <w:b/>
          <w:bCs/>
          <w:sz w:val="18"/>
          <w:szCs w:val="18"/>
        </w:rPr>
        <w:t>Source:</w:t>
      </w:r>
      <w:r w:rsidR="00AD27C5" w:rsidRPr="008C2BC5">
        <w:rPr>
          <w:rFonts w:asciiTheme="minorHAnsi" w:hAnsiTheme="minorHAnsi" w:cstheme="minorHAnsi"/>
          <w:sz w:val="18"/>
          <w:szCs w:val="18"/>
        </w:rPr>
        <w:t xml:space="preserve"> © 2019 S&amp;P Global Market Intelligence All rights reserved. DeLorme, Maymylndia, © OpenStreetMap contributors</w:t>
      </w:r>
      <w:r w:rsidR="00A73765" w:rsidRPr="008C2BC5">
        <w:rPr>
          <w:rFonts w:asciiTheme="minorHAnsi" w:hAnsiTheme="minorHAnsi" w:cstheme="minorHAnsi"/>
          <w:sz w:val="18"/>
          <w:szCs w:val="18"/>
        </w:rPr>
        <w:t>.</w:t>
      </w:r>
    </w:p>
    <w:p w14:paraId="77025321" w14:textId="77777777" w:rsidR="00C22D1A" w:rsidRPr="00E2185A" w:rsidRDefault="00C22D1A" w:rsidP="00E2185A">
      <w:pPr>
        <w:spacing w:after="0" w:line="240" w:lineRule="auto"/>
        <w:jc w:val="center"/>
      </w:pPr>
      <w:r>
        <w:rPr>
          <w:noProof/>
        </w:rPr>
        <w:lastRenderedPageBreak/>
        <w:drawing>
          <wp:inline distT="0" distB="0" distL="0" distR="0" wp14:anchorId="0DD0D114" wp14:editId="1EF1A836">
            <wp:extent cx="5715000" cy="31699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169920"/>
                    </a:xfrm>
                    <a:prstGeom prst="rect">
                      <a:avLst/>
                    </a:prstGeom>
                    <a:noFill/>
                    <a:ln>
                      <a:noFill/>
                    </a:ln>
                  </pic:spPr>
                </pic:pic>
              </a:graphicData>
            </a:graphic>
          </wp:inline>
        </w:drawing>
      </w:r>
    </w:p>
    <w:p w14:paraId="2F3C2302" w14:textId="074FD8DD" w:rsidR="00E2185A" w:rsidRPr="00A93FE0" w:rsidRDefault="00E2185A" w:rsidP="00A93FE0">
      <w:pPr>
        <w:spacing w:before="120" w:after="80" w:line="240" w:lineRule="auto"/>
        <w:rPr>
          <w:rFonts w:asciiTheme="minorHAnsi" w:eastAsia="Times New Roman" w:hAnsiTheme="minorHAnsi" w:cs="Arial"/>
          <w:b/>
          <w:bCs/>
          <w:color w:val="444444"/>
        </w:rPr>
      </w:pPr>
      <w:bookmarkStart w:id="823" w:name="_Ref8042298"/>
      <w:bookmarkStart w:id="824" w:name="_Toc17709759"/>
      <w:r w:rsidRPr="00A93FE0">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5</w:t>
      </w:r>
      <w:r w:rsidR="008E7223">
        <w:rPr>
          <w:rFonts w:ascii="Calibri" w:hAnsi="Calibri"/>
          <w:b/>
          <w:bCs/>
          <w:szCs w:val="18"/>
        </w:rPr>
        <w:fldChar w:fldCharType="end"/>
      </w:r>
      <w:bookmarkEnd w:id="823"/>
      <w:r w:rsidRPr="00A93FE0">
        <w:rPr>
          <w:rFonts w:ascii="Calibri" w:hAnsi="Calibri"/>
          <w:b/>
          <w:bCs/>
          <w:szCs w:val="18"/>
        </w:rPr>
        <w:t xml:space="preserve">: </w:t>
      </w:r>
      <w:r w:rsidRPr="00A93FE0">
        <w:rPr>
          <w:rFonts w:asciiTheme="minorHAnsi" w:eastAsia="Times New Roman" w:hAnsiTheme="minorHAnsi" w:cs="Arial"/>
          <w:b/>
          <w:bCs/>
          <w:color w:val="444444"/>
        </w:rPr>
        <w:t>Natural gas interstate pipeline network in the continental United States, May 2019.</w:t>
      </w:r>
      <w:bookmarkEnd w:id="824"/>
    </w:p>
    <w:p w14:paraId="3117CDAF" w14:textId="77777777" w:rsidR="0099608F" w:rsidRPr="008C2BC5" w:rsidRDefault="00E2185A" w:rsidP="0044363F">
      <w:pPr>
        <w:spacing w:line="240" w:lineRule="auto"/>
        <w:rPr>
          <w:rFonts w:asciiTheme="majorHAnsi" w:hAnsiTheme="majorHAnsi" w:cstheme="majorHAnsi"/>
          <w:color w:val="000000"/>
          <w:sz w:val="18"/>
          <w:szCs w:val="18"/>
        </w:rPr>
      </w:pPr>
      <w:r w:rsidRPr="008C2BC5">
        <w:rPr>
          <w:rFonts w:asciiTheme="majorHAnsi" w:hAnsiTheme="majorHAnsi" w:cstheme="majorHAnsi"/>
          <w:b/>
          <w:sz w:val="18"/>
          <w:szCs w:val="18"/>
        </w:rPr>
        <w:t xml:space="preserve">Source: </w:t>
      </w:r>
      <w:r w:rsidR="0099608F" w:rsidRPr="008C2BC5">
        <w:rPr>
          <w:rFonts w:asciiTheme="majorHAnsi" w:hAnsiTheme="majorHAnsi" w:cstheme="majorHAnsi"/>
          <w:color w:val="000000"/>
          <w:sz w:val="18"/>
          <w:szCs w:val="18"/>
        </w:rPr>
        <w:t>© 2019 S&amp;P Global Market Intelligence All rights reserved. HERE, DeLorme, Maymylndia, © OpenStreetMap contributors</w:t>
      </w:r>
      <w:r w:rsidR="00A93FE0" w:rsidRPr="008C2BC5">
        <w:rPr>
          <w:rFonts w:asciiTheme="majorHAnsi" w:hAnsiTheme="majorHAnsi" w:cstheme="majorHAnsi"/>
          <w:color w:val="000000"/>
          <w:sz w:val="18"/>
          <w:szCs w:val="18"/>
        </w:rPr>
        <w:t>.</w:t>
      </w:r>
    </w:p>
    <w:p w14:paraId="793A70C3" w14:textId="77777777" w:rsidR="00E2185A" w:rsidRPr="00E2185A" w:rsidRDefault="00E2185A" w:rsidP="00705C39">
      <w:pPr>
        <w:pStyle w:val="Heading3"/>
      </w:pPr>
      <w:bookmarkStart w:id="825" w:name="_Toc12795220"/>
      <w:r w:rsidRPr="00E2185A">
        <w:t>Pipeline Improvements</w:t>
      </w:r>
      <w:bookmarkEnd w:id="825"/>
    </w:p>
    <w:p w14:paraId="5204DFE6" w14:textId="3C9B074A" w:rsidR="00E2185A" w:rsidRPr="000D170E" w:rsidRDefault="00E2185A" w:rsidP="00E2185A">
      <w:pPr>
        <w:rPr>
          <w:rFonts w:eastAsia="Times New Roman"/>
          <w:b/>
          <w:bCs/>
          <w:iCs/>
          <w:color w:val="000000"/>
          <w:sz w:val="24"/>
          <w:szCs w:val="28"/>
        </w:rPr>
      </w:pPr>
      <w:r w:rsidRPr="00E2185A">
        <w:rPr>
          <w:rFonts w:cs="Arial"/>
          <w:color w:val="000000"/>
        </w:rPr>
        <w:t xml:space="preserve">Unlike the electric power industry, which builds infrastructure in anticipation of demand, </w:t>
      </w:r>
      <w:r w:rsidRPr="00E2185A">
        <w:rPr>
          <w:color w:val="000000"/>
        </w:rPr>
        <w:t xml:space="preserve">interstate natural gas pipeline companies require shippers and customers to enter into long-term firm commitments before infrastructure can be developed. </w:t>
      </w:r>
      <w:r w:rsidRPr="00E2185A">
        <w:rPr>
          <w:rFonts w:cs="Arial"/>
          <w:color w:val="000000"/>
        </w:rPr>
        <w:t xml:space="preserve">Although the gas pipelines serving the region operate at or near capacity, they will not be expanded until customers make new firm commitments. FERC, which must approve interstate pipeline projects, bases its decision that a pipeline project is in the </w:t>
      </w:r>
      <w:r w:rsidRPr="000D170E">
        <w:rPr>
          <w:rFonts w:cs="Arial"/>
          <w:color w:val="000000"/>
        </w:rPr>
        <w:t>public convenience and a necessity in large part on the existence of firm contractual commitments.</w:t>
      </w:r>
      <w:r w:rsidRPr="000D170E">
        <w:rPr>
          <w:rFonts w:eastAsia="Times New Roman"/>
          <w:b/>
          <w:bCs/>
          <w:iCs/>
          <w:color w:val="000000"/>
          <w:sz w:val="24"/>
          <w:szCs w:val="28"/>
        </w:rPr>
        <w:t xml:space="preserve"> </w:t>
      </w:r>
    </w:p>
    <w:p w14:paraId="67834BC2" w14:textId="620796DB" w:rsidR="009F2BB0" w:rsidRPr="009F2BB0" w:rsidRDefault="00E2185A" w:rsidP="009F2BB0">
      <w:r w:rsidRPr="000D170E">
        <w:rPr>
          <w:color w:val="000000"/>
        </w:rPr>
        <w:t xml:space="preserve">At present, </w:t>
      </w:r>
      <w:r w:rsidR="000D170E" w:rsidRPr="00802B39">
        <w:rPr>
          <w:color w:val="000000"/>
        </w:rPr>
        <w:t xml:space="preserve">eight </w:t>
      </w:r>
      <w:r w:rsidRPr="000D170E">
        <w:rPr>
          <w:color w:val="000000"/>
        </w:rPr>
        <w:t xml:space="preserve">proposed pipeline-expansion projects </w:t>
      </w:r>
      <w:r w:rsidR="000D170E">
        <w:rPr>
          <w:color w:val="000000"/>
        </w:rPr>
        <w:t xml:space="preserve">are </w:t>
      </w:r>
      <w:r w:rsidRPr="000D170E">
        <w:rPr>
          <w:color w:val="000000"/>
        </w:rPr>
        <w:t xml:space="preserve">under development across the Northeast, as shown in </w:t>
      </w:r>
      <w:r w:rsidRPr="000D170E">
        <w:rPr>
          <w:color w:val="000000"/>
        </w:rPr>
        <w:fldChar w:fldCharType="begin"/>
      </w:r>
      <w:r w:rsidRPr="00802B39">
        <w:rPr>
          <w:color w:val="000000"/>
        </w:rPr>
        <w:instrText xml:space="preserve"> REF _Ref8043694 \h  \* MERGEFORMAT </w:instrText>
      </w:r>
      <w:r w:rsidRPr="000D170E">
        <w:rPr>
          <w:color w:val="000000"/>
        </w:rPr>
      </w:r>
      <w:r w:rsidRPr="000D170E">
        <w:rPr>
          <w:color w:val="000000"/>
        </w:rPr>
        <w:fldChar w:fldCharType="separate"/>
      </w:r>
      <w:r w:rsidR="005D0B73" w:rsidRPr="000D170E">
        <w:rPr>
          <w:bCs/>
          <w:color w:val="000000"/>
        </w:rPr>
        <w:t xml:space="preserve">Table </w:t>
      </w:r>
      <w:r w:rsidR="005D0B73" w:rsidRPr="000D170E">
        <w:rPr>
          <w:bCs/>
          <w:noProof/>
          <w:color w:val="000000"/>
        </w:rPr>
        <w:t>7</w:t>
      </w:r>
      <w:r w:rsidR="005D0B73" w:rsidRPr="000D170E">
        <w:rPr>
          <w:bCs/>
          <w:noProof/>
          <w:color w:val="000000"/>
        </w:rPr>
        <w:noBreakHyphen/>
        <w:t>1</w:t>
      </w:r>
      <w:r w:rsidRPr="000D170E">
        <w:rPr>
          <w:color w:val="000000"/>
        </w:rPr>
        <w:fldChar w:fldCharType="end"/>
      </w:r>
      <w:r w:rsidRPr="000D170E">
        <w:rPr>
          <w:color w:val="000000"/>
        </w:rPr>
        <w:t xml:space="preserve">, </w:t>
      </w:r>
      <w:r w:rsidR="000D170E" w:rsidRPr="00705C39">
        <w:rPr>
          <w:color w:val="000000"/>
        </w:rPr>
        <w:t xml:space="preserve">which </w:t>
      </w:r>
      <w:r w:rsidRPr="00705C39">
        <w:rPr>
          <w:color w:val="000000"/>
        </w:rPr>
        <w:t xml:space="preserve">would specifically bring either new or incremental pipeline capacity </w:t>
      </w:r>
      <w:r w:rsidR="000D170E" w:rsidRPr="00705C39">
        <w:rPr>
          <w:color w:val="000000"/>
        </w:rPr>
        <w:t xml:space="preserve">directly or indirectly </w:t>
      </w:r>
      <w:r w:rsidRPr="00705C39">
        <w:rPr>
          <w:color w:val="000000"/>
        </w:rPr>
        <w:t>to New England.</w:t>
      </w:r>
      <w:r w:rsidR="009F2BB0" w:rsidRPr="00705C39">
        <w:t xml:space="preserve"> Several minor expansion projects were or are planned to be commercialized in the near term, bringing the total net contracted transportation capacity into New England to 3.59 billion cubic feet/day (Bcf/d) b</w:t>
      </w:r>
      <w:r w:rsidR="00DF129D">
        <w:t xml:space="preserve">efore December </w:t>
      </w:r>
      <w:r w:rsidR="009F2BB0" w:rsidRPr="00705C39">
        <w:t>202</w:t>
      </w:r>
      <w:r w:rsidR="00DF129D">
        <w:t>3</w:t>
      </w:r>
      <w:r w:rsidR="009F2BB0" w:rsidRPr="00705C39">
        <w:t>.</w:t>
      </w:r>
      <w:r w:rsidR="00802B39" w:rsidRPr="00705C39">
        <w:rPr>
          <w:rStyle w:val="FootnoteReference"/>
        </w:rPr>
        <w:footnoteReference w:id="257"/>
      </w:r>
      <w:r w:rsidR="009F2BB0" w:rsidRPr="00705C39">
        <w:t xml:space="preserve"> The realization of other pipelines in various stages of planning and siting seems unlikely, although their development would improve the availability of natural gas to generating units.</w:t>
      </w:r>
      <w:r w:rsidR="009F2BB0" w:rsidRPr="009F2BB0">
        <w:t xml:space="preserve"> </w:t>
      </w:r>
    </w:p>
    <w:p w14:paraId="200E6C86" w14:textId="53DA0EAB" w:rsidR="00E2185A" w:rsidRPr="009F2BB0" w:rsidRDefault="00E2185A" w:rsidP="00E2185A">
      <w:pPr>
        <w:spacing w:after="200" w:line="276" w:lineRule="auto"/>
        <w:rPr>
          <w:color w:val="000000"/>
        </w:rPr>
      </w:pPr>
    </w:p>
    <w:p w14:paraId="64660EB8" w14:textId="16532757" w:rsidR="00E2185A" w:rsidRPr="00E2185A" w:rsidRDefault="00E2185A" w:rsidP="00E2185A">
      <w:pPr>
        <w:keepNext/>
        <w:keepLines/>
        <w:spacing w:after="60" w:line="240" w:lineRule="auto"/>
        <w:jc w:val="center"/>
        <w:rPr>
          <w:rFonts w:asciiTheme="minorHAnsi" w:hAnsiTheme="minorHAnsi"/>
          <w:sz w:val="16"/>
          <w:szCs w:val="16"/>
        </w:rPr>
      </w:pPr>
      <w:bookmarkStart w:id="826" w:name="_Ref8043694"/>
      <w:bookmarkStart w:id="827" w:name="_Toc12795348"/>
      <w:r w:rsidRPr="00E2185A">
        <w:rPr>
          <w:rFonts w:asciiTheme="minorHAnsi" w:hAnsiTheme="minorHAnsi"/>
          <w:b/>
          <w:bCs/>
          <w:color w:val="000000"/>
        </w:rPr>
        <w:lastRenderedPageBreak/>
        <w:t xml:space="preserve">Table </w:t>
      </w:r>
      <w:r w:rsidR="0082639A">
        <w:rPr>
          <w:rFonts w:asciiTheme="minorHAnsi" w:hAnsiTheme="minorHAnsi"/>
          <w:b/>
          <w:bCs/>
          <w:color w:val="000000"/>
        </w:rPr>
        <w:fldChar w:fldCharType="begin"/>
      </w:r>
      <w:r w:rsidR="0082639A">
        <w:rPr>
          <w:rFonts w:asciiTheme="minorHAnsi" w:hAnsiTheme="minorHAnsi"/>
          <w:b/>
          <w:bCs/>
          <w:color w:val="000000"/>
        </w:rPr>
        <w:instrText xml:space="preserve"> STYLEREF 1 \s </w:instrText>
      </w:r>
      <w:r w:rsidR="0082639A">
        <w:rPr>
          <w:rFonts w:asciiTheme="minorHAnsi" w:hAnsiTheme="minorHAnsi"/>
          <w:b/>
          <w:bCs/>
          <w:color w:val="000000"/>
        </w:rPr>
        <w:fldChar w:fldCharType="separate"/>
      </w:r>
      <w:r w:rsidR="005D0B73">
        <w:rPr>
          <w:rFonts w:asciiTheme="minorHAnsi" w:hAnsiTheme="minorHAnsi"/>
          <w:b/>
          <w:bCs/>
          <w:noProof/>
          <w:color w:val="000000"/>
        </w:rPr>
        <w:t>7</w:t>
      </w:r>
      <w:r w:rsidR="0082639A">
        <w:rPr>
          <w:rFonts w:asciiTheme="minorHAnsi" w:hAnsiTheme="minorHAnsi"/>
          <w:b/>
          <w:bCs/>
          <w:color w:val="000000"/>
        </w:rPr>
        <w:fldChar w:fldCharType="end"/>
      </w:r>
      <w:r w:rsidR="0082639A">
        <w:rPr>
          <w:rFonts w:asciiTheme="minorHAnsi" w:hAnsiTheme="minorHAnsi"/>
          <w:b/>
          <w:bCs/>
          <w:color w:val="000000"/>
        </w:rPr>
        <w:noBreakHyphen/>
      </w:r>
      <w:r w:rsidR="0082639A">
        <w:rPr>
          <w:rFonts w:asciiTheme="minorHAnsi" w:hAnsiTheme="minorHAnsi"/>
          <w:b/>
          <w:bCs/>
          <w:color w:val="000000"/>
        </w:rPr>
        <w:fldChar w:fldCharType="begin"/>
      </w:r>
      <w:r w:rsidR="0082639A">
        <w:rPr>
          <w:rFonts w:asciiTheme="minorHAnsi" w:hAnsiTheme="minorHAnsi"/>
          <w:b/>
          <w:bCs/>
          <w:color w:val="000000"/>
        </w:rPr>
        <w:instrText xml:space="preserve"> SEQ Table \* ARABIC \s 1 </w:instrText>
      </w:r>
      <w:r w:rsidR="0082639A">
        <w:rPr>
          <w:rFonts w:asciiTheme="minorHAnsi" w:hAnsiTheme="minorHAnsi"/>
          <w:b/>
          <w:bCs/>
          <w:color w:val="000000"/>
        </w:rPr>
        <w:fldChar w:fldCharType="separate"/>
      </w:r>
      <w:r w:rsidR="005D0B73">
        <w:rPr>
          <w:rFonts w:asciiTheme="minorHAnsi" w:hAnsiTheme="minorHAnsi"/>
          <w:b/>
          <w:bCs/>
          <w:noProof/>
          <w:color w:val="000000"/>
        </w:rPr>
        <w:t>1</w:t>
      </w:r>
      <w:r w:rsidR="0082639A">
        <w:rPr>
          <w:rFonts w:asciiTheme="minorHAnsi" w:hAnsiTheme="minorHAnsi"/>
          <w:b/>
          <w:bCs/>
          <w:color w:val="000000"/>
        </w:rPr>
        <w:fldChar w:fldCharType="end"/>
      </w:r>
      <w:bookmarkEnd w:id="826"/>
      <w:r w:rsidRPr="00E2185A">
        <w:rPr>
          <w:rFonts w:asciiTheme="minorHAnsi" w:hAnsiTheme="minorHAnsi"/>
          <w:b/>
        </w:rPr>
        <w:br/>
        <w:t>Summary of Pipeline</w:t>
      </w:r>
      <w:r w:rsidR="00A2134B">
        <w:rPr>
          <w:rFonts w:asciiTheme="minorHAnsi" w:hAnsiTheme="minorHAnsi"/>
          <w:b/>
        </w:rPr>
        <w:t xml:space="preserve"> </w:t>
      </w:r>
      <w:r w:rsidR="00A2134B" w:rsidRPr="00851352">
        <w:rPr>
          <w:rFonts w:asciiTheme="minorHAnsi" w:hAnsiTheme="minorHAnsi"/>
          <w:b/>
        </w:rPr>
        <w:t>Modifications</w:t>
      </w:r>
      <w:r w:rsidRPr="00851352">
        <w:rPr>
          <w:rFonts w:asciiTheme="minorHAnsi" w:hAnsiTheme="minorHAnsi"/>
          <w:b/>
        </w:rPr>
        <w:t xml:space="preserve"> Benefiting</w:t>
      </w:r>
      <w:r w:rsidRPr="00E2185A">
        <w:rPr>
          <w:rFonts w:asciiTheme="minorHAnsi" w:hAnsiTheme="minorHAnsi"/>
          <w:b/>
        </w:rPr>
        <w:t xml:space="preserve"> New England</w:t>
      </w:r>
      <w:r w:rsidRPr="00E2185A">
        <w:rPr>
          <w:rFonts w:asciiTheme="minorHAnsi" w:hAnsiTheme="minorHAnsi"/>
          <w:b/>
          <w:vertAlign w:val="superscript"/>
        </w:rPr>
        <w:t>(a</w:t>
      </w:r>
      <w:r w:rsidR="00A2134B">
        <w:rPr>
          <w:rFonts w:asciiTheme="minorHAnsi" w:hAnsiTheme="minorHAnsi"/>
          <w:b/>
          <w:vertAlign w:val="superscript"/>
        </w:rPr>
        <w:t>, b</w:t>
      </w:r>
      <w:r w:rsidRPr="00E2185A">
        <w:rPr>
          <w:rFonts w:asciiTheme="minorHAnsi" w:hAnsiTheme="minorHAnsi"/>
          <w:b/>
          <w:vertAlign w:val="superscript"/>
        </w:rPr>
        <w:t>)</w:t>
      </w:r>
      <w:bookmarkEnd w:id="827"/>
    </w:p>
    <w:tbl>
      <w:tblPr>
        <w:tblStyle w:val="TableGrid"/>
        <w:tblW w:w="103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8" w:type="dxa"/>
          <w:right w:w="58" w:type="dxa"/>
        </w:tblCellMar>
        <w:tblLook w:val="04A0" w:firstRow="1" w:lastRow="0" w:firstColumn="1" w:lastColumn="0" w:noHBand="0" w:noVBand="1"/>
      </w:tblPr>
      <w:tblGrid>
        <w:gridCol w:w="1730"/>
        <w:gridCol w:w="3577"/>
        <w:gridCol w:w="1083"/>
        <w:gridCol w:w="3957"/>
      </w:tblGrid>
      <w:tr w:rsidR="00E2185A" w:rsidRPr="00E2185A" w14:paraId="165E07D9" w14:textId="77777777" w:rsidTr="00B2175E">
        <w:trPr>
          <w:cantSplit/>
          <w:tblHeader/>
          <w:jc w:val="center"/>
        </w:trPr>
        <w:tc>
          <w:tcPr>
            <w:tcW w:w="1730" w:type="dxa"/>
            <w:shd w:val="clear" w:color="auto" w:fill="1795D2" w:themeFill="accent1"/>
            <w:tcMar>
              <w:top w:w="29" w:type="dxa"/>
              <w:bottom w:w="29" w:type="dxa"/>
            </w:tcMar>
            <w:vAlign w:val="center"/>
          </w:tcPr>
          <w:p w14:paraId="3A4F91F8" w14:textId="77777777"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Project/Company</w:t>
            </w:r>
          </w:p>
        </w:tc>
        <w:tc>
          <w:tcPr>
            <w:tcW w:w="3577" w:type="dxa"/>
            <w:shd w:val="clear" w:color="auto" w:fill="1795D2" w:themeFill="accent1"/>
            <w:tcMar>
              <w:top w:w="29" w:type="dxa"/>
              <w:bottom w:w="29" w:type="dxa"/>
            </w:tcMar>
            <w:vAlign w:val="center"/>
          </w:tcPr>
          <w:p w14:paraId="199FAADE" w14:textId="77777777"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Description</w:t>
            </w:r>
          </w:p>
        </w:tc>
        <w:tc>
          <w:tcPr>
            <w:tcW w:w="1083" w:type="dxa"/>
            <w:shd w:val="clear" w:color="auto" w:fill="1795D2" w:themeFill="accent1"/>
            <w:tcMar>
              <w:top w:w="29" w:type="dxa"/>
              <w:bottom w:w="29" w:type="dxa"/>
            </w:tcMar>
            <w:vAlign w:val="center"/>
          </w:tcPr>
          <w:p w14:paraId="1D6ABCF9" w14:textId="77777777"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Estimated In-Service Date</w:t>
            </w:r>
          </w:p>
        </w:tc>
        <w:tc>
          <w:tcPr>
            <w:tcW w:w="3957" w:type="dxa"/>
            <w:shd w:val="clear" w:color="auto" w:fill="1795D2" w:themeFill="accent1"/>
            <w:tcMar>
              <w:top w:w="29" w:type="dxa"/>
              <w:bottom w:w="29" w:type="dxa"/>
            </w:tcMar>
            <w:vAlign w:val="center"/>
          </w:tcPr>
          <w:p w14:paraId="22E06A62" w14:textId="77777777" w:rsidR="00E2185A" w:rsidRPr="00E2185A" w:rsidRDefault="00E2185A" w:rsidP="00E2185A">
            <w:pPr>
              <w:keepNext/>
              <w:keepLines/>
              <w:spacing w:before="40" w:after="40" w:line="240" w:lineRule="auto"/>
              <w:jc w:val="center"/>
              <w:rPr>
                <w:rFonts w:asciiTheme="majorHAnsi" w:hAnsiTheme="majorHAnsi"/>
                <w:b/>
                <w:color w:val="FFFFFF" w:themeColor="background1"/>
                <w:sz w:val="16"/>
                <w:szCs w:val="16"/>
              </w:rPr>
            </w:pPr>
            <w:r w:rsidRPr="00E2185A">
              <w:rPr>
                <w:rFonts w:asciiTheme="majorHAnsi" w:hAnsiTheme="majorHAnsi"/>
                <w:b/>
                <w:color w:val="FFFFFF" w:themeColor="background1"/>
                <w:sz w:val="16"/>
                <w:szCs w:val="16"/>
              </w:rPr>
              <w:t>Status</w:t>
            </w:r>
          </w:p>
        </w:tc>
      </w:tr>
      <w:tr w:rsidR="00E2185A" w:rsidRPr="00E2185A" w14:paraId="73BE905D" w14:textId="77777777" w:rsidTr="00B2175E">
        <w:trPr>
          <w:cantSplit/>
          <w:jc w:val="center"/>
        </w:trPr>
        <w:tc>
          <w:tcPr>
            <w:tcW w:w="1730" w:type="dxa"/>
            <w:tcMar>
              <w:top w:w="29" w:type="dxa"/>
              <w:left w:w="115" w:type="dxa"/>
              <w:bottom w:w="29" w:type="dxa"/>
            </w:tcMar>
            <w:vAlign w:val="center"/>
          </w:tcPr>
          <w:p w14:paraId="305FC5EE" w14:textId="77777777"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Portland Xpress</w:t>
            </w:r>
          </w:p>
          <w:p w14:paraId="65391AD8" w14:textId="77777777" w:rsidR="00E2185A" w:rsidRPr="00E2185A" w:rsidRDefault="00E2185A" w:rsidP="00E2185A">
            <w:pPr>
              <w:spacing w:before="40" w:after="40" w:line="240" w:lineRule="auto"/>
              <w:rPr>
                <w:rFonts w:asciiTheme="majorHAnsi" w:hAnsiTheme="majorHAnsi"/>
                <w:b/>
                <w:sz w:val="16"/>
                <w:szCs w:val="16"/>
              </w:rPr>
            </w:pPr>
          </w:p>
          <w:p w14:paraId="5AC7B313" w14:textId="77777777"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tcMar>
              <w:top w:w="29" w:type="dxa"/>
              <w:left w:w="115" w:type="dxa"/>
              <w:bottom w:w="29" w:type="dxa"/>
            </w:tcMar>
            <w:vAlign w:val="center"/>
          </w:tcPr>
          <w:p w14:paraId="3A2DBB3E" w14:textId="50A37BAE" w:rsidR="00E2185A" w:rsidRPr="00B345B0" w:rsidRDefault="00E2185A" w:rsidP="00705C39">
            <w:pPr>
              <w:spacing w:before="40" w:after="40" w:line="240" w:lineRule="auto"/>
              <w:rPr>
                <w:rFonts w:asciiTheme="majorHAnsi" w:hAnsiTheme="majorHAnsi"/>
                <w:sz w:val="16"/>
                <w:szCs w:val="16"/>
              </w:rPr>
            </w:pPr>
            <w:r w:rsidRPr="00B345B0">
              <w:rPr>
                <w:rFonts w:asciiTheme="majorHAnsi" w:hAnsiTheme="majorHAnsi"/>
                <w:sz w:val="16"/>
                <w:szCs w:val="16"/>
              </w:rPr>
              <w:t xml:space="preserve">PNGTS has executed Precedent Agreements with several </w:t>
            </w:r>
            <w:r w:rsidRPr="006C19DA">
              <w:rPr>
                <w:rFonts w:asciiTheme="majorHAnsi" w:hAnsiTheme="majorHAnsi"/>
                <w:sz w:val="16"/>
                <w:szCs w:val="16"/>
              </w:rPr>
              <w:t xml:space="preserve">local </w:t>
            </w:r>
            <w:r w:rsidR="00B345B0" w:rsidRPr="006C19DA">
              <w:rPr>
                <w:rFonts w:asciiTheme="majorHAnsi" w:hAnsiTheme="majorHAnsi"/>
                <w:sz w:val="16"/>
                <w:szCs w:val="16"/>
              </w:rPr>
              <w:t xml:space="preserve">gas </w:t>
            </w:r>
            <w:r w:rsidRPr="006C19DA">
              <w:rPr>
                <w:rFonts w:asciiTheme="majorHAnsi" w:hAnsiTheme="majorHAnsi"/>
                <w:sz w:val="16"/>
                <w:szCs w:val="16"/>
              </w:rPr>
              <w:t>distribu</w:t>
            </w:r>
            <w:r w:rsidRPr="00F300A2">
              <w:rPr>
                <w:rFonts w:asciiTheme="majorHAnsi" w:hAnsiTheme="majorHAnsi"/>
                <w:sz w:val="16"/>
                <w:szCs w:val="16"/>
              </w:rPr>
              <w:t>tion com</w:t>
            </w:r>
            <w:r w:rsidRPr="006C19DA">
              <w:rPr>
                <w:rFonts w:asciiTheme="majorHAnsi" w:hAnsiTheme="majorHAnsi"/>
                <w:sz w:val="16"/>
                <w:szCs w:val="16"/>
              </w:rPr>
              <w:t xml:space="preserve">panies </w:t>
            </w:r>
            <w:r w:rsidRPr="00B345B0">
              <w:rPr>
                <w:rFonts w:asciiTheme="majorHAnsi" w:hAnsiTheme="majorHAnsi"/>
                <w:sz w:val="16"/>
                <w:szCs w:val="16"/>
              </w:rPr>
              <w:t>in New England and Atlantic Canada to recontract certain system capacity set to expire in 2019, as well as expand the PNGTS system to bring its certificated capacity up to 0.3</w:t>
            </w:r>
            <w:r w:rsidRPr="00B345B0">
              <w:rPr>
                <w:rFonts w:asciiTheme="majorHAnsi" w:hAnsiTheme="majorHAnsi"/>
              </w:rPr>
              <w:t xml:space="preserve"> </w:t>
            </w:r>
            <w:r w:rsidRPr="00F300A2">
              <w:rPr>
                <w:rFonts w:asciiTheme="majorHAnsi" w:hAnsiTheme="majorHAnsi"/>
                <w:sz w:val="16"/>
                <w:szCs w:val="16"/>
              </w:rPr>
              <w:t>Bcf/d</w:t>
            </w:r>
            <w:r w:rsidRPr="00B345B0">
              <w:rPr>
                <w:rFonts w:asciiTheme="majorHAnsi" w:hAnsiTheme="majorHAnsi"/>
                <w:sz w:val="16"/>
                <w:szCs w:val="16"/>
              </w:rPr>
              <w:t xml:space="preserve">. The approximately $80 million Portland XPress Project </w:t>
            </w:r>
            <w:r w:rsidRPr="00F300A2">
              <w:rPr>
                <w:rFonts w:asciiTheme="majorHAnsi" w:hAnsiTheme="majorHAnsi"/>
                <w:sz w:val="16"/>
                <w:szCs w:val="16"/>
              </w:rPr>
              <w:t>(PXP)</w:t>
            </w:r>
            <w:r w:rsidRPr="00B345B0">
              <w:rPr>
                <w:rFonts w:asciiTheme="majorHAnsi" w:hAnsiTheme="majorHAnsi"/>
                <w:sz w:val="16"/>
                <w:szCs w:val="16"/>
              </w:rPr>
              <w:t xml:space="preserve"> will proceed concurrently with upstream capacity expansions. The in-service dates of PXP are being phased-in over a three-year period that began Nov. 1, 2018.</w:t>
            </w:r>
          </w:p>
        </w:tc>
        <w:tc>
          <w:tcPr>
            <w:tcW w:w="1083" w:type="dxa"/>
            <w:tcMar>
              <w:top w:w="29" w:type="dxa"/>
              <w:left w:w="115" w:type="dxa"/>
              <w:bottom w:w="29" w:type="dxa"/>
            </w:tcMar>
            <w:vAlign w:val="center"/>
          </w:tcPr>
          <w:p w14:paraId="0774FD1D" w14:textId="77777777"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14:paraId="2E1EEEDE" w14:textId="77777777" w:rsidR="00E2185A" w:rsidRPr="003571FD" w:rsidRDefault="00E2185A" w:rsidP="006F6613">
            <w:pPr>
              <w:spacing w:before="40" w:after="40" w:line="240" w:lineRule="auto"/>
              <w:rPr>
                <w:rFonts w:asciiTheme="majorHAnsi" w:hAnsiTheme="majorHAnsi"/>
                <w:sz w:val="16"/>
                <w:szCs w:val="16"/>
              </w:rPr>
            </w:pPr>
            <w:r w:rsidRPr="003571FD">
              <w:rPr>
                <w:rFonts w:asciiTheme="majorHAnsi" w:hAnsiTheme="majorHAnsi"/>
                <w:sz w:val="16"/>
                <w:szCs w:val="16"/>
              </w:rPr>
              <w:t>Announced Mar. 2017</w:t>
            </w:r>
            <w:r w:rsidR="002B396B" w:rsidRPr="003571FD">
              <w:rPr>
                <w:rFonts w:asciiTheme="majorHAnsi" w:hAnsiTheme="majorHAnsi"/>
                <w:sz w:val="16"/>
                <w:szCs w:val="16"/>
              </w:rPr>
              <w:t xml:space="preserve">. </w:t>
            </w:r>
            <w:r w:rsidRPr="003571FD">
              <w:rPr>
                <w:rFonts w:asciiTheme="majorHAnsi" w:hAnsiTheme="majorHAnsi"/>
                <w:sz w:val="16"/>
                <w:szCs w:val="16"/>
              </w:rPr>
              <w:t>Filed application with FERC for Phase I, Apr. 2018. Phase I went in service on Nov. 1, 2018, with volumes of</w:t>
            </w:r>
            <w:r w:rsidRPr="009170D2">
              <w:rPr>
                <w:rFonts w:asciiTheme="majorHAnsi" w:hAnsiTheme="majorHAnsi"/>
                <w:sz w:val="16"/>
                <w:szCs w:val="16"/>
              </w:rPr>
              <w:t xml:space="preserve"> 40,000 </w:t>
            </w:r>
            <w:r w:rsidR="003571FD" w:rsidRPr="009170D2">
              <w:rPr>
                <w:rFonts w:asciiTheme="majorHAnsi" w:hAnsiTheme="majorHAnsi"/>
                <w:sz w:val="16"/>
                <w:szCs w:val="16"/>
              </w:rPr>
              <w:t>dekathe</w:t>
            </w:r>
            <w:r w:rsidR="003571FD" w:rsidRPr="00CA6015">
              <w:rPr>
                <w:rFonts w:asciiTheme="majorHAnsi" w:hAnsiTheme="majorHAnsi"/>
                <w:sz w:val="16"/>
                <w:szCs w:val="16"/>
              </w:rPr>
              <w:t>rms/day (</w:t>
            </w:r>
            <w:r w:rsidRPr="00CA6015">
              <w:rPr>
                <w:rFonts w:asciiTheme="majorHAnsi" w:hAnsiTheme="majorHAnsi"/>
                <w:sz w:val="16"/>
                <w:szCs w:val="16"/>
              </w:rPr>
              <w:t>Dth/d</w:t>
            </w:r>
            <w:r w:rsidR="003571FD" w:rsidRPr="00CA6015">
              <w:rPr>
                <w:rFonts w:asciiTheme="majorHAnsi" w:hAnsiTheme="majorHAnsi"/>
                <w:sz w:val="16"/>
                <w:szCs w:val="16"/>
              </w:rPr>
              <w:t>)</w:t>
            </w:r>
            <w:r w:rsidRPr="00CA6015">
              <w:rPr>
                <w:rFonts w:asciiTheme="majorHAnsi" w:hAnsiTheme="majorHAnsi"/>
                <w:sz w:val="16"/>
                <w:szCs w:val="16"/>
              </w:rPr>
              <w:t>.</w:t>
            </w:r>
            <w:r w:rsidRPr="009170D2">
              <w:rPr>
                <w:rFonts w:asciiTheme="majorHAnsi" w:hAnsiTheme="majorHAnsi"/>
                <w:sz w:val="16"/>
                <w:szCs w:val="16"/>
              </w:rPr>
              <w:t xml:space="preserve"> Phase II, approved by FERC, is scheduled for Nov. 2019 in service. Phase III was approved by FERC, Feb. 2019 and is scheduled to be in service, Nov. 2020.</w:t>
            </w:r>
          </w:p>
        </w:tc>
      </w:tr>
      <w:tr w:rsidR="00E2185A" w:rsidRPr="00E2185A" w14:paraId="48C7CF8C" w14:textId="77777777" w:rsidTr="00B2175E">
        <w:trPr>
          <w:cantSplit/>
          <w:jc w:val="center"/>
        </w:trPr>
        <w:tc>
          <w:tcPr>
            <w:tcW w:w="1730" w:type="dxa"/>
            <w:shd w:val="clear" w:color="auto" w:fill="CCEAF9" w:themeFill="accent1" w:themeFillTint="33"/>
            <w:tcMar>
              <w:top w:w="29" w:type="dxa"/>
              <w:left w:w="115" w:type="dxa"/>
              <w:bottom w:w="29" w:type="dxa"/>
            </w:tcMar>
            <w:vAlign w:val="center"/>
          </w:tcPr>
          <w:p w14:paraId="70B53831" w14:textId="77777777" w:rsidR="00E2185A" w:rsidRPr="00E2185A" w:rsidRDefault="00E2185A" w:rsidP="00E2185A">
            <w:pPr>
              <w:spacing w:before="40" w:after="40" w:line="240" w:lineRule="auto"/>
              <w:rPr>
                <w:rFonts w:asciiTheme="majorHAnsi" w:hAnsiTheme="majorHAnsi"/>
                <w:b/>
                <w:sz w:val="16"/>
                <w:szCs w:val="16"/>
              </w:rPr>
            </w:pPr>
            <w:r w:rsidRPr="00E2185A">
              <w:rPr>
                <w:rFonts w:asciiTheme="majorHAnsi" w:hAnsiTheme="majorHAnsi"/>
                <w:b/>
                <w:sz w:val="16"/>
                <w:szCs w:val="16"/>
              </w:rPr>
              <w:t>Westbrook Xpress</w:t>
            </w:r>
          </w:p>
          <w:p w14:paraId="7339AC1B" w14:textId="77777777" w:rsidR="00E2185A" w:rsidRPr="00E2185A" w:rsidRDefault="00E2185A" w:rsidP="00E2185A">
            <w:pPr>
              <w:spacing w:before="40" w:after="40" w:line="240" w:lineRule="auto"/>
              <w:rPr>
                <w:rFonts w:asciiTheme="majorHAnsi" w:hAnsiTheme="majorHAnsi"/>
                <w:b/>
                <w:sz w:val="16"/>
                <w:szCs w:val="16"/>
              </w:rPr>
            </w:pPr>
          </w:p>
          <w:p w14:paraId="068C6ED7" w14:textId="77777777"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b/>
                <w:sz w:val="16"/>
                <w:szCs w:val="16"/>
              </w:rPr>
              <w:t>PNGTS</w:t>
            </w:r>
          </w:p>
        </w:tc>
        <w:tc>
          <w:tcPr>
            <w:tcW w:w="3577" w:type="dxa"/>
            <w:shd w:val="clear" w:color="auto" w:fill="CCEAF9" w:themeFill="accent1" w:themeFillTint="33"/>
            <w:tcMar>
              <w:top w:w="29" w:type="dxa"/>
              <w:left w:w="115" w:type="dxa"/>
              <w:bottom w:w="29" w:type="dxa"/>
            </w:tcMar>
            <w:vAlign w:val="center"/>
          </w:tcPr>
          <w:p w14:paraId="5484D84A" w14:textId="77777777" w:rsidR="00E2185A" w:rsidRPr="00E2185A" w:rsidRDefault="00E2185A" w:rsidP="003571FD">
            <w:pPr>
              <w:spacing w:before="40" w:after="40" w:line="240" w:lineRule="auto"/>
              <w:rPr>
                <w:rFonts w:asciiTheme="majorHAnsi" w:hAnsiTheme="majorHAnsi"/>
                <w:sz w:val="16"/>
                <w:szCs w:val="16"/>
              </w:rPr>
            </w:pPr>
            <w:r w:rsidRPr="00E2185A">
              <w:rPr>
                <w:rFonts w:asciiTheme="majorHAnsi" w:hAnsiTheme="majorHAnsi"/>
                <w:sz w:val="16"/>
                <w:szCs w:val="16"/>
              </w:rPr>
              <w:t>Phase I will increase the certificated capacity on the northern portion of its system from Pittsburg, NH, to Westbrook, ME, by 4</w:t>
            </w:r>
            <w:r w:rsidRPr="003571FD">
              <w:rPr>
                <w:rFonts w:asciiTheme="majorHAnsi" w:hAnsiTheme="majorHAnsi"/>
                <w:sz w:val="16"/>
                <w:szCs w:val="16"/>
              </w:rPr>
              <w:t xml:space="preserve">2.4 </w:t>
            </w:r>
            <w:r w:rsidRPr="00F300A2">
              <w:rPr>
                <w:rFonts w:asciiTheme="majorHAnsi" w:hAnsiTheme="majorHAnsi"/>
                <w:sz w:val="16"/>
                <w:szCs w:val="16"/>
              </w:rPr>
              <w:t>Dth/d,</w:t>
            </w:r>
            <w:r w:rsidRPr="00E2185A">
              <w:rPr>
                <w:rFonts w:asciiTheme="majorHAnsi" w:hAnsiTheme="majorHAnsi"/>
                <w:sz w:val="16"/>
                <w:szCs w:val="16"/>
              </w:rPr>
              <w:t xml:space="preserve"> effective Nov. 1, 2019. Phase II would add 63 Dth/d in 2021; Phase III would add 18 Dth/d by 2022.</w:t>
            </w:r>
          </w:p>
        </w:tc>
        <w:tc>
          <w:tcPr>
            <w:tcW w:w="1083" w:type="dxa"/>
            <w:shd w:val="clear" w:color="auto" w:fill="CCEAF9" w:themeFill="accent1" w:themeFillTint="33"/>
            <w:tcMar>
              <w:top w:w="29" w:type="dxa"/>
              <w:left w:w="115" w:type="dxa"/>
              <w:bottom w:w="29" w:type="dxa"/>
            </w:tcMar>
            <w:vAlign w:val="center"/>
          </w:tcPr>
          <w:p w14:paraId="076A72D7" w14:textId="77777777"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Nov. 1, 2019;</w:t>
            </w:r>
          </w:p>
          <w:p w14:paraId="19C4616C" w14:textId="77777777"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11, 2021;</w:t>
            </w:r>
          </w:p>
          <w:p w14:paraId="1DDA325F" w14:textId="77777777" w:rsidR="00E2185A" w:rsidRPr="00E2185A" w:rsidRDefault="00E2185A" w:rsidP="00E2185A">
            <w:pPr>
              <w:spacing w:before="40" w:after="40" w:line="240" w:lineRule="auto"/>
              <w:jc w:val="center"/>
              <w:rPr>
                <w:rFonts w:asciiTheme="majorHAnsi" w:hAnsiTheme="majorHAnsi"/>
                <w:sz w:val="16"/>
                <w:szCs w:val="16"/>
              </w:rPr>
            </w:pPr>
            <w:r w:rsidRPr="00E2185A">
              <w:rPr>
                <w:rFonts w:asciiTheme="majorHAnsi" w:hAnsiTheme="majorHAnsi"/>
                <w:sz w:val="16"/>
                <w:szCs w:val="16"/>
              </w:rPr>
              <w:t>Phase III, 2022</w:t>
            </w:r>
          </w:p>
        </w:tc>
        <w:tc>
          <w:tcPr>
            <w:tcW w:w="3957" w:type="dxa"/>
            <w:shd w:val="clear" w:color="auto" w:fill="CCEAF9" w:themeFill="accent1" w:themeFillTint="33"/>
            <w:tcMar>
              <w:top w:w="29" w:type="dxa"/>
              <w:left w:w="115" w:type="dxa"/>
              <w:bottom w:w="29" w:type="dxa"/>
            </w:tcMar>
            <w:vAlign w:val="center"/>
          </w:tcPr>
          <w:p w14:paraId="56CB1A96" w14:textId="77777777" w:rsidR="00E2185A" w:rsidRPr="00E2185A" w:rsidRDefault="00E2185A" w:rsidP="00E2185A">
            <w:pPr>
              <w:spacing w:before="40" w:after="40" w:line="240" w:lineRule="auto"/>
              <w:rPr>
                <w:rFonts w:asciiTheme="majorHAnsi" w:hAnsiTheme="majorHAnsi"/>
                <w:sz w:val="16"/>
                <w:szCs w:val="16"/>
              </w:rPr>
            </w:pPr>
            <w:r w:rsidRPr="00E2185A">
              <w:rPr>
                <w:rFonts w:asciiTheme="majorHAnsi" w:hAnsiTheme="majorHAnsi"/>
                <w:sz w:val="16"/>
                <w:szCs w:val="16"/>
              </w:rPr>
              <w:t>Filed with FERC, Dec. 2018</w:t>
            </w:r>
          </w:p>
        </w:tc>
      </w:tr>
      <w:tr w:rsidR="00B2175E" w:rsidRPr="00E2185A" w14:paraId="3635A104" w14:textId="77777777" w:rsidTr="00B2175E">
        <w:trPr>
          <w:cantSplit/>
          <w:jc w:val="center"/>
        </w:trPr>
        <w:tc>
          <w:tcPr>
            <w:tcW w:w="1730" w:type="dxa"/>
            <w:tcMar>
              <w:top w:w="29" w:type="dxa"/>
              <w:left w:w="115" w:type="dxa"/>
              <w:bottom w:w="29" w:type="dxa"/>
            </w:tcMar>
            <w:vAlign w:val="center"/>
          </w:tcPr>
          <w:p w14:paraId="34720CA5"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Atlantic Bridge</w:t>
            </w:r>
          </w:p>
          <w:p w14:paraId="165BE72B" w14:textId="77777777" w:rsidR="00B2175E" w:rsidRPr="00E2185A" w:rsidRDefault="00B2175E" w:rsidP="00B2175E">
            <w:pPr>
              <w:spacing w:before="40" w:after="40" w:line="240" w:lineRule="auto"/>
              <w:rPr>
                <w:rFonts w:asciiTheme="majorHAnsi" w:hAnsiTheme="majorHAnsi"/>
                <w:b/>
                <w:sz w:val="16"/>
                <w:szCs w:val="16"/>
              </w:rPr>
            </w:pPr>
          </w:p>
          <w:p w14:paraId="5EC00C33"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Enbridge</w:t>
            </w:r>
          </w:p>
        </w:tc>
        <w:tc>
          <w:tcPr>
            <w:tcW w:w="3577" w:type="dxa"/>
            <w:tcMar>
              <w:top w:w="29" w:type="dxa"/>
              <w:left w:w="115" w:type="dxa"/>
              <w:bottom w:w="29" w:type="dxa"/>
            </w:tcMar>
            <w:vAlign w:val="center"/>
          </w:tcPr>
          <w:p w14:paraId="08A0E77C" w14:textId="77777777"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Incremental expansion on Algonquin an</w:t>
            </w:r>
            <w:r w:rsidRPr="003571FD">
              <w:rPr>
                <w:rFonts w:asciiTheme="majorHAnsi" w:hAnsiTheme="majorHAnsi"/>
                <w:sz w:val="16"/>
                <w:szCs w:val="16"/>
              </w:rPr>
              <w:t xml:space="preserve">d </w:t>
            </w:r>
            <w:r w:rsidRPr="00F300A2">
              <w:rPr>
                <w:rFonts w:asciiTheme="majorHAnsi" w:hAnsiTheme="majorHAnsi"/>
                <w:sz w:val="16"/>
                <w:szCs w:val="16"/>
              </w:rPr>
              <w:t>M&amp;N</w:t>
            </w:r>
            <w:r w:rsidRPr="003571FD">
              <w:rPr>
                <w:rFonts w:asciiTheme="majorHAnsi" w:hAnsiTheme="majorHAnsi"/>
                <w:sz w:val="16"/>
                <w:szCs w:val="16"/>
              </w:rPr>
              <w:t xml:space="preserve"> t</w:t>
            </w:r>
            <w:r w:rsidRPr="00E2185A">
              <w:rPr>
                <w:rFonts w:asciiTheme="majorHAnsi" w:hAnsiTheme="majorHAnsi"/>
                <w:sz w:val="16"/>
                <w:szCs w:val="16"/>
              </w:rPr>
              <w:t>o serve New England and Canadian Maritimes</w:t>
            </w:r>
            <w:r>
              <w:rPr>
                <w:rFonts w:asciiTheme="majorHAnsi" w:hAnsiTheme="majorHAnsi"/>
                <w:sz w:val="16"/>
                <w:szCs w:val="16"/>
              </w:rPr>
              <w:t xml:space="preserve">. </w:t>
            </w:r>
            <w:r w:rsidRPr="00E2185A">
              <w:rPr>
                <w:rFonts w:asciiTheme="majorHAnsi" w:hAnsiTheme="majorHAnsi"/>
                <w:sz w:val="16"/>
                <w:szCs w:val="16"/>
              </w:rPr>
              <w:t xml:space="preserve">Proposed capacity of approximately 133,000 Dth/d. Partial service began in Nov. 2017 </w:t>
            </w:r>
            <w:r w:rsidRPr="009B4DC4">
              <w:rPr>
                <w:rFonts w:asciiTheme="majorHAnsi" w:hAnsiTheme="majorHAnsi"/>
                <w:sz w:val="16"/>
                <w:szCs w:val="16"/>
              </w:rPr>
              <w:t>at 40,000</w:t>
            </w:r>
            <w:r w:rsidR="009B4DC4" w:rsidRPr="009B4DC4">
              <w:rPr>
                <w:rFonts w:asciiTheme="majorHAnsi" w:hAnsiTheme="majorHAnsi"/>
                <w:sz w:val="16"/>
                <w:szCs w:val="16"/>
              </w:rPr>
              <w:t xml:space="preserve"> Dth</w:t>
            </w:r>
            <w:r w:rsidRPr="009B4DC4">
              <w:rPr>
                <w:rFonts w:asciiTheme="majorHAnsi" w:hAnsiTheme="majorHAnsi"/>
                <w:sz w:val="16"/>
                <w:szCs w:val="16"/>
              </w:rPr>
              <w:t>/d.</w:t>
            </w:r>
          </w:p>
        </w:tc>
        <w:tc>
          <w:tcPr>
            <w:tcW w:w="1083" w:type="dxa"/>
            <w:tcMar>
              <w:top w:w="29" w:type="dxa"/>
              <w:left w:w="115" w:type="dxa"/>
              <w:bottom w:w="29" w:type="dxa"/>
            </w:tcMar>
            <w:vAlign w:val="center"/>
          </w:tcPr>
          <w:p w14:paraId="1FDD2331"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2017 (partial)/</w:t>
            </w:r>
          </w:p>
          <w:p w14:paraId="019BC98C"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2019–2020</w:t>
            </w:r>
          </w:p>
        </w:tc>
        <w:tc>
          <w:tcPr>
            <w:tcW w:w="3957" w:type="dxa"/>
            <w:tcMar>
              <w:top w:w="29" w:type="dxa"/>
              <w:left w:w="115" w:type="dxa"/>
              <w:bottom w:w="29" w:type="dxa"/>
            </w:tcMar>
            <w:vAlign w:val="center"/>
          </w:tcPr>
          <w:p w14:paraId="508FC2EB"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Announced, Feb. 2014. Filed with FERC, Oct. 2015. Received environmental assessment from FERC, May 2016. FERC issued certificate, Jan. 2017. FERC allowed construction work to begin on certain facilities in CT, Mar. 2017. Partial service began, Nov. 2017. Full project path expected in service in second half of 2019/first half 2020. FERC granted 2-year permitting extension, Dec. 2018. MA Dept. of Environmental Protection (MA DEP) issued air quality permit, </w:t>
            </w:r>
            <w:r w:rsidR="009B4DC4">
              <w:rPr>
                <w:rFonts w:asciiTheme="majorHAnsi" w:hAnsiTheme="majorHAnsi"/>
                <w:sz w:val="16"/>
                <w:szCs w:val="16"/>
              </w:rPr>
              <w:t>J</w:t>
            </w:r>
            <w:r w:rsidRPr="00E2185A">
              <w:rPr>
                <w:rFonts w:asciiTheme="majorHAnsi" w:hAnsiTheme="majorHAnsi"/>
                <w:sz w:val="16"/>
                <w:szCs w:val="16"/>
              </w:rPr>
              <w:t>an. 2019.</w:t>
            </w:r>
          </w:p>
        </w:tc>
      </w:tr>
      <w:tr w:rsidR="00B2175E" w:rsidRPr="00E2185A" w14:paraId="00EBEA28" w14:textId="77777777" w:rsidTr="00B2175E">
        <w:trPr>
          <w:cantSplit/>
          <w:jc w:val="center"/>
        </w:trPr>
        <w:tc>
          <w:tcPr>
            <w:tcW w:w="1730" w:type="dxa"/>
            <w:shd w:val="clear" w:color="auto" w:fill="CCEAF9" w:themeFill="accent1" w:themeFillTint="33"/>
            <w:tcMar>
              <w:top w:w="29" w:type="dxa"/>
              <w:left w:w="115" w:type="dxa"/>
              <w:bottom w:w="29" w:type="dxa"/>
            </w:tcMar>
            <w:vAlign w:val="center"/>
          </w:tcPr>
          <w:p w14:paraId="426EEE1F"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Northeast Supply Enhancement</w:t>
            </w:r>
          </w:p>
          <w:p w14:paraId="34B1E2AB"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Williams/Transco</w:t>
            </w:r>
          </w:p>
        </w:tc>
        <w:tc>
          <w:tcPr>
            <w:tcW w:w="3577" w:type="dxa"/>
            <w:shd w:val="clear" w:color="auto" w:fill="CCEAF9" w:themeFill="accent1" w:themeFillTint="33"/>
            <w:tcMar>
              <w:top w:w="29" w:type="dxa"/>
              <w:left w:w="115" w:type="dxa"/>
              <w:bottom w:w="29" w:type="dxa"/>
            </w:tcMar>
            <w:vAlign w:val="center"/>
          </w:tcPr>
          <w:p w14:paraId="275197EF" w14:textId="77777777" w:rsidR="00B2175E" w:rsidRPr="00E2185A" w:rsidRDefault="00B2175E" w:rsidP="009B4DC4">
            <w:pPr>
              <w:spacing w:before="40" w:after="40" w:line="240" w:lineRule="auto"/>
              <w:rPr>
                <w:rFonts w:asciiTheme="majorHAnsi" w:hAnsiTheme="majorHAnsi"/>
                <w:sz w:val="16"/>
                <w:szCs w:val="16"/>
              </w:rPr>
            </w:pPr>
            <w:r w:rsidRPr="00E2185A">
              <w:rPr>
                <w:rFonts w:asciiTheme="majorHAnsi" w:hAnsiTheme="majorHAnsi"/>
                <w:sz w:val="16"/>
                <w:szCs w:val="16"/>
              </w:rPr>
              <w:t xml:space="preserve">The project would add natural gas pipeline infrastructure in PA, NJ, and NY. It is designed to provide customers access to an additional </w:t>
            </w:r>
            <w:r w:rsidR="009B4DC4" w:rsidRPr="00E2185A">
              <w:rPr>
                <w:rFonts w:asciiTheme="majorHAnsi" w:hAnsiTheme="majorHAnsi"/>
                <w:sz w:val="16"/>
                <w:szCs w:val="16"/>
              </w:rPr>
              <w:t>400</w:t>
            </w:r>
            <w:r w:rsidR="009B4DC4">
              <w:rPr>
                <w:rFonts w:asciiTheme="majorHAnsi" w:hAnsiTheme="majorHAnsi"/>
                <w:sz w:val="16"/>
                <w:szCs w:val="16"/>
              </w:rPr>
              <w:t> </w:t>
            </w:r>
            <w:r w:rsidRPr="00E2185A">
              <w:rPr>
                <w:rFonts w:asciiTheme="majorHAnsi" w:hAnsiTheme="majorHAnsi"/>
                <w:sz w:val="16"/>
                <w:szCs w:val="16"/>
              </w:rPr>
              <w:t>million cubic feet/day (MMcf/d) of natural gas (enough to serve the daily needs of about 2.3 million homes). The project will provide service to National Grid.</w:t>
            </w:r>
          </w:p>
        </w:tc>
        <w:tc>
          <w:tcPr>
            <w:tcW w:w="1083" w:type="dxa"/>
            <w:shd w:val="clear" w:color="auto" w:fill="CCEAF9" w:themeFill="accent1" w:themeFillTint="33"/>
            <w:tcMar>
              <w:top w:w="29" w:type="dxa"/>
              <w:left w:w="115" w:type="dxa"/>
              <w:bottom w:w="29" w:type="dxa"/>
            </w:tcMar>
            <w:vAlign w:val="center"/>
          </w:tcPr>
          <w:p w14:paraId="003E6F30"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14:paraId="763C4339"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FERC prefiling, May 2016. Filed with FERC, Mar. 2017. FERC issued draft Environmental Impact Statement (EIS), Mar. 2018. New York State Dept. of Environmental Conservation (NYS DEC) denied water quality certificate, stating application was incomplete, Apr. 2018. FERC issued final EIS, Feb. 2019.</w:t>
            </w:r>
          </w:p>
        </w:tc>
      </w:tr>
      <w:tr w:rsidR="00B2175E" w:rsidRPr="00E2185A" w14:paraId="5E5E8AFD" w14:textId="77777777" w:rsidTr="00B2175E">
        <w:trPr>
          <w:cantSplit/>
          <w:jc w:val="center"/>
        </w:trPr>
        <w:tc>
          <w:tcPr>
            <w:tcW w:w="1730" w:type="dxa"/>
            <w:tcMar>
              <w:top w:w="29" w:type="dxa"/>
              <w:left w:w="115" w:type="dxa"/>
              <w:bottom w:w="29" w:type="dxa"/>
            </w:tcMar>
            <w:vAlign w:val="center"/>
          </w:tcPr>
          <w:p w14:paraId="7582B98C"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Station 261</w:t>
            </w:r>
          </w:p>
          <w:p w14:paraId="331538D5"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br/>
              <w:t>Tennessee Gas Pipeline/Kinder Morgan</w:t>
            </w:r>
          </w:p>
        </w:tc>
        <w:tc>
          <w:tcPr>
            <w:tcW w:w="3577" w:type="dxa"/>
            <w:tcMar>
              <w:top w:w="29" w:type="dxa"/>
              <w:left w:w="115" w:type="dxa"/>
              <w:bottom w:w="29" w:type="dxa"/>
            </w:tcMar>
            <w:vAlign w:val="center"/>
          </w:tcPr>
          <w:p w14:paraId="503203E4"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26</w:t>
            </w:r>
            <w:r w:rsidRPr="00851352">
              <w:rPr>
                <w:rFonts w:asciiTheme="majorHAnsi" w:hAnsiTheme="majorHAnsi"/>
                <w:sz w:val="16"/>
                <w:szCs w:val="16"/>
              </w:rPr>
              <w:t>1 upgrade proje</w:t>
            </w:r>
            <w:r w:rsidRPr="00E2185A">
              <w:rPr>
                <w:rFonts w:asciiTheme="majorHAnsi" w:hAnsiTheme="majorHAnsi"/>
                <w:sz w:val="16"/>
                <w:szCs w:val="16"/>
              </w:rPr>
              <w:t xml:space="preserve">cts will create 101,400 Dth/d of additional transportation capacity of natural gas on the existing Tennessee Gas Pipeline system. Projects are located in Agawam, MA, and include the Looping Project and the Horsepower (HP) Replacement Project. </w:t>
            </w:r>
          </w:p>
          <w:p w14:paraId="29CC2ABB" w14:textId="77777777" w:rsidR="00B2175E" w:rsidRPr="00E2185A" w:rsidRDefault="00B2175E" w:rsidP="00B2175E">
            <w:pPr>
              <w:spacing w:before="40" w:after="40" w:line="240" w:lineRule="auto"/>
              <w:rPr>
                <w:rFonts w:asciiTheme="majorHAnsi" w:hAnsiTheme="majorHAnsi"/>
                <w:sz w:val="16"/>
                <w:szCs w:val="16"/>
              </w:rPr>
            </w:pPr>
          </w:p>
          <w:p w14:paraId="189006CD"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 xml:space="preserve">The Looping Project involves the installation of 2.1 miles of a 12-inch diameter pipeline loop that will run parallel and adjacent to an existing TGP pipeline. The company will also remove an inactive 6-inch diameter pipeline and replace it with the new 12-inch diameter pipeline loop upgrade in certain locations. </w:t>
            </w:r>
          </w:p>
          <w:p w14:paraId="6861A928" w14:textId="77777777" w:rsidR="00B2175E" w:rsidRPr="00E2185A" w:rsidRDefault="00B2175E" w:rsidP="00B2175E">
            <w:pPr>
              <w:spacing w:before="40" w:after="40" w:line="240" w:lineRule="auto"/>
              <w:rPr>
                <w:rFonts w:asciiTheme="majorHAnsi" w:hAnsiTheme="majorHAnsi"/>
                <w:sz w:val="16"/>
                <w:szCs w:val="16"/>
              </w:rPr>
            </w:pPr>
          </w:p>
          <w:p w14:paraId="05A356B3"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The HP Replacement Project involves the replacement of two existing turbine compressor units with one new, cleaner-burning turbine compressor unit, as well as the installation of auxiliary facilities at TGP’s existing Compressor Station 261. Customers are Columbia Gas of MA and Holyoke Gas and Electric.</w:t>
            </w:r>
          </w:p>
        </w:tc>
        <w:tc>
          <w:tcPr>
            <w:tcW w:w="1083" w:type="dxa"/>
            <w:tcMar>
              <w:top w:w="29" w:type="dxa"/>
              <w:left w:w="115" w:type="dxa"/>
              <w:bottom w:w="29" w:type="dxa"/>
            </w:tcMar>
            <w:vAlign w:val="center"/>
          </w:tcPr>
          <w:p w14:paraId="6641CB78"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Nov. 2020</w:t>
            </w:r>
          </w:p>
        </w:tc>
        <w:tc>
          <w:tcPr>
            <w:tcW w:w="3957" w:type="dxa"/>
            <w:tcMar>
              <w:top w:w="29" w:type="dxa"/>
              <w:left w:w="115" w:type="dxa"/>
              <w:bottom w:w="29" w:type="dxa"/>
            </w:tcMar>
            <w:vAlign w:val="center"/>
          </w:tcPr>
          <w:p w14:paraId="0527AE83"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late 2017. Filed with FERC, 2018</w:t>
            </w:r>
          </w:p>
        </w:tc>
      </w:tr>
      <w:tr w:rsidR="00B2175E" w:rsidRPr="00E2185A" w14:paraId="1798FBA9" w14:textId="77777777" w:rsidTr="00B2175E">
        <w:trPr>
          <w:cantSplit/>
          <w:jc w:val="center"/>
        </w:trPr>
        <w:tc>
          <w:tcPr>
            <w:tcW w:w="1730" w:type="dxa"/>
            <w:shd w:val="clear" w:color="auto" w:fill="CCEAF9" w:themeFill="accent1" w:themeFillTint="33"/>
            <w:tcMar>
              <w:top w:w="29" w:type="dxa"/>
              <w:left w:w="115" w:type="dxa"/>
              <w:bottom w:w="29" w:type="dxa"/>
            </w:tcMar>
            <w:vAlign w:val="center"/>
          </w:tcPr>
          <w:p w14:paraId="6C06FCF9" w14:textId="77777777" w:rsidR="00B2175E" w:rsidRPr="000D170E" w:rsidRDefault="00B2175E" w:rsidP="00B2175E">
            <w:pPr>
              <w:spacing w:before="40" w:after="40" w:line="240" w:lineRule="auto"/>
              <w:rPr>
                <w:rFonts w:asciiTheme="majorHAnsi" w:hAnsiTheme="majorHAnsi"/>
                <w:b/>
                <w:sz w:val="16"/>
                <w:szCs w:val="16"/>
              </w:rPr>
            </w:pPr>
            <w:r w:rsidRPr="000D170E">
              <w:rPr>
                <w:rFonts w:asciiTheme="majorHAnsi" w:hAnsiTheme="majorHAnsi"/>
                <w:b/>
                <w:sz w:val="16"/>
                <w:szCs w:val="16"/>
              </w:rPr>
              <w:lastRenderedPageBreak/>
              <w:t>Constitution Pipeline</w:t>
            </w:r>
          </w:p>
          <w:p w14:paraId="6323E054" w14:textId="77777777" w:rsidR="00B2175E" w:rsidRPr="009F2BB0" w:rsidRDefault="00B2175E" w:rsidP="00B2175E">
            <w:pPr>
              <w:spacing w:before="40" w:after="40" w:line="240" w:lineRule="auto"/>
              <w:rPr>
                <w:rFonts w:asciiTheme="majorHAnsi" w:hAnsiTheme="majorHAnsi"/>
                <w:b/>
                <w:sz w:val="16"/>
                <w:szCs w:val="16"/>
              </w:rPr>
            </w:pPr>
          </w:p>
          <w:p w14:paraId="7261EABA" w14:textId="77777777" w:rsidR="00B2175E" w:rsidRPr="00802B39" w:rsidRDefault="00B2175E" w:rsidP="00B2175E">
            <w:pPr>
              <w:spacing w:before="40" w:after="40" w:line="240" w:lineRule="auto"/>
              <w:rPr>
                <w:rFonts w:asciiTheme="majorHAnsi" w:hAnsiTheme="majorHAnsi"/>
                <w:b/>
                <w:sz w:val="16"/>
                <w:szCs w:val="16"/>
              </w:rPr>
            </w:pPr>
            <w:r w:rsidRPr="00802B39">
              <w:rPr>
                <w:rFonts w:asciiTheme="majorHAnsi" w:hAnsiTheme="majorHAnsi"/>
                <w:b/>
                <w:sz w:val="16"/>
                <w:szCs w:val="16"/>
              </w:rPr>
              <w:t>Cabot/Williams</w:t>
            </w:r>
          </w:p>
        </w:tc>
        <w:tc>
          <w:tcPr>
            <w:tcW w:w="3577" w:type="dxa"/>
            <w:shd w:val="clear" w:color="auto" w:fill="CCEAF9" w:themeFill="accent1" w:themeFillTint="33"/>
            <w:tcMar>
              <w:top w:w="29" w:type="dxa"/>
              <w:left w:w="115" w:type="dxa"/>
              <w:bottom w:w="29" w:type="dxa"/>
            </w:tcMar>
            <w:vAlign w:val="center"/>
          </w:tcPr>
          <w:p w14:paraId="3176D735" w14:textId="77777777" w:rsidR="00B2175E" w:rsidRPr="00802B39" w:rsidRDefault="00B2175E" w:rsidP="00B2175E">
            <w:pPr>
              <w:spacing w:before="40" w:after="40" w:line="240" w:lineRule="auto"/>
              <w:rPr>
                <w:rFonts w:asciiTheme="majorHAnsi" w:hAnsiTheme="majorHAnsi"/>
                <w:sz w:val="16"/>
                <w:szCs w:val="16"/>
              </w:rPr>
            </w:pPr>
            <w:r w:rsidRPr="00802B39">
              <w:rPr>
                <w:rFonts w:asciiTheme="majorHAnsi" w:hAnsiTheme="majorHAnsi"/>
                <w:sz w:val="16"/>
                <w:szCs w:val="16"/>
              </w:rPr>
              <w:t>The approximately 124-mile Constitution Pipeline is designed to extend from Susquehanna County, PA, to the Iroquois Gas Transmission and Tennessee Gas Pipeline systems in Schoharie County, NY. The proposed capacity is 650 MMcf/d. Cabot and Southwestern are shippers.</w:t>
            </w:r>
          </w:p>
        </w:tc>
        <w:tc>
          <w:tcPr>
            <w:tcW w:w="1083" w:type="dxa"/>
            <w:shd w:val="clear" w:color="auto" w:fill="CCEAF9" w:themeFill="accent1" w:themeFillTint="33"/>
            <w:tcMar>
              <w:top w:w="29" w:type="dxa"/>
              <w:left w:w="115" w:type="dxa"/>
              <w:bottom w:w="29" w:type="dxa"/>
            </w:tcMar>
            <w:vAlign w:val="center"/>
          </w:tcPr>
          <w:p w14:paraId="372AECFD"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shd w:val="clear" w:color="auto" w:fill="CCEAF9" w:themeFill="accent1" w:themeFillTint="33"/>
            <w:tcMar>
              <w:top w:w="29" w:type="dxa"/>
              <w:left w:w="115" w:type="dxa"/>
              <w:bottom w:w="29" w:type="dxa"/>
            </w:tcMar>
            <w:vAlign w:val="center"/>
          </w:tcPr>
          <w:p w14:paraId="04D26C7F" w14:textId="2D7C54E9" w:rsidR="00B2175E" w:rsidRPr="00E2185A" w:rsidRDefault="00B2175E" w:rsidP="00367FF3">
            <w:pPr>
              <w:spacing w:before="40" w:after="40" w:line="240" w:lineRule="auto"/>
              <w:rPr>
                <w:rFonts w:asciiTheme="majorHAnsi" w:hAnsiTheme="majorHAnsi"/>
                <w:sz w:val="16"/>
                <w:szCs w:val="16"/>
              </w:rPr>
            </w:pPr>
            <w:r w:rsidRPr="00E2185A">
              <w:rPr>
                <w:rFonts w:asciiTheme="majorHAnsi" w:hAnsiTheme="majorHAnsi"/>
                <w:sz w:val="16"/>
                <w:szCs w:val="16"/>
              </w:rPr>
              <w:t>Announced spring 2012. Filed with FERC, Jun. 2013. FERC issued fin</w:t>
            </w:r>
            <w:r w:rsidRPr="009170D2">
              <w:rPr>
                <w:rFonts w:asciiTheme="majorHAnsi" w:hAnsiTheme="majorHAnsi"/>
                <w:sz w:val="16"/>
                <w:szCs w:val="16"/>
              </w:rPr>
              <w:t xml:space="preserve">al </w:t>
            </w:r>
            <w:r w:rsidRPr="00F300A2">
              <w:rPr>
                <w:rFonts w:asciiTheme="majorHAnsi" w:hAnsiTheme="majorHAnsi"/>
                <w:sz w:val="16"/>
                <w:szCs w:val="16"/>
              </w:rPr>
              <w:t>EIS</w:t>
            </w:r>
            <w:r w:rsidRPr="009170D2">
              <w:rPr>
                <w:rFonts w:asciiTheme="majorHAnsi" w:hAnsiTheme="majorHAnsi"/>
                <w:sz w:val="16"/>
                <w:szCs w:val="16"/>
              </w:rPr>
              <w:t>, Oc</w:t>
            </w:r>
            <w:r w:rsidRPr="00E2185A">
              <w:rPr>
                <w:rFonts w:asciiTheme="majorHAnsi" w:hAnsiTheme="majorHAnsi"/>
                <w:sz w:val="16"/>
                <w:szCs w:val="16"/>
              </w:rPr>
              <w:t>t. 2014</w:t>
            </w:r>
            <w:r>
              <w:rPr>
                <w:rFonts w:asciiTheme="majorHAnsi" w:hAnsiTheme="majorHAnsi"/>
                <w:sz w:val="16"/>
                <w:szCs w:val="16"/>
              </w:rPr>
              <w:t xml:space="preserve">. </w:t>
            </w:r>
            <w:r w:rsidRPr="00E2185A">
              <w:rPr>
                <w:rFonts w:asciiTheme="majorHAnsi" w:hAnsiTheme="majorHAnsi"/>
                <w:sz w:val="16"/>
                <w:szCs w:val="16"/>
              </w:rPr>
              <w:t>Authorized by FERC, Dec. 2014. NY DEC denies water quality permit, Apr. 22, 2016; company affirms plans to continue with project, Apr. 25, 2016. FERC grants 2-year extension, July 2016. US Court of Appeals for Second District upholds NY DEC denial of certificate, Aug. 2017. FERC finds that NYS DEC did not waive its authority in decision</w:t>
            </w:r>
            <w:r>
              <w:rPr>
                <w:rFonts w:asciiTheme="majorHAnsi" w:hAnsiTheme="majorHAnsi"/>
                <w:sz w:val="16"/>
                <w:szCs w:val="16"/>
              </w:rPr>
              <w:t>,</w:t>
            </w:r>
            <w:r w:rsidRPr="00E2185A">
              <w:rPr>
                <w:rFonts w:asciiTheme="majorHAnsi" w:hAnsiTheme="majorHAnsi"/>
                <w:sz w:val="16"/>
                <w:szCs w:val="16"/>
              </w:rPr>
              <w:t xml:space="preserve"> and Constitution announced it will seek rehearing at FERC and petitioned US Supreme Court, all in Jan. 2018</w:t>
            </w:r>
            <w:r>
              <w:rPr>
                <w:rFonts w:asciiTheme="majorHAnsi" w:hAnsiTheme="majorHAnsi"/>
                <w:sz w:val="16"/>
                <w:szCs w:val="16"/>
              </w:rPr>
              <w:t>.</w:t>
            </w:r>
            <w:r w:rsidRPr="00E2185A">
              <w:rPr>
                <w:rFonts w:asciiTheme="majorHAnsi" w:hAnsiTheme="majorHAnsi"/>
                <w:sz w:val="16"/>
                <w:szCs w:val="16"/>
              </w:rPr>
              <w:t xml:space="preserve"> Supreme Court declines to hear Court of Appeals case, Apr. 2018. FERC denies request for rehearing</w:t>
            </w:r>
            <w:r>
              <w:rPr>
                <w:rFonts w:asciiTheme="majorHAnsi" w:hAnsiTheme="majorHAnsi"/>
                <w:sz w:val="16"/>
                <w:szCs w:val="16"/>
              </w:rPr>
              <w:t>,</w:t>
            </w:r>
            <w:r w:rsidRPr="00E2185A">
              <w:rPr>
                <w:rFonts w:asciiTheme="majorHAnsi" w:hAnsiTheme="majorHAnsi"/>
                <w:sz w:val="16"/>
                <w:szCs w:val="16"/>
              </w:rPr>
              <w:t xml:space="preserve"> and pipeline developers announce they will appeal to federal district court, both in July 2018. FERC grants 2-year extension, Nov. 2018.</w:t>
            </w:r>
          </w:p>
        </w:tc>
      </w:tr>
      <w:tr w:rsidR="00B2175E" w:rsidRPr="00E2185A" w14:paraId="34FAD406" w14:textId="77777777" w:rsidTr="00B2175E">
        <w:trPr>
          <w:cantSplit/>
          <w:jc w:val="center"/>
        </w:trPr>
        <w:tc>
          <w:tcPr>
            <w:tcW w:w="1730" w:type="dxa"/>
            <w:tcMar>
              <w:top w:w="29" w:type="dxa"/>
              <w:left w:w="115" w:type="dxa"/>
              <w:bottom w:w="29" w:type="dxa"/>
            </w:tcMar>
            <w:vAlign w:val="center"/>
          </w:tcPr>
          <w:p w14:paraId="62FB4CB9" w14:textId="77777777" w:rsidR="00B2175E" w:rsidRPr="000D170E" w:rsidRDefault="00B2175E" w:rsidP="00B2175E">
            <w:pPr>
              <w:spacing w:before="40" w:after="40" w:line="240" w:lineRule="auto"/>
              <w:rPr>
                <w:rFonts w:asciiTheme="majorHAnsi" w:hAnsiTheme="majorHAnsi"/>
                <w:b/>
                <w:sz w:val="16"/>
                <w:szCs w:val="16"/>
              </w:rPr>
            </w:pPr>
            <w:r w:rsidRPr="000D170E">
              <w:rPr>
                <w:rFonts w:asciiTheme="majorHAnsi" w:hAnsiTheme="majorHAnsi"/>
                <w:b/>
                <w:sz w:val="16"/>
                <w:szCs w:val="16"/>
              </w:rPr>
              <w:t>Wright Interconnect Project (WIP)</w:t>
            </w:r>
          </w:p>
          <w:p w14:paraId="5DBB363D" w14:textId="77777777" w:rsidR="00B2175E" w:rsidRPr="009F2BB0" w:rsidRDefault="00B2175E" w:rsidP="00B2175E">
            <w:pPr>
              <w:spacing w:before="40" w:after="40" w:line="240" w:lineRule="auto"/>
              <w:rPr>
                <w:rFonts w:asciiTheme="majorHAnsi" w:hAnsiTheme="majorHAnsi"/>
                <w:b/>
                <w:sz w:val="16"/>
                <w:szCs w:val="16"/>
              </w:rPr>
            </w:pPr>
          </w:p>
          <w:p w14:paraId="721CA49D" w14:textId="77777777" w:rsidR="00B2175E" w:rsidRPr="00802B39" w:rsidRDefault="00B2175E" w:rsidP="00B2175E">
            <w:pPr>
              <w:spacing w:before="40" w:after="40" w:line="240" w:lineRule="auto"/>
              <w:rPr>
                <w:rFonts w:asciiTheme="majorHAnsi" w:hAnsiTheme="majorHAnsi"/>
                <w:b/>
                <w:sz w:val="16"/>
                <w:szCs w:val="16"/>
              </w:rPr>
            </w:pPr>
            <w:r w:rsidRPr="00802B39">
              <w:rPr>
                <w:rFonts w:asciiTheme="majorHAnsi" w:hAnsiTheme="majorHAnsi"/>
                <w:b/>
                <w:sz w:val="16"/>
                <w:szCs w:val="16"/>
              </w:rPr>
              <w:t>Iroquois Gas Transmission</w:t>
            </w:r>
          </w:p>
        </w:tc>
        <w:tc>
          <w:tcPr>
            <w:tcW w:w="3577" w:type="dxa"/>
            <w:tcMar>
              <w:top w:w="29" w:type="dxa"/>
              <w:left w:w="115" w:type="dxa"/>
              <w:bottom w:w="29" w:type="dxa"/>
            </w:tcMar>
            <w:vAlign w:val="center"/>
          </w:tcPr>
          <w:p w14:paraId="4FE40ECC" w14:textId="77777777" w:rsidR="00B2175E" w:rsidRPr="00802B39" w:rsidRDefault="00B2175E" w:rsidP="00B2175E">
            <w:pPr>
              <w:spacing w:before="40" w:after="40" w:line="240" w:lineRule="auto"/>
              <w:rPr>
                <w:rFonts w:asciiTheme="majorHAnsi" w:hAnsiTheme="majorHAnsi"/>
                <w:sz w:val="16"/>
                <w:szCs w:val="16"/>
              </w:rPr>
            </w:pPr>
            <w:r w:rsidRPr="00802B39">
              <w:rPr>
                <w:rFonts w:asciiTheme="majorHAnsi" w:hAnsiTheme="majorHAnsi"/>
                <w:sz w:val="16"/>
                <w:szCs w:val="16"/>
              </w:rPr>
              <w:t>This project will enable delivery of up to 650,000 Dth/d of natural gas from the terminus of the proposed Constitution Pipeline in Schoharie County, NY, into both Iroquois and the Tennessee Gas Pipeline under a 15-year capacity lease agreement with Constitution.</w:t>
            </w:r>
          </w:p>
        </w:tc>
        <w:tc>
          <w:tcPr>
            <w:tcW w:w="1083" w:type="dxa"/>
            <w:tcMar>
              <w:top w:w="29" w:type="dxa"/>
              <w:left w:w="115" w:type="dxa"/>
              <w:bottom w:w="29" w:type="dxa"/>
            </w:tcMar>
            <w:vAlign w:val="center"/>
          </w:tcPr>
          <w:p w14:paraId="7B189A5F"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2020</w:t>
            </w:r>
          </w:p>
        </w:tc>
        <w:tc>
          <w:tcPr>
            <w:tcW w:w="3957" w:type="dxa"/>
            <w:tcMar>
              <w:top w:w="29" w:type="dxa"/>
              <w:left w:w="115" w:type="dxa"/>
              <w:bottom w:w="29" w:type="dxa"/>
            </w:tcMar>
            <w:vAlign w:val="center"/>
          </w:tcPr>
          <w:p w14:paraId="79E72EC9" w14:textId="77777777" w:rsidR="00B2175E" w:rsidRPr="00E2185A" w:rsidRDefault="00B2175E" w:rsidP="00B2175E">
            <w:pPr>
              <w:spacing w:before="40" w:after="40" w:line="240" w:lineRule="auto"/>
              <w:rPr>
                <w:rFonts w:asciiTheme="majorHAnsi" w:hAnsiTheme="majorHAnsi"/>
                <w:sz w:val="16"/>
                <w:szCs w:val="16"/>
              </w:rPr>
            </w:pPr>
            <w:r w:rsidRPr="00E2185A">
              <w:rPr>
                <w:rFonts w:asciiTheme="majorHAnsi" w:hAnsiTheme="majorHAnsi"/>
                <w:sz w:val="16"/>
                <w:szCs w:val="16"/>
              </w:rPr>
              <w:t>Announced Jan. 2013. Filed with FERC, Jun. 2013. FERC issued final EIS, Oct. 2014. Authorized by FERC, Dec. 2014. FERC grants 2-year extension, Aug. 2016. FERC grants 2-year extension, Nov. 2018.</w:t>
            </w:r>
          </w:p>
        </w:tc>
      </w:tr>
      <w:tr w:rsidR="00B2175E" w:rsidRPr="00E2185A" w14:paraId="137D048E" w14:textId="77777777" w:rsidTr="00B2175E">
        <w:trPr>
          <w:cantSplit/>
          <w:jc w:val="center"/>
        </w:trPr>
        <w:tc>
          <w:tcPr>
            <w:tcW w:w="1730" w:type="dxa"/>
            <w:shd w:val="clear" w:color="auto" w:fill="CCEAF9" w:themeFill="accent1" w:themeFillTint="33"/>
            <w:tcMar>
              <w:top w:w="29" w:type="dxa"/>
              <w:left w:w="115" w:type="dxa"/>
              <w:bottom w:w="29" w:type="dxa"/>
            </w:tcMar>
            <w:vAlign w:val="center"/>
          </w:tcPr>
          <w:p w14:paraId="15A4BF87"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Northern Access</w:t>
            </w:r>
          </w:p>
          <w:p w14:paraId="6C544D3F" w14:textId="77777777" w:rsidR="00B2175E" w:rsidRPr="00E2185A" w:rsidRDefault="00B2175E" w:rsidP="00B2175E">
            <w:pPr>
              <w:spacing w:before="40" w:after="40" w:line="240" w:lineRule="auto"/>
              <w:rPr>
                <w:rFonts w:asciiTheme="majorHAnsi" w:hAnsiTheme="majorHAnsi"/>
                <w:b/>
                <w:sz w:val="16"/>
                <w:szCs w:val="16"/>
              </w:rPr>
            </w:pPr>
          </w:p>
          <w:p w14:paraId="7924545B" w14:textId="77777777" w:rsidR="00B2175E" w:rsidRPr="00E2185A" w:rsidRDefault="00B2175E" w:rsidP="00B2175E">
            <w:pPr>
              <w:spacing w:before="40" w:after="40" w:line="240" w:lineRule="auto"/>
              <w:rPr>
                <w:rFonts w:asciiTheme="majorHAnsi" w:hAnsiTheme="majorHAnsi"/>
                <w:b/>
                <w:sz w:val="16"/>
                <w:szCs w:val="16"/>
              </w:rPr>
            </w:pPr>
            <w:r w:rsidRPr="00E2185A">
              <w:rPr>
                <w:rFonts w:asciiTheme="majorHAnsi" w:hAnsiTheme="majorHAnsi"/>
                <w:b/>
                <w:sz w:val="16"/>
                <w:szCs w:val="16"/>
              </w:rPr>
              <w:t>National Fuel Gas Supply and Empire Pipeline</w:t>
            </w:r>
          </w:p>
        </w:tc>
        <w:tc>
          <w:tcPr>
            <w:tcW w:w="3577" w:type="dxa"/>
            <w:shd w:val="clear" w:color="auto" w:fill="CCEAF9" w:themeFill="accent1" w:themeFillTint="33"/>
            <w:tcMar>
              <w:top w:w="29" w:type="dxa"/>
              <w:left w:w="115" w:type="dxa"/>
              <w:bottom w:w="29" w:type="dxa"/>
            </w:tcMar>
            <w:vAlign w:val="center"/>
          </w:tcPr>
          <w:p w14:paraId="01C52B9C" w14:textId="4FDC246D" w:rsidR="00B2175E" w:rsidRPr="00E2185A" w:rsidRDefault="00B2175E" w:rsidP="00536C7F">
            <w:pPr>
              <w:spacing w:before="40" w:after="40" w:line="240" w:lineRule="auto"/>
              <w:rPr>
                <w:rFonts w:asciiTheme="majorHAnsi" w:hAnsiTheme="majorHAnsi"/>
                <w:sz w:val="16"/>
                <w:szCs w:val="16"/>
              </w:rPr>
            </w:pPr>
            <w:r w:rsidRPr="00E2185A">
              <w:rPr>
                <w:rFonts w:asciiTheme="majorHAnsi" w:hAnsiTheme="majorHAnsi"/>
                <w:sz w:val="16"/>
                <w:szCs w:val="16"/>
              </w:rPr>
              <w:t>Capacity of 350,000 Dth/d on Empire, and</w:t>
            </w:r>
            <w:r w:rsidR="00536C7F">
              <w:rPr>
                <w:rFonts w:asciiTheme="majorHAnsi" w:hAnsiTheme="majorHAnsi"/>
                <w:sz w:val="16"/>
                <w:szCs w:val="16"/>
              </w:rPr>
              <w:br/>
            </w:r>
            <w:r w:rsidRPr="00E2185A">
              <w:rPr>
                <w:rFonts w:asciiTheme="majorHAnsi" w:hAnsiTheme="majorHAnsi"/>
                <w:sz w:val="16"/>
                <w:szCs w:val="16"/>
              </w:rPr>
              <w:t>140,</w:t>
            </w:r>
            <w:r w:rsidR="00536C7F" w:rsidRPr="00E2185A">
              <w:rPr>
                <w:rFonts w:asciiTheme="majorHAnsi" w:hAnsiTheme="majorHAnsi"/>
                <w:sz w:val="16"/>
                <w:szCs w:val="16"/>
              </w:rPr>
              <w:t>000</w:t>
            </w:r>
            <w:r w:rsidR="00536C7F">
              <w:rPr>
                <w:rFonts w:asciiTheme="majorHAnsi" w:hAnsiTheme="majorHAnsi"/>
                <w:sz w:val="16"/>
                <w:szCs w:val="16"/>
              </w:rPr>
              <w:t> </w:t>
            </w:r>
            <w:r w:rsidRPr="00E2185A">
              <w:rPr>
                <w:rFonts w:asciiTheme="majorHAnsi" w:hAnsiTheme="majorHAnsi"/>
                <w:sz w:val="16"/>
                <w:szCs w:val="16"/>
              </w:rPr>
              <w:t>Dth/d to be delivered to the Tennessee 200 line; project involves approximately 99 miles of 24-inch pipeline and a compressor station upgrade and one new compressor station.</w:t>
            </w:r>
          </w:p>
        </w:tc>
        <w:tc>
          <w:tcPr>
            <w:tcW w:w="1083" w:type="dxa"/>
            <w:shd w:val="clear" w:color="auto" w:fill="CCEAF9" w:themeFill="accent1" w:themeFillTint="33"/>
            <w:tcMar>
              <w:top w:w="29" w:type="dxa"/>
              <w:left w:w="115" w:type="dxa"/>
              <w:bottom w:w="29" w:type="dxa"/>
            </w:tcMar>
            <w:vAlign w:val="center"/>
          </w:tcPr>
          <w:p w14:paraId="0426BF97" w14:textId="77777777" w:rsidR="00B2175E" w:rsidRPr="00E2185A" w:rsidRDefault="00B2175E" w:rsidP="00B2175E">
            <w:pPr>
              <w:spacing w:before="40" w:after="40" w:line="240" w:lineRule="auto"/>
              <w:jc w:val="center"/>
              <w:rPr>
                <w:rFonts w:asciiTheme="majorHAnsi" w:hAnsiTheme="majorHAnsi"/>
                <w:sz w:val="16"/>
                <w:szCs w:val="16"/>
              </w:rPr>
            </w:pPr>
            <w:r w:rsidRPr="00E2185A">
              <w:rPr>
                <w:rFonts w:asciiTheme="majorHAnsi" w:hAnsiTheme="majorHAnsi"/>
                <w:sz w:val="16"/>
                <w:szCs w:val="16"/>
              </w:rPr>
              <w:t>2022</w:t>
            </w:r>
          </w:p>
        </w:tc>
        <w:tc>
          <w:tcPr>
            <w:tcW w:w="3957" w:type="dxa"/>
            <w:shd w:val="clear" w:color="auto" w:fill="CCEAF9" w:themeFill="accent1" w:themeFillTint="33"/>
            <w:tcMar>
              <w:top w:w="29" w:type="dxa"/>
              <w:left w:w="115" w:type="dxa"/>
              <w:bottom w:w="29" w:type="dxa"/>
            </w:tcMar>
            <w:vAlign w:val="center"/>
          </w:tcPr>
          <w:p w14:paraId="5D90B502" w14:textId="77777777" w:rsidR="00B2175E" w:rsidRPr="009F3091" w:rsidRDefault="00B2175E" w:rsidP="009F3091">
            <w:pPr>
              <w:pStyle w:val="Caption-Figure"/>
              <w:rPr>
                <w:sz w:val="16"/>
                <w:szCs w:val="16"/>
              </w:rPr>
            </w:pPr>
            <w:r w:rsidRPr="009F3091">
              <w:rPr>
                <w:b w:val="0"/>
                <w:sz w:val="16"/>
                <w:szCs w:val="16"/>
              </w:rPr>
              <w:t>Filed with FERC, Mar. 2015; amendment filed in Nov. 2015. FERC issued environmental assessment, Jul. 2016. Approved by FERC, Feb. 2017. NYS DEC denies water-quality certificates, Apr. 2017. FERC denies rehearing of its permit, stating NYS DEC had waived its authority on water-quality certificate by its delay in rendering decision, Aug. 2018. Federal appeals court rules that NY DEC did not provide sufficient information to support its denial of project’s water quality certificate, Feb. 2019.</w:t>
            </w:r>
          </w:p>
        </w:tc>
      </w:tr>
    </w:tbl>
    <w:p w14:paraId="3E248949" w14:textId="77777777" w:rsidR="00E2185A" w:rsidRPr="00B45D0E" w:rsidRDefault="00E2185A" w:rsidP="00B2175E">
      <w:pPr>
        <w:numPr>
          <w:ilvl w:val="0"/>
          <w:numId w:val="715"/>
        </w:numPr>
        <w:spacing w:before="120" w:after="120" w:line="240" w:lineRule="auto"/>
        <w:ind w:left="-360" w:right="-720" w:hanging="270"/>
        <w:rPr>
          <w:rFonts w:asciiTheme="minorHAnsi" w:eastAsia="Times New Roman" w:hAnsiTheme="minorHAnsi"/>
          <w:sz w:val="16"/>
          <w:szCs w:val="16"/>
        </w:rPr>
      </w:pPr>
      <w:r w:rsidRPr="00E2185A">
        <w:rPr>
          <w:rFonts w:asciiTheme="minorHAnsi" w:eastAsia="Times New Roman" w:hAnsiTheme="minorHAnsi"/>
          <w:sz w:val="16"/>
          <w:szCs w:val="16"/>
        </w:rPr>
        <w:t xml:space="preserve">The Northeast Gas Association (NGA) prepared this summary based on publicly-available information. NGA notes that this information may change </w:t>
      </w:r>
      <w:r w:rsidRPr="00B45D0E">
        <w:rPr>
          <w:rFonts w:asciiTheme="minorHAnsi" w:eastAsia="Times New Roman" w:hAnsiTheme="minorHAnsi"/>
          <w:sz w:val="16"/>
          <w:szCs w:val="16"/>
        </w:rPr>
        <w:t>pending project developments, and the list may not include all projects.</w:t>
      </w:r>
    </w:p>
    <w:p w14:paraId="1AB39D39" w14:textId="28BBEE35" w:rsidR="00A2134B" w:rsidRPr="00E2185A" w:rsidRDefault="00A2134B" w:rsidP="004B7400">
      <w:pPr>
        <w:spacing w:before="120" w:line="240" w:lineRule="auto"/>
        <w:ind w:left="-360" w:right="-720" w:hanging="274"/>
        <w:rPr>
          <w:rFonts w:asciiTheme="minorHAnsi" w:eastAsia="Times New Roman" w:hAnsiTheme="minorHAnsi"/>
          <w:sz w:val="16"/>
          <w:szCs w:val="16"/>
        </w:rPr>
      </w:pPr>
      <w:r w:rsidRPr="00B45D0E">
        <w:rPr>
          <w:rFonts w:asciiTheme="minorHAnsi" w:eastAsia="Times New Roman" w:hAnsiTheme="minorHAnsi"/>
          <w:sz w:val="16"/>
          <w:szCs w:val="16"/>
        </w:rPr>
        <w:t xml:space="preserve">(b) </w:t>
      </w:r>
      <w:r w:rsidR="00B45D0E">
        <w:rPr>
          <w:rFonts w:asciiTheme="minorHAnsi" w:eastAsia="Times New Roman" w:hAnsiTheme="minorHAnsi"/>
          <w:sz w:val="16"/>
          <w:szCs w:val="16"/>
        </w:rPr>
        <w:tab/>
      </w:r>
      <w:r w:rsidRPr="00B45D0E">
        <w:rPr>
          <w:rFonts w:asciiTheme="minorHAnsi" w:eastAsia="Times New Roman" w:hAnsiTheme="minorHAnsi"/>
          <w:sz w:val="16"/>
          <w:szCs w:val="16"/>
        </w:rPr>
        <w:t>National Grid has proposed a 1 Bcf LNG facility in Providence, R</w:t>
      </w:r>
      <w:r w:rsidR="00B45D0E" w:rsidRPr="00B45D0E">
        <w:rPr>
          <w:rFonts w:asciiTheme="minorHAnsi" w:eastAsia="Times New Roman" w:hAnsiTheme="minorHAnsi"/>
          <w:sz w:val="16"/>
          <w:szCs w:val="16"/>
        </w:rPr>
        <w:t>I</w:t>
      </w:r>
      <w:r w:rsidRPr="00B45D0E">
        <w:rPr>
          <w:rFonts w:asciiTheme="minorHAnsi" w:eastAsia="Times New Roman" w:hAnsiTheme="minorHAnsi"/>
          <w:sz w:val="16"/>
          <w:szCs w:val="16"/>
        </w:rPr>
        <w:t>, f</w:t>
      </w:r>
      <w:r w:rsidRPr="009170D2">
        <w:rPr>
          <w:rFonts w:asciiTheme="minorHAnsi" w:eastAsia="Times New Roman" w:hAnsiTheme="minorHAnsi"/>
          <w:sz w:val="16"/>
          <w:szCs w:val="16"/>
        </w:rPr>
        <w:t xml:space="preserve">or </w:t>
      </w:r>
      <w:r w:rsidR="009B2B28" w:rsidRPr="009170D2">
        <w:rPr>
          <w:rFonts w:asciiTheme="minorHAnsi" w:eastAsia="Times New Roman" w:hAnsiTheme="minorHAnsi"/>
          <w:sz w:val="16"/>
          <w:szCs w:val="16"/>
        </w:rPr>
        <w:t xml:space="preserve">local gas distribution company </w:t>
      </w:r>
      <w:r w:rsidRPr="009170D2">
        <w:rPr>
          <w:rFonts w:asciiTheme="minorHAnsi" w:eastAsia="Times New Roman" w:hAnsiTheme="minorHAnsi"/>
          <w:sz w:val="16"/>
          <w:szCs w:val="16"/>
        </w:rPr>
        <w:t>peak s</w:t>
      </w:r>
      <w:r w:rsidRPr="00B45D0E">
        <w:rPr>
          <w:rFonts w:asciiTheme="minorHAnsi" w:eastAsia="Times New Roman" w:hAnsiTheme="minorHAnsi"/>
          <w:sz w:val="16"/>
          <w:szCs w:val="16"/>
        </w:rPr>
        <w:t>having, which is not anticipated to directly benefit New England generators</w:t>
      </w:r>
      <w:r w:rsidR="00231293">
        <w:rPr>
          <w:rFonts w:asciiTheme="minorHAnsi" w:eastAsia="Times New Roman" w:hAnsiTheme="minorHAnsi"/>
          <w:sz w:val="16"/>
          <w:szCs w:val="16"/>
        </w:rPr>
        <w:t xml:space="preserve"> </w:t>
      </w:r>
      <w:r w:rsidR="00231293" w:rsidRPr="005556D4">
        <w:rPr>
          <w:rFonts w:asciiTheme="minorHAnsi" w:eastAsia="Times New Roman" w:hAnsiTheme="minorHAnsi"/>
          <w:sz w:val="16"/>
          <w:szCs w:val="16"/>
        </w:rPr>
        <w:t>because it is meant to serve LDC custome</w:t>
      </w:r>
      <w:r w:rsidR="00807542" w:rsidRPr="009F3091">
        <w:rPr>
          <w:rFonts w:asciiTheme="minorHAnsi" w:eastAsia="Times New Roman" w:hAnsiTheme="minorHAnsi"/>
          <w:sz w:val="16"/>
          <w:szCs w:val="16"/>
        </w:rPr>
        <w:t>r</w:t>
      </w:r>
      <w:r w:rsidR="00231293" w:rsidRPr="005556D4">
        <w:rPr>
          <w:rFonts w:asciiTheme="minorHAnsi" w:eastAsia="Times New Roman" w:hAnsiTheme="minorHAnsi"/>
          <w:sz w:val="16"/>
          <w:szCs w:val="16"/>
        </w:rPr>
        <w:t>s</w:t>
      </w:r>
      <w:r w:rsidRPr="005556D4">
        <w:rPr>
          <w:rFonts w:asciiTheme="minorHAnsi" w:eastAsia="Times New Roman" w:hAnsiTheme="minorHAnsi"/>
          <w:sz w:val="16"/>
          <w:szCs w:val="16"/>
        </w:rPr>
        <w:t>.</w:t>
      </w:r>
    </w:p>
    <w:p w14:paraId="77A3562A" w14:textId="77777777" w:rsidR="00E2185A" w:rsidRPr="00E2185A" w:rsidRDefault="00E2185A" w:rsidP="00E2185A">
      <w:r w:rsidRPr="00E2185A">
        <w:rPr>
          <w:rFonts w:eastAsia="Times New Roman"/>
          <w:bCs/>
          <w:iCs/>
        </w:rPr>
        <w:t xml:space="preserve">The ISO continues to monitor if and when any power generators within New England sign a firm contract for any portion of these regional upgrades and also any </w:t>
      </w:r>
      <w:r w:rsidRPr="00E2185A">
        <w:t>upgrades to natural gas infrastructure to maintain operational awareness of the changing capacity of the regional natural gas system.</w:t>
      </w:r>
    </w:p>
    <w:p w14:paraId="502D8DE1" w14:textId="77777777" w:rsidR="00E2185A" w:rsidRPr="00E2185A" w:rsidRDefault="00E2185A" w:rsidP="00E2185A">
      <w:pPr>
        <w:pStyle w:val="Heading2"/>
        <w:rPr>
          <w:rFonts w:eastAsia="Times New Roman"/>
        </w:rPr>
      </w:pPr>
      <w:bookmarkStart w:id="828" w:name="_Ref8643553"/>
      <w:bookmarkStart w:id="829" w:name="_Toc12795221"/>
      <w:r w:rsidRPr="00E2185A">
        <w:rPr>
          <w:rFonts w:eastAsia="Times New Roman"/>
        </w:rPr>
        <w:t>Natural Gas and Oil Price Volatility</w:t>
      </w:r>
      <w:bookmarkEnd w:id="828"/>
      <w:bookmarkEnd w:id="829"/>
    </w:p>
    <w:p w14:paraId="7EA8DE0E" w14:textId="6546D170" w:rsidR="00E2185A" w:rsidRPr="00E2185A" w:rsidRDefault="00E2185A" w:rsidP="00E2185A">
      <w:r w:rsidRPr="00E2185A">
        <w:t xml:space="preserve">Because natural gas plants make up such a large part of the New England generating fleet, the availability of this fuel has an immediate effect on power grid reliability and market prices. For example, the planned or unplanned outage of a major gas pipeline at any time of year may affect many thousands of megawatts of generation. Additionally, when gas-fired generators are unavailable to run or are derated, the ISO must commit equal amounts of non-gas-fired (replacement) generation to satisfy peak load and operating reserve requirements. Because oil- and coal-fired generation may need to limit their run times to comply with recent environmental restrictions (see </w:t>
      </w:r>
      <w:r w:rsidR="00B2175E">
        <w:fldChar w:fldCharType="begin"/>
      </w:r>
      <w:r w:rsidR="00B2175E">
        <w:instrText xml:space="preserve"> REF _Ref418883784 \r \h </w:instrText>
      </w:r>
      <w:r w:rsidR="00B2175E">
        <w:fldChar w:fldCharType="separate"/>
      </w:r>
      <w:r w:rsidR="005D0B73">
        <w:t>Section 8</w:t>
      </w:r>
      <w:r w:rsidR="00B2175E">
        <w:fldChar w:fldCharType="end"/>
      </w:r>
      <w:r w:rsidRPr="00E2185A">
        <w:t xml:space="preserve">), the ISO’s replacement generation plan may quickly erode. These energy-production limitations create challenges to operating the system reliably and economically. </w:t>
      </w:r>
    </w:p>
    <w:p w14:paraId="2F5BBFD0" w14:textId="25BDB781" w:rsidR="00E2185A" w:rsidRPr="00E2185A" w:rsidRDefault="00E2185A" w:rsidP="00E2185A">
      <w:pPr>
        <w:rPr>
          <w:sz w:val="16"/>
          <w:szCs w:val="16"/>
        </w:rPr>
      </w:pPr>
      <w:r w:rsidRPr="00E2185A">
        <w:t xml:space="preserve">As shown in </w:t>
      </w:r>
      <w:r w:rsidRPr="00E2185A">
        <w:fldChar w:fldCharType="begin"/>
      </w:r>
      <w:r w:rsidRPr="00E2185A">
        <w:instrText xml:space="preserve"> REF _Ref8043366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6</w:t>
      </w:r>
      <w:r w:rsidRPr="00E2185A">
        <w:fldChar w:fldCharType="end"/>
      </w:r>
      <w:r w:rsidRPr="00E2185A">
        <w:t xml:space="preserve">, New England’s heavy reliance on natural gas-fired generation has resulted in spot-market gas prices either setting or closely following the price for wholesale electricity. The daily volatility in natural gas fuel prices </w:t>
      </w:r>
      <w:r w:rsidR="00687C70">
        <w:t>(dollars/</w:t>
      </w:r>
      <w:r w:rsidR="00687C70" w:rsidRPr="00687C70">
        <w:t>million British thermal units</w:t>
      </w:r>
      <w:r w:rsidR="00687C70">
        <w:t xml:space="preserve">; </w:t>
      </w:r>
      <w:r w:rsidR="00F91604">
        <w:t>$</w:t>
      </w:r>
      <w:r w:rsidR="00687C70">
        <w:t xml:space="preserve">/MMBtu) </w:t>
      </w:r>
      <w:r w:rsidRPr="00E2185A">
        <w:t xml:space="preserve">was at its greatest </w:t>
      </w:r>
      <w:r w:rsidRPr="00E2185A">
        <w:lastRenderedPageBreak/>
        <w:t>during the winters of 2013/2014 and 2014/2015. Gas prices were more stable during the winters of 2015/2016, 2016/2017, and 2018/2019, likely attributable to more mild winters, the ISO’s Winter Reliability Program and LNG deliveries</w:t>
      </w:r>
      <w:r w:rsidRPr="00E2185A">
        <w:rPr>
          <w:sz w:val="16"/>
          <w:szCs w:val="16"/>
        </w:rPr>
        <w:t>.</w:t>
      </w:r>
      <w:r w:rsidRPr="00E2185A">
        <w:rPr>
          <w:vertAlign w:val="superscript"/>
        </w:rPr>
        <w:t xml:space="preserve"> </w:t>
      </w:r>
      <w:r w:rsidRPr="00E2185A">
        <w:rPr>
          <w:vertAlign w:val="superscript"/>
        </w:rPr>
        <w:footnoteReference w:id="258"/>
      </w:r>
    </w:p>
    <w:p w14:paraId="677683EA" w14:textId="77777777" w:rsidR="007B29BB" w:rsidRDefault="007B29BB" w:rsidP="007B29BB">
      <w:pPr>
        <w:spacing w:after="0" w:line="240" w:lineRule="auto"/>
        <w:rPr>
          <w:sz w:val="16"/>
          <w:szCs w:val="16"/>
        </w:rPr>
      </w:pPr>
      <w:r w:rsidRPr="007B29BB">
        <w:rPr>
          <w:noProof/>
        </w:rPr>
        <w:drawing>
          <wp:inline distT="0" distB="0" distL="0" distR="0" wp14:anchorId="37CEDF15" wp14:editId="1650FCB4">
            <wp:extent cx="5709285" cy="3281045"/>
            <wp:effectExtent l="19050" t="19050" r="2476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9285" cy="3281045"/>
                    </a:xfrm>
                    <a:prstGeom prst="rect">
                      <a:avLst/>
                    </a:prstGeom>
                    <a:noFill/>
                    <a:ln w="3175">
                      <a:solidFill>
                        <a:srgbClr val="000000"/>
                      </a:solidFill>
                    </a:ln>
                  </pic:spPr>
                </pic:pic>
              </a:graphicData>
            </a:graphic>
          </wp:inline>
        </w:drawing>
      </w:r>
    </w:p>
    <w:p w14:paraId="48AF9B3F" w14:textId="255AF126" w:rsidR="00E2185A" w:rsidRPr="00E2185A" w:rsidRDefault="00E2185A" w:rsidP="00E2185A">
      <w:pPr>
        <w:keepNext/>
        <w:keepLines/>
        <w:tabs>
          <w:tab w:val="left" w:pos="90"/>
          <w:tab w:val="left" w:pos="7200"/>
        </w:tabs>
        <w:spacing w:before="120" w:after="80" w:line="240" w:lineRule="auto"/>
        <w:ind w:left="86"/>
        <w:rPr>
          <w:rFonts w:ascii="Calibri" w:hAnsi="Calibri"/>
          <w:b/>
          <w:bCs/>
          <w:szCs w:val="18"/>
        </w:rPr>
      </w:pPr>
      <w:bookmarkStart w:id="830" w:name="_Ref8043366"/>
      <w:bookmarkStart w:id="831" w:name="_Toc17709760"/>
      <w:r w:rsidRPr="00E2185A">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6</w:t>
      </w:r>
      <w:r w:rsidR="008E7223">
        <w:rPr>
          <w:rFonts w:ascii="Calibri" w:hAnsi="Calibri"/>
          <w:b/>
          <w:bCs/>
          <w:szCs w:val="18"/>
        </w:rPr>
        <w:fldChar w:fldCharType="end"/>
      </w:r>
      <w:bookmarkEnd w:id="830"/>
      <w:r w:rsidRPr="00E2185A">
        <w:rPr>
          <w:rFonts w:ascii="Calibri" w:hAnsi="Calibri"/>
          <w:b/>
          <w:bCs/>
          <w:szCs w:val="18"/>
        </w:rPr>
        <w:t>: Monthly average natural gas prices and real-time Hub LMPs compared with regional natural gas prices, March 2003 to March 2019 ($/MWh; $/MMbtu).</w:t>
      </w:r>
      <w:bookmarkEnd w:id="831"/>
      <w:r w:rsidRPr="00E2185A">
        <w:rPr>
          <w:rFonts w:ascii="Calibri" w:hAnsi="Calibri"/>
          <w:b/>
          <w:bCs/>
          <w:szCs w:val="18"/>
        </w:rPr>
        <w:t xml:space="preserve"> </w:t>
      </w:r>
    </w:p>
    <w:p w14:paraId="13E3A7AA" w14:textId="77777777" w:rsidR="00E2185A" w:rsidRPr="00E2185A" w:rsidRDefault="00E2185A" w:rsidP="00E2185A">
      <w:pPr>
        <w:tabs>
          <w:tab w:val="left" w:pos="90"/>
          <w:tab w:val="left" w:pos="7200"/>
        </w:tabs>
        <w:spacing w:before="80" w:line="240" w:lineRule="auto"/>
        <w:ind w:left="86"/>
        <w:rPr>
          <w:rFonts w:ascii="Calibri" w:hAnsi="Calibri"/>
          <w:bCs/>
          <w:sz w:val="18"/>
          <w:szCs w:val="18"/>
        </w:rPr>
      </w:pPr>
      <w:r w:rsidRPr="00E2185A">
        <w:rPr>
          <w:rFonts w:ascii="Calibri" w:eastAsia="Times New Roman" w:hAnsi="Calibri"/>
          <w:b/>
          <w:bCs/>
          <w:sz w:val="18"/>
          <w:szCs w:val="18"/>
        </w:rPr>
        <w:t xml:space="preserve">Note: </w:t>
      </w:r>
      <w:r w:rsidRPr="00E2185A">
        <w:rPr>
          <w:rFonts w:ascii="Calibri" w:hAnsi="Calibri"/>
          <w:bCs/>
          <w:sz w:val="18"/>
          <w:szCs w:val="18"/>
        </w:rPr>
        <w:t>Underlying natural gas data furnished by the Intercontinental Exchange (ICE). The regional natural gas price is the average Massachusetts price, which is the volume-weighted average of pricing points for Algonquin, Tennessee, and Dracut.</w:t>
      </w:r>
    </w:p>
    <w:p w14:paraId="1FA3EE31" w14:textId="4BB8B6F6" w:rsidR="00E2185A" w:rsidRPr="00E2185A" w:rsidRDefault="00E2185A" w:rsidP="00E2185A">
      <w:r w:rsidRPr="00E2185A">
        <w:fldChar w:fldCharType="begin"/>
      </w:r>
      <w:r w:rsidRPr="00E2185A">
        <w:instrText xml:space="preserve"> REF _Ref8043331 \h  \* MERGEFORMAT </w:instrText>
      </w:r>
      <w:r w:rsidRPr="00E2185A">
        <w:fldChar w:fldCharType="separate"/>
      </w:r>
      <w:r w:rsidR="005D0B73" w:rsidRPr="005D0B73">
        <w:rPr>
          <w:bCs/>
        </w:rPr>
        <w:t>Figure 7</w:t>
      </w:r>
      <w:r w:rsidR="005D0B73" w:rsidRPr="005D0B73">
        <w:rPr>
          <w:bCs/>
        </w:rPr>
        <w:noBreakHyphen/>
        <w:t>7</w:t>
      </w:r>
      <w:r w:rsidRPr="00E2185A">
        <w:fldChar w:fldCharType="end"/>
      </w:r>
      <w:r w:rsidRPr="00E2185A">
        <w:t xml:space="preserve"> shows wholesale electricity and natural gas market data for New England trading hubs and the Marcellus price. Although the Marcellus shale dominates continental gas production, pipeline limitations in New York and into New England typically cause price separation between New England and Marcellus supplies. Imported LNG can supply New England and may mitigate higher New England prices by providing firm supply during peak demand periods. The higher commodity cost of imported LNG can result in higher electric energy prices in New England.</w:t>
      </w:r>
      <w:r w:rsidRPr="00E2185A">
        <w:rPr>
          <w:vertAlign w:val="superscript"/>
        </w:rPr>
        <w:footnoteReference w:id="259"/>
      </w:r>
      <w:r w:rsidRPr="00E2185A">
        <w:t xml:space="preserve"> </w:t>
      </w:r>
    </w:p>
    <w:p w14:paraId="6EF58193" w14:textId="77777777" w:rsidR="00E2185A" w:rsidRDefault="00E2185A" w:rsidP="00E2185A">
      <w:pPr>
        <w:spacing w:after="0" w:line="240" w:lineRule="auto"/>
      </w:pPr>
    </w:p>
    <w:p w14:paraId="5B78D1F2" w14:textId="77777777" w:rsidR="00E54CC8" w:rsidRDefault="000510AC" w:rsidP="00E2185A">
      <w:pPr>
        <w:spacing w:after="0" w:line="240" w:lineRule="auto"/>
      </w:pPr>
      <w:r w:rsidRPr="000510AC">
        <w:rPr>
          <w:noProof/>
        </w:rPr>
        <w:lastRenderedPageBreak/>
        <w:drawing>
          <wp:inline distT="0" distB="0" distL="0" distR="0" wp14:anchorId="3BFB3139" wp14:editId="2E9C3B83">
            <wp:extent cx="5339637" cy="3580014"/>
            <wp:effectExtent l="19050" t="19050" r="1397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56197" cy="3591117"/>
                    </a:xfrm>
                    <a:prstGeom prst="rect">
                      <a:avLst/>
                    </a:prstGeom>
                    <a:noFill/>
                    <a:ln w="3175">
                      <a:solidFill>
                        <a:srgbClr val="000000"/>
                      </a:solidFill>
                    </a:ln>
                  </pic:spPr>
                </pic:pic>
              </a:graphicData>
            </a:graphic>
          </wp:inline>
        </w:drawing>
      </w:r>
    </w:p>
    <w:p w14:paraId="451B2055" w14:textId="7B2A0B9F" w:rsidR="00E2185A" w:rsidRPr="000510AC" w:rsidRDefault="00E2185A" w:rsidP="000510AC">
      <w:pPr>
        <w:spacing w:before="120" w:after="80" w:line="240" w:lineRule="auto"/>
        <w:ind w:left="90"/>
        <w:rPr>
          <w:rStyle w:val="Caption-FigureChar"/>
        </w:rPr>
      </w:pPr>
      <w:bookmarkStart w:id="832" w:name="_Ref8043331"/>
      <w:bookmarkStart w:id="833" w:name="_Toc17709761"/>
      <w:r w:rsidRPr="000510AC">
        <w:rPr>
          <w:rStyle w:val="Caption-FigureChar"/>
        </w:rPr>
        <w:t xml:space="preserve">Figure </w:t>
      </w:r>
      <w:r w:rsidR="008E7223">
        <w:rPr>
          <w:rStyle w:val="Caption-FigureChar"/>
        </w:rPr>
        <w:fldChar w:fldCharType="begin"/>
      </w:r>
      <w:r w:rsidR="008E7223">
        <w:rPr>
          <w:rStyle w:val="Caption-FigureChar"/>
        </w:rPr>
        <w:instrText xml:space="preserve"> STYLEREF 1 \s </w:instrText>
      </w:r>
      <w:r w:rsidR="008E7223">
        <w:rPr>
          <w:rStyle w:val="Caption-FigureChar"/>
        </w:rPr>
        <w:fldChar w:fldCharType="separate"/>
      </w:r>
      <w:r w:rsidR="008E7223">
        <w:rPr>
          <w:rStyle w:val="Caption-FigureChar"/>
          <w:noProof/>
        </w:rPr>
        <w:t>7</w:t>
      </w:r>
      <w:r w:rsidR="008E7223">
        <w:rPr>
          <w:rStyle w:val="Caption-FigureChar"/>
        </w:rPr>
        <w:fldChar w:fldCharType="end"/>
      </w:r>
      <w:r w:rsidR="008E7223">
        <w:rPr>
          <w:rStyle w:val="Caption-FigureChar"/>
        </w:rPr>
        <w:noBreakHyphen/>
      </w:r>
      <w:r w:rsidR="008E7223">
        <w:rPr>
          <w:rStyle w:val="Caption-FigureChar"/>
        </w:rPr>
        <w:fldChar w:fldCharType="begin"/>
      </w:r>
      <w:r w:rsidR="008E7223">
        <w:rPr>
          <w:rStyle w:val="Caption-FigureChar"/>
        </w:rPr>
        <w:instrText xml:space="preserve"> SEQ Figure \* ARABIC \s 1 </w:instrText>
      </w:r>
      <w:r w:rsidR="008E7223">
        <w:rPr>
          <w:rStyle w:val="Caption-FigureChar"/>
        </w:rPr>
        <w:fldChar w:fldCharType="separate"/>
      </w:r>
      <w:r w:rsidR="008E7223">
        <w:rPr>
          <w:rStyle w:val="Caption-FigureChar"/>
          <w:noProof/>
        </w:rPr>
        <w:t>7</w:t>
      </w:r>
      <w:r w:rsidR="008E7223">
        <w:rPr>
          <w:rStyle w:val="Caption-FigureChar"/>
        </w:rPr>
        <w:fldChar w:fldCharType="end"/>
      </w:r>
      <w:bookmarkEnd w:id="832"/>
      <w:r w:rsidRPr="000510AC">
        <w:rPr>
          <w:rStyle w:val="Caption-FigureChar"/>
        </w:rPr>
        <w:t>: Natural gas market data, April 2014 to April 2019 ($/MMBtu).</w:t>
      </w:r>
      <w:bookmarkEnd w:id="833"/>
    </w:p>
    <w:p w14:paraId="3CB43A8A" w14:textId="77777777" w:rsidR="00E2185A" w:rsidRPr="000510AC" w:rsidRDefault="00E2185A" w:rsidP="000510AC">
      <w:pPr>
        <w:spacing w:line="240" w:lineRule="auto"/>
        <w:ind w:left="90"/>
        <w:rPr>
          <w:rFonts w:ascii="Calibri" w:hAnsi="Calibri"/>
          <w:sz w:val="18"/>
          <w:szCs w:val="18"/>
        </w:rPr>
      </w:pPr>
      <w:r w:rsidRPr="000510AC">
        <w:rPr>
          <w:rFonts w:asciiTheme="majorHAnsi" w:hAnsiTheme="majorHAnsi"/>
          <w:b/>
          <w:bCs/>
          <w:sz w:val="18"/>
          <w:szCs w:val="18"/>
        </w:rPr>
        <w:t>Source:</w:t>
      </w:r>
      <w:r w:rsidRPr="000510AC">
        <w:rPr>
          <w:rFonts w:asciiTheme="majorHAnsi" w:hAnsiTheme="majorHAnsi"/>
          <w:sz w:val="18"/>
          <w:szCs w:val="18"/>
        </w:rPr>
        <w:t xml:space="preserve"> </w:t>
      </w:r>
      <w:r w:rsidRPr="000510AC">
        <w:rPr>
          <w:rFonts w:ascii="Calibri" w:hAnsi="Calibri"/>
          <w:sz w:val="18"/>
          <w:szCs w:val="18"/>
        </w:rPr>
        <w:t xml:space="preserve">S&amp;P Global Market Intelligence, Daily Spot Natural Gas Prices using NYMEX and CME Clearport market data provided by DTN </w:t>
      </w:r>
      <w:r w:rsidR="002F2A0E">
        <w:rPr>
          <w:rFonts w:ascii="Calibri" w:hAnsi="Calibri"/>
          <w:sz w:val="18"/>
          <w:szCs w:val="18"/>
        </w:rPr>
        <w:t xml:space="preserve">($/MMBtu) </w:t>
      </w:r>
      <w:r w:rsidRPr="000510AC">
        <w:rPr>
          <w:rFonts w:ascii="Calibri" w:hAnsi="Calibri"/>
          <w:sz w:val="18"/>
          <w:szCs w:val="18"/>
        </w:rPr>
        <w:t>(</w:t>
      </w:r>
      <w:r w:rsidR="000510AC">
        <w:rPr>
          <w:rFonts w:ascii="Calibri" w:hAnsi="Calibri"/>
          <w:sz w:val="18"/>
          <w:szCs w:val="18"/>
        </w:rPr>
        <w:t>a</w:t>
      </w:r>
      <w:r w:rsidRPr="000510AC">
        <w:rPr>
          <w:rFonts w:ascii="Calibri" w:hAnsi="Calibri"/>
          <w:sz w:val="18"/>
          <w:szCs w:val="18"/>
        </w:rPr>
        <w:t>ccessed May 7, 2019).</w:t>
      </w:r>
    </w:p>
    <w:p w14:paraId="69369BEB" w14:textId="302682AD" w:rsidR="00E2185A" w:rsidRPr="00E2185A" w:rsidRDefault="00BF1F53" w:rsidP="00E2185A">
      <w:pPr>
        <w:rPr>
          <w:rFonts w:asciiTheme="majorHAnsi" w:hAnsiTheme="majorHAnsi"/>
          <w:sz w:val="16"/>
          <w:szCs w:val="16"/>
        </w:rPr>
      </w:pPr>
      <w:r w:rsidRPr="00E2185A">
        <w:fldChar w:fldCharType="begin"/>
      </w:r>
      <w:r w:rsidRPr="00E2185A">
        <w:instrText xml:space="preserve"> REF _Ref8044468 \h  \* MERGEFORMAT </w:instrText>
      </w:r>
      <w:r w:rsidRPr="00E2185A">
        <w:fldChar w:fldCharType="separate"/>
      </w:r>
      <w:r w:rsidR="005D0B73" w:rsidRPr="005D0B73">
        <w:rPr>
          <w:bCs/>
        </w:rPr>
        <w:t xml:space="preserve">Table </w:t>
      </w:r>
      <w:r w:rsidR="005D0B73" w:rsidRPr="005D0B73">
        <w:rPr>
          <w:bCs/>
          <w:noProof/>
        </w:rPr>
        <w:t>7</w:t>
      </w:r>
      <w:r w:rsidR="005D0B73" w:rsidRPr="005D0B73">
        <w:rPr>
          <w:bCs/>
          <w:noProof/>
        </w:rPr>
        <w:noBreakHyphen/>
        <w:t>2</w:t>
      </w:r>
      <w:r w:rsidRPr="00E2185A">
        <w:fldChar w:fldCharType="end"/>
      </w:r>
      <w:r>
        <w:t xml:space="preserve"> shows n</w:t>
      </w:r>
      <w:r w:rsidR="00E2185A" w:rsidRPr="00E2185A">
        <w:t>atural gas futures prices for January and February 2014 to 2019.</w:t>
      </w:r>
    </w:p>
    <w:p w14:paraId="6F0873C4" w14:textId="376811F3" w:rsidR="00E2185A" w:rsidRPr="00E2185A" w:rsidRDefault="00E2185A" w:rsidP="00E2185A">
      <w:pPr>
        <w:keepNext/>
        <w:keepLines/>
        <w:spacing w:after="120" w:line="240" w:lineRule="auto"/>
        <w:ind w:right="547"/>
        <w:jc w:val="center"/>
        <w:rPr>
          <w:rFonts w:ascii="Calibri" w:hAnsi="Calibri"/>
          <w:b/>
          <w:bCs/>
          <w:szCs w:val="18"/>
        </w:rPr>
      </w:pPr>
      <w:bookmarkStart w:id="834" w:name="_Ref8044468"/>
      <w:bookmarkStart w:id="835" w:name="_Toc12795349"/>
      <w:r w:rsidRPr="00E2185A">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7</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2</w:t>
      </w:r>
      <w:r w:rsidR="0082639A">
        <w:rPr>
          <w:rFonts w:ascii="Calibri" w:hAnsi="Calibri"/>
          <w:b/>
          <w:bCs/>
          <w:szCs w:val="18"/>
        </w:rPr>
        <w:fldChar w:fldCharType="end"/>
      </w:r>
      <w:bookmarkEnd w:id="834"/>
      <w:r w:rsidRPr="00E2185A">
        <w:rPr>
          <w:rFonts w:ascii="Calibri" w:hAnsi="Calibri"/>
          <w:b/>
          <w:bCs/>
          <w:szCs w:val="18"/>
        </w:rPr>
        <w:br/>
        <w:t>Comparison of 2014 to 2019 Winter Futures Prices ($/MMBtu, $/MWh)</w:t>
      </w:r>
      <w:r w:rsidRPr="00E2185A">
        <w:rPr>
          <w:rFonts w:ascii="Calibri" w:hAnsi="Calibri"/>
          <w:b/>
          <w:bCs/>
          <w:szCs w:val="18"/>
          <w:vertAlign w:val="superscript"/>
        </w:rPr>
        <w:t>(a)</w:t>
      </w:r>
      <w:bookmarkEnd w:id="835"/>
    </w:p>
    <w:tbl>
      <w:tblPr>
        <w:tblStyle w:val="TableGrid431"/>
        <w:tblW w:w="9108" w:type="dxa"/>
        <w:jc w:val="center"/>
        <w:tblLayout w:type="fixed"/>
        <w:tblLook w:val="04A0" w:firstRow="1" w:lastRow="0" w:firstColumn="1" w:lastColumn="0" w:noHBand="0" w:noVBand="1"/>
      </w:tblPr>
      <w:tblGrid>
        <w:gridCol w:w="1292"/>
        <w:gridCol w:w="2200"/>
        <w:gridCol w:w="936"/>
        <w:gridCol w:w="936"/>
        <w:gridCol w:w="936"/>
        <w:gridCol w:w="936"/>
        <w:gridCol w:w="936"/>
        <w:gridCol w:w="936"/>
      </w:tblGrid>
      <w:tr w:rsidR="00E2185A" w:rsidRPr="00E2185A" w14:paraId="1A1B09DD" w14:textId="77777777" w:rsidTr="00E2185A">
        <w:trPr>
          <w:jc w:val="center"/>
        </w:trPr>
        <w:tc>
          <w:tcPr>
            <w:tcW w:w="1292" w:type="dxa"/>
            <w:shd w:val="clear" w:color="auto" w:fill="1795D2" w:themeFill="accent1"/>
            <w:vAlign w:val="center"/>
          </w:tcPr>
          <w:p w14:paraId="324E0789" w14:textId="77777777" w:rsidR="00E2185A" w:rsidRPr="00E2185A" w:rsidRDefault="00E2185A" w:rsidP="00E2185A">
            <w:pPr>
              <w:keepNext/>
              <w:keepLines/>
              <w:jc w:val="center"/>
              <w:rPr>
                <w:rFonts w:asciiTheme="minorHAnsi" w:hAnsiTheme="minorHAnsi"/>
                <w:b/>
                <w:color w:val="FFFFFF" w:themeColor="background1"/>
                <w:sz w:val="18"/>
                <w:szCs w:val="18"/>
              </w:rPr>
            </w:pPr>
          </w:p>
        </w:tc>
        <w:tc>
          <w:tcPr>
            <w:tcW w:w="2200" w:type="dxa"/>
            <w:shd w:val="clear" w:color="auto" w:fill="1795D2" w:themeFill="accent1"/>
            <w:vAlign w:val="center"/>
          </w:tcPr>
          <w:p w14:paraId="7683EACF"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Location</w:t>
            </w:r>
          </w:p>
        </w:tc>
        <w:tc>
          <w:tcPr>
            <w:tcW w:w="936" w:type="dxa"/>
            <w:shd w:val="clear" w:color="auto" w:fill="1795D2" w:themeFill="accent1"/>
            <w:vAlign w:val="center"/>
          </w:tcPr>
          <w:p w14:paraId="3DD3F173"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2014</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(b)</w:t>
            </w:r>
          </w:p>
        </w:tc>
        <w:tc>
          <w:tcPr>
            <w:tcW w:w="936" w:type="dxa"/>
            <w:shd w:val="clear" w:color="auto" w:fill="1795D2" w:themeFill="accent1"/>
            <w:vAlign w:val="center"/>
          </w:tcPr>
          <w:p w14:paraId="06E29223"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2015</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(c)</w:t>
            </w:r>
          </w:p>
        </w:tc>
        <w:tc>
          <w:tcPr>
            <w:tcW w:w="936" w:type="dxa"/>
            <w:shd w:val="clear" w:color="auto" w:fill="1795D2" w:themeFill="accent1"/>
            <w:vAlign w:val="center"/>
          </w:tcPr>
          <w:p w14:paraId="3D0CF586"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2016</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(d)</w:t>
            </w:r>
          </w:p>
        </w:tc>
        <w:tc>
          <w:tcPr>
            <w:tcW w:w="936" w:type="dxa"/>
            <w:shd w:val="clear" w:color="auto" w:fill="1795D2" w:themeFill="accent1"/>
            <w:vAlign w:val="center"/>
          </w:tcPr>
          <w:p w14:paraId="3533E0FC"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2017</w:t>
            </w:r>
            <w:r w:rsidRPr="00E2185A">
              <w:rPr>
                <w:rFonts w:asciiTheme="minorHAnsi" w:hAnsiTheme="minorHAnsi"/>
                <w:b/>
                <w:color w:val="FFFFFF" w:themeColor="background1"/>
                <w:sz w:val="18"/>
                <w:szCs w:val="18"/>
              </w:rPr>
              <w:br/>
              <w:t>Futures</w:t>
            </w:r>
            <w:r w:rsidRPr="00E2185A">
              <w:rPr>
                <w:rFonts w:asciiTheme="minorHAnsi" w:hAnsiTheme="minorHAnsi"/>
                <w:b/>
                <w:color w:val="FFFFFF" w:themeColor="background1"/>
                <w:sz w:val="18"/>
                <w:szCs w:val="18"/>
                <w:vertAlign w:val="superscript"/>
              </w:rPr>
              <w:t>(e)</w:t>
            </w:r>
          </w:p>
        </w:tc>
        <w:tc>
          <w:tcPr>
            <w:tcW w:w="936" w:type="dxa"/>
            <w:shd w:val="clear" w:color="auto" w:fill="1795D2" w:themeFill="accent1"/>
          </w:tcPr>
          <w:p w14:paraId="224AEC14"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2018 Futures</w:t>
            </w:r>
            <w:r w:rsidRPr="00E2185A">
              <w:rPr>
                <w:rFonts w:asciiTheme="minorHAnsi" w:hAnsiTheme="minorHAnsi"/>
                <w:b/>
                <w:color w:val="FFFFFF" w:themeColor="background1"/>
                <w:sz w:val="18"/>
                <w:szCs w:val="18"/>
                <w:vertAlign w:val="superscript"/>
              </w:rPr>
              <w:t>(f)</w:t>
            </w:r>
          </w:p>
        </w:tc>
        <w:tc>
          <w:tcPr>
            <w:tcW w:w="936" w:type="dxa"/>
            <w:shd w:val="clear" w:color="auto" w:fill="1795D2" w:themeFill="accent1"/>
          </w:tcPr>
          <w:p w14:paraId="2F4F8E83" w14:textId="77777777" w:rsidR="00E2185A" w:rsidRPr="00E2185A" w:rsidRDefault="00E2185A" w:rsidP="00E2185A">
            <w:pPr>
              <w:keepNext/>
              <w:keepLines/>
              <w:spacing w:before="80" w:after="80" w:line="240" w:lineRule="auto"/>
              <w:jc w:val="center"/>
              <w:rPr>
                <w:rFonts w:asciiTheme="minorHAnsi" w:hAnsiTheme="minorHAnsi"/>
                <w:b/>
                <w:color w:val="FFFFFF" w:themeColor="background1"/>
                <w:sz w:val="18"/>
                <w:szCs w:val="18"/>
              </w:rPr>
            </w:pPr>
            <w:r w:rsidRPr="00E2185A">
              <w:rPr>
                <w:rFonts w:asciiTheme="minorHAnsi" w:hAnsiTheme="minorHAnsi"/>
                <w:b/>
                <w:color w:val="FFFFFF" w:themeColor="background1"/>
                <w:sz w:val="18"/>
                <w:szCs w:val="18"/>
              </w:rPr>
              <w:t>2019 Futures</w:t>
            </w:r>
            <w:r w:rsidRPr="00E2185A">
              <w:rPr>
                <w:rFonts w:asciiTheme="minorHAnsi" w:hAnsiTheme="minorHAnsi"/>
                <w:b/>
                <w:color w:val="FFFFFF" w:themeColor="background1"/>
                <w:sz w:val="18"/>
                <w:szCs w:val="18"/>
                <w:vertAlign w:val="superscript"/>
              </w:rPr>
              <w:t>(g)</w:t>
            </w:r>
          </w:p>
        </w:tc>
      </w:tr>
      <w:tr w:rsidR="00E2185A" w:rsidRPr="00E2185A" w14:paraId="4FAD2C3A" w14:textId="77777777" w:rsidTr="00E2185A">
        <w:trPr>
          <w:jc w:val="center"/>
        </w:trPr>
        <w:tc>
          <w:tcPr>
            <w:tcW w:w="1292" w:type="dxa"/>
            <w:vMerge w:val="restart"/>
            <w:vAlign w:val="center"/>
          </w:tcPr>
          <w:p w14:paraId="1A5627B3" w14:textId="77777777"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Natural gas</w:t>
            </w:r>
          </w:p>
          <w:p w14:paraId="763DAB48" w14:textId="77777777"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($/MMBtu)</w:t>
            </w:r>
            <w:r w:rsidRPr="00E2185A">
              <w:rPr>
                <w:rFonts w:asciiTheme="minorHAnsi" w:hAnsiTheme="minorHAnsi"/>
                <w:b/>
                <w:sz w:val="18"/>
                <w:szCs w:val="18"/>
                <w:vertAlign w:val="superscript"/>
              </w:rPr>
              <w:t>(h)</w:t>
            </w:r>
          </w:p>
        </w:tc>
        <w:tc>
          <w:tcPr>
            <w:tcW w:w="2200" w:type="dxa"/>
            <w:vAlign w:val="center"/>
          </w:tcPr>
          <w:p w14:paraId="36E0DE45"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Algonquin (New England)</w:t>
            </w:r>
          </w:p>
        </w:tc>
        <w:tc>
          <w:tcPr>
            <w:tcW w:w="936" w:type="dxa"/>
            <w:vAlign w:val="center"/>
          </w:tcPr>
          <w:p w14:paraId="6BBBD34E"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11.76</w:t>
            </w:r>
          </w:p>
        </w:tc>
        <w:tc>
          <w:tcPr>
            <w:tcW w:w="936" w:type="dxa"/>
            <w:vAlign w:val="center"/>
          </w:tcPr>
          <w:p w14:paraId="1FA65A2A"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21.45</w:t>
            </w:r>
          </w:p>
        </w:tc>
        <w:tc>
          <w:tcPr>
            <w:tcW w:w="936" w:type="dxa"/>
            <w:vAlign w:val="center"/>
          </w:tcPr>
          <w:p w14:paraId="4BDDB66D"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9.69</w:t>
            </w:r>
          </w:p>
        </w:tc>
        <w:tc>
          <w:tcPr>
            <w:tcW w:w="936" w:type="dxa"/>
            <w:vAlign w:val="center"/>
          </w:tcPr>
          <w:p w14:paraId="13AC6425"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7.71</w:t>
            </w:r>
          </w:p>
        </w:tc>
        <w:tc>
          <w:tcPr>
            <w:tcW w:w="936" w:type="dxa"/>
            <w:vAlign w:val="center"/>
          </w:tcPr>
          <w:p w14:paraId="578A8C2C"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8.42</w:t>
            </w:r>
          </w:p>
        </w:tc>
        <w:tc>
          <w:tcPr>
            <w:tcW w:w="936" w:type="dxa"/>
            <w:vAlign w:val="center"/>
          </w:tcPr>
          <w:p w14:paraId="79305EAE"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9.20</w:t>
            </w:r>
          </w:p>
        </w:tc>
      </w:tr>
      <w:tr w:rsidR="00E2185A" w:rsidRPr="00E2185A" w14:paraId="02189F90" w14:textId="77777777" w:rsidTr="00E2185A">
        <w:trPr>
          <w:jc w:val="center"/>
        </w:trPr>
        <w:tc>
          <w:tcPr>
            <w:tcW w:w="1292" w:type="dxa"/>
            <w:vMerge/>
            <w:vAlign w:val="center"/>
          </w:tcPr>
          <w:p w14:paraId="41868004" w14:textId="77777777"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14:paraId="5FE9F636"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Transco Zone 6 non-NY (Mid-Atlantic)</w:t>
            </w:r>
          </w:p>
        </w:tc>
        <w:tc>
          <w:tcPr>
            <w:tcW w:w="936" w:type="dxa"/>
            <w:shd w:val="clear" w:color="auto" w:fill="CCEAF9" w:themeFill="accent1" w:themeFillTint="33"/>
            <w:vAlign w:val="center"/>
          </w:tcPr>
          <w:p w14:paraId="2D9770E0"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4.78</w:t>
            </w:r>
          </w:p>
        </w:tc>
        <w:tc>
          <w:tcPr>
            <w:tcW w:w="936" w:type="dxa"/>
            <w:shd w:val="clear" w:color="auto" w:fill="CCEAF9" w:themeFill="accent1" w:themeFillTint="33"/>
            <w:vAlign w:val="center"/>
          </w:tcPr>
          <w:p w14:paraId="25D21380"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9.09</w:t>
            </w:r>
          </w:p>
        </w:tc>
        <w:tc>
          <w:tcPr>
            <w:tcW w:w="936" w:type="dxa"/>
            <w:shd w:val="clear" w:color="auto" w:fill="CCEAF9" w:themeFill="accent1" w:themeFillTint="33"/>
            <w:vAlign w:val="center"/>
          </w:tcPr>
          <w:p w14:paraId="0742CBFA"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6.21</w:t>
            </w:r>
          </w:p>
        </w:tc>
        <w:tc>
          <w:tcPr>
            <w:tcW w:w="936" w:type="dxa"/>
            <w:shd w:val="clear" w:color="auto" w:fill="CCEAF9" w:themeFill="accent1" w:themeFillTint="33"/>
            <w:vAlign w:val="center"/>
          </w:tcPr>
          <w:p w14:paraId="2897EB52"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6.26</w:t>
            </w:r>
          </w:p>
        </w:tc>
        <w:tc>
          <w:tcPr>
            <w:tcW w:w="936" w:type="dxa"/>
            <w:shd w:val="clear" w:color="auto" w:fill="CCEAF9" w:themeFill="accent1" w:themeFillTint="33"/>
            <w:vAlign w:val="center"/>
          </w:tcPr>
          <w:p w14:paraId="672B76CA"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6.12</w:t>
            </w:r>
          </w:p>
        </w:tc>
        <w:tc>
          <w:tcPr>
            <w:tcW w:w="936" w:type="dxa"/>
            <w:shd w:val="clear" w:color="auto" w:fill="CCEAF9" w:themeFill="accent1" w:themeFillTint="33"/>
            <w:vAlign w:val="center"/>
          </w:tcPr>
          <w:p w14:paraId="09790099"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6.79</w:t>
            </w:r>
          </w:p>
        </w:tc>
      </w:tr>
      <w:tr w:rsidR="00E2185A" w:rsidRPr="00E2185A" w14:paraId="32B52018" w14:textId="77777777" w:rsidTr="00E2185A">
        <w:trPr>
          <w:jc w:val="center"/>
        </w:trPr>
        <w:tc>
          <w:tcPr>
            <w:tcW w:w="1292" w:type="dxa"/>
            <w:vMerge/>
            <w:vAlign w:val="center"/>
          </w:tcPr>
          <w:p w14:paraId="05AE10B6" w14:textId="77777777" w:rsidR="00E2185A" w:rsidRPr="00E2185A" w:rsidRDefault="00E2185A" w:rsidP="00E2185A">
            <w:pPr>
              <w:keepNext/>
              <w:keepLines/>
              <w:spacing w:after="0" w:line="240" w:lineRule="auto"/>
              <w:rPr>
                <w:rFonts w:asciiTheme="minorHAnsi" w:hAnsiTheme="minorHAnsi"/>
                <w:b/>
                <w:sz w:val="18"/>
                <w:szCs w:val="18"/>
              </w:rPr>
            </w:pPr>
          </w:p>
        </w:tc>
        <w:tc>
          <w:tcPr>
            <w:tcW w:w="2200" w:type="dxa"/>
            <w:vAlign w:val="center"/>
          </w:tcPr>
          <w:p w14:paraId="01C3CED8"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Dominion South (Marcellus)</w:t>
            </w:r>
          </w:p>
        </w:tc>
        <w:tc>
          <w:tcPr>
            <w:tcW w:w="936" w:type="dxa"/>
            <w:vAlign w:val="center"/>
          </w:tcPr>
          <w:p w14:paraId="4FE2EBD5"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3.66</w:t>
            </w:r>
          </w:p>
        </w:tc>
        <w:tc>
          <w:tcPr>
            <w:tcW w:w="936" w:type="dxa"/>
            <w:vAlign w:val="center"/>
          </w:tcPr>
          <w:p w14:paraId="4F7E1DE1"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vAlign w:val="center"/>
          </w:tcPr>
          <w:p w14:paraId="344D1FF9"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1.97</w:t>
            </w:r>
          </w:p>
        </w:tc>
        <w:tc>
          <w:tcPr>
            <w:tcW w:w="936" w:type="dxa"/>
            <w:vAlign w:val="center"/>
          </w:tcPr>
          <w:p w14:paraId="0DD06821"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2.14</w:t>
            </w:r>
          </w:p>
        </w:tc>
        <w:tc>
          <w:tcPr>
            <w:tcW w:w="936" w:type="dxa"/>
            <w:vAlign w:val="center"/>
          </w:tcPr>
          <w:p w14:paraId="0F377735"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2.88</w:t>
            </w:r>
          </w:p>
        </w:tc>
        <w:tc>
          <w:tcPr>
            <w:tcW w:w="936" w:type="dxa"/>
            <w:vAlign w:val="center"/>
          </w:tcPr>
          <w:p w14:paraId="5DE4EF17"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2.76</w:t>
            </w:r>
          </w:p>
        </w:tc>
      </w:tr>
      <w:tr w:rsidR="00E2185A" w:rsidRPr="00E2185A" w14:paraId="0807D5CC" w14:textId="77777777" w:rsidTr="00E2185A">
        <w:trPr>
          <w:jc w:val="center"/>
        </w:trPr>
        <w:tc>
          <w:tcPr>
            <w:tcW w:w="1292" w:type="dxa"/>
            <w:vMerge/>
            <w:vAlign w:val="center"/>
          </w:tcPr>
          <w:p w14:paraId="699D1148" w14:textId="77777777" w:rsidR="00E2185A" w:rsidRPr="00E2185A" w:rsidRDefault="00E2185A" w:rsidP="00E2185A">
            <w:pPr>
              <w:keepNext/>
              <w:keepLines/>
              <w:spacing w:after="0" w:line="240" w:lineRule="auto"/>
              <w:rPr>
                <w:rFonts w:asciiTheme="minorHAnsi" w:hAnsiTheme="minorHAnsi"/>
                <w:b/>
                <w:sz w:val="18"/>
                <w:szCs w:val="18"/>
              </w:rPr>
            </w:pPr>
          </w:p>
        </w:tc>
        <w:tc>
          <w:tcPr>
            <w:tcW w:w="2200" w:type="dxa"/>
            <w:shd w:val="clear" w:color="auto" w:fill="CCEAF9" w:themeFill="accent1" w:themeFillTint="33"/>
            <w:vAlign w:val="center"/>
          </w:tcPr>
          <w:p w14:paraId="49ACEBD2"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 border</w:t>
            </w:r>
          </w:p>
        </w:tc>
        <w:tc>
          <w:tcPr>
            <w:tcW w:w="936" w:type="dxa"/>
            <w:shd w:val="clear" w:color="auto" w:fill="CCEAF9" w:themeFill="accent1" w:themeFillTint="33"/>
            <w:vAlign w:val="center"/>
          </w:tcPr>
          <w:p w14:paraId="09DFAA03"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3.95</w:t>
            </w:r>
          </w:p>
        </w:tc>
        <w:tc>
          <w:tcPr>
            <w:tcW w:w="936" w:type="dxa"/>
            <w:shd w:val="clear" w:color="auto" w:fill="CCEAF9" w:themeFill="accent1" w:themeFillTint="33"/>
            <w:vAlign w:val="center"/>
          </w:tcPr>
          <w:p w14:paraId="6489FCF2"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4.30</w:t>
            </w:r>
          </w:p>
        </w:tc>
        <w:tc>
          <w:tcPr>
            <w:tcW w:w="936" w:type="dxa"/>
            <w:shd w:val="clear" w:color="auto" w:fill="CCEAF9" w:themeFill="accent1" w:themeFillTint="33"/>
            <w:vAlign w:val="center"/>
          </w:tcPr>
          <w:p w14:paraId="1CB9B12C"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2.85</w:t>
            </w:r>
          </w:p>
        </w:tc>
        <w:tc>
          <w:tcPr>
            <w:tcW w:w="936" w:type="dxa"/>
            <w:shd w:val="clear" w:color="auto" w:fill="CCEAF9" w:themeFill="accent1" w:themeFillTint="33"/>
            <w:vAlign w:val="center"/>
          </w:tcPr>
          <w:p w14:paraId="1ACEB5FC"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3.79</w:t>
            </w:r>
          </w:p>
        </w:tc>
        <w:tc>
          <w:tcPr>
            <w:tcW w:w="936" w:type="dxa"/>
            <w:shd w:val="clear" w:color="auto" w:fill="CCEAF9" w:themeFill="accent1" w:themeFillTint="33"/>
            <w:vAlign w:val="center"/>
          </w:tcPr>
          <w:p w14:paraId="07284597"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3.22</w:t>
            </w:r>
          </w:p>
        </w:tc>
        <w:tc>
          <w:tcPr>
            <w:tcW w:w="936" w:type="dxa"/>
            <w:shd w:val="clear" w:color="auto" w:fill="CCEAF9" w:themeFill="accent1" w:themeFillTint="33"/>
            <w:vAlign w:val="center"/>
          </w:tcPr>
          <w:p w14:paraId="2F025872"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3.86</w:t>
            </w:r>
          </w:p>
        </w:tc>
      </w:tr>
      <w:tr w:rsidR="00E2185A" w:rsidRPr="00E2185A" w14:paraId="05130CDA" w14:textId="77777777" w:rsidTr="00E2185A">
        <w:trPr>
          <w:jc w:val="center"/>
        </w:trPr>
        <w:tc>
          <w:tcPr>
            <w:tcW w:w="1292" w:type="dxa"/>
            <w:vMerge/>
            <w:tcBorders>
              <w:bottom w:val="triple" w:sz="4" w:space="0" w:color="auto"/>
            </w:tcBorders>
            <w:vAlign w:val="center"/>
          </w:tcPr>
          <w:p w14:paraId="2FA1B86B" w14:textId="77777777" w:rsidR="00E2185A" w:rsidRPr="00E2185A" w:rsidRDefault="00E2185A" w:rsidP="00E2185A">
            <w:pPr>
              <w:keepNext/>
              <w:keepLines/>
              <w:spacing w:after="0" w:line="240" w:lineRule="auto"/>
              <w:rPr>
                <w:rFonts w:asciiTheme="minorHAnsi" w:hAnsiTheme="minorHAnsi"/>
                <w:b/>
                <w:sz w:val="18"/>
                <w:szCs w:val="18"/>
              </w:rPr>
            </w:pPr>
          </w:p>
        </w:tc>
        <w:tc>
          <w:tcPr>
            <w:tcW w:w="2200" w:type="dxa"/>
            <w:tcBorders>
              <w:bottom w:val="triple" w:sz="4" w:space="0" w:color="auto"/>
            </w:tcBorders>
            <w:vAlign w:val="center"/>
          </w:tcPr>
          <w:p w14:paraId="6A2CBB62"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Henry Hub</w:t>
            </w:r>
          </w:p>
        </w:tc>
        <w:tc>
          <w:tcPr>
            <w:tcW w:w="936" w:type="dxa"/>
            <w:tcBorders>
              <w:bottom w:val="triple" w:sz="4" w:space="0" w:color="auto"/>
            </w:tcBorders>
            <w:vAlign w:val="center"/>
          </w:tcPr>
          <w:p w14:paraId="511D88A0"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3.87</w:t>
            </w:r>
          </w:p>
        </w:tc>
        <w:tc>
          <w:tcPr>
            <w:tcW w:w="936" w:type="dxa"/>
            <w:tcBorders>
              <w:bottom w:val="triple" w:sz="4" w:space="0" w:color="auto"/>
            </w:tcBorders>
            <w:vAlign w:val="center"/>
          </w:tcPr>
          <w:p w14:paraId="750F3CC9"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4.08</w:t>
            </w:r>
          </w:p>
        </w:tc>
        <w:tc>
          <w:tcPr>
            <w:tcW w:w="936" w:type="dxa"/>
            <w:tcBorders>
              <w:bottom w:val="triple" w:sz="4" w:space="0" w:color="auto"/>
            </w:tcBorders>
            <w:vAlign w:val="center"/>
          </w:tcPr>
          <w:p w14:paraId="649BE2FA"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2.77</w:t>
            </w:r>
          </w:p>
        </w:tc>
        <w:tc>
          <w:tcPr>
            <w:tcW w:w="936" w:type="dxa"/>
            <w:tcBorders>
              <w:bottom w:val="triple" w:sz="4" w:space="0" w:color="auto"/>
            </w:tcBorders>
            <w:vAlign w:val="center"/>
          </w:tcPr>
          <w:p w14:paraId="4B5F89AE"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3.55</w:t>
            </w:r>
          </w:p>
        </w:tc>
        <w:tc>
          <w:tcPr>
            <w:tcW w:w="936" w:type="dxa"/>
            <w:tcBorders>
              <w:bottom w:val="triple" w:sz="4" w:space="0" w:color="auto"/>
            </w:tcBorders>
            <w:vAlign w:val="center"/>
          </w:tcPr>
          <w:p w14:paraId="2B31B187"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3.30</w:t>
            </w:r>
          </w:p>
        </w:tc>
        <w:tc>
          <w:tcPr>
            <w:tcW w:w="936" w:type="dxa"/>
            <w:tcBorders>
              <w:bottom w:val="triple" w:sz="4" w:space="0" w:color="auto"/>
            </w:tcBorders>
            <w:vAlign w:val="center"/>
          </w:tcPr>
          <w:p w14:paraId="2C744F4D"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w:t>
            </w:r>
          </w:p>
        </w:tc>
      </w:tr>
      <w:tr w:rsidR="00E2185A" w:rsidRPr="00E2185A" w14:paraId="6DF1D854" w14:textId="77777777" w:rsidTr="00E2185A">
        <w:trPr>
          <w:jc w:val="center"/>
        </w:trPr>
        <w:tc>
          <w:tcPr>
            <w:tcW w:w="1292" w:type="dxa"/>
            <w:vMerge w:val="restart"/>
            <w:tcBorders>
              <w:top w:val="triple" w:sz="4" w:space="0" w:color="auto"/>
            </w:tcBorders>
            <w:shd w:val="clear" w:color="auto" w:fill="CCEAF9" w:themeFill="accent1" w:themeFillTint="33"/>
            <w:vAlign w:val="center"/>
          </w:tcPr>
          <w:p w14:paraId="46E0AC6F" w14:textId="77777777"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Power</w:t>
            </w:r>
          </w:p>
          <w:p w14:paraId="344402BB" w14:textId="77777777" w:rsidR="00E2185A" w:rsidRPr="00E2185A" w:rsidRDefault="00E2185A" w:rsidP="00E2185A">
            <w:pPr>
              <w:keepNext/>
              <w:keepLines/>
              <w:spacing w:after="0" w:line="240" w:lineRule="auto"/>
              <w:rPr>
                <w:rFonts w:asciiTheme="minorHAnsi" w:hAnsiTheme="minorHAnsi"/>
                <w:b/>
                <w:sz w:val="18"/>
                <w:szCs w:val="18"/>
              </w:rPr>
            </w:pPr>
            <w:r w:rsidRPr="00E2185A">
              <w:rPr>
                <w:rFonts w:asciiTheme="minorHAnsi" w:hAnsiTheme="minorHAnsi"/>
                <w:b/>
                <w:sz w:val="18"/>
                <w:szCs w:val="18"/>
              </w:rPr>
              <w:t>($/MWh)</w:t>
            </w:r>
            <w:r w:rsidRPr="00E2185A">
              <w:rPr>
                <w:rFonts w:asciiTheme="minorHAnsi" w:hAnsiTheme="minorHAnsi"/>
                <w:b/>
                <w:sz w:val="18"/>
                <w:szCs w:val="18"/>
                <w:vertAlign w:val="superscript"/>
              </w:rPr>
              <w:t>(i)</w:t>
            </w:r>
          </w:p>
        </w:tc>
        <w:tc>
          <w:tcPr>
            <w:tcW w:w="2200" w:type="dxa"/>
            <w:tcBorders>
              <w:top w:val="triple" w:sz="4" w:space="0" w:color="auto"/>
            </w:tcBorders>
            <w:shd w:val="clear" w:color="auto" w:fill="CCEAF9" w:themeFill="accent1" w:themeFillTint="33"/>
            <w:vAlign w:val="center"/>
          </w:tcPr>
          <w:p w14:paraId="302982B2"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Massachusetts hub</w:t>
            </w:r>
          </w:p>
        </w:tc>
        <w:tc>
          <w:tcPr>
            <w:tcW w:w="936" w:type="dxa"/>
            <w:tcBorders>
              <w:top w:val="triple" w:sz="4" w:space="0" w:color="auto"/>
            </w:tcBorders>
            <w:shd w:val="clear" w:color="auto" w:fill="CCEAF9" w:themeFill="accent1" w:themeFillTint="33"/>
            <w:vAlign w:val="center"/>
          </w:tcPr>
          <w:p w14:paraId="4387BA6F"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99.88</w:t>
            </w:r>
          </w:p>
        </w:tc>
        <w:tc>
          <w:tcPr>
            <w:tcW w:w="936" w:type="dxa"/>
            <w:tcBorders>
              <w:top w:val="triple" w:sz="4" w:space="0" w:color="auto"/>
            </w:tcBorders>
            <w:shd w:val="clear" w:color="auto" w:fill="CCEAF9" w:themeFill="accent1" w:themeFillTint="33"/>
            <w:vAlign w:val="center"/>
          </w:tcPr>
          <w:p w14:paraId="49081103"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183.88</w:t>
            </w:r>
          </w:p>
        </w:tc>
        <w:tc>
          <w:tcPr>
            <w:tcW w:w="936" w:type="dxa"/>
            <w:tcBorders>
              <w:top w:val="triple" w:sz="4" w:space="0" w:color="auto"/>
            </w:tcBorders>
            <w:shd w:val="clear" w:color="auto" w:fill="CCEAF9" w:themeFill="accent1" w:themeFillTint="33"/>
            <w:vAlign w:val="center"/>
          </w:tcPr>
          <w:p w14:paraId="55816E04"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89.28</w:t>
            </w:r>
          </w:p>
        </w:tc>
        <w:tc>
          <w:tcPr>
            <w:tcW w:w="936" w:type="dxa"/>
            <w:tcBorders>
              <w:top w:val="triple" w:sz="4" w:space="0" w:color="auto"/>
            </w:tcBorders>
            <w:shd w:val="clear" w:color="auto" w:fill="CCEAF9" w:themeFill="accent1" w:themeFillTint="33"/>
            <w:vAlign w:val="center"/>
          </w:tcPr>
          <w:p w14:paraId="616665B2"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78.93</w:t>
            </w:r>
          </w:p>
        </w:tc>
        <w:tc>
          <w:tcPr>
            <w:tcW w:w="936" w:type="dxa"/>
            <w:tcBorders>
              <w:top w:val="triple" w:sz="4" w:space="0" w:color="auto"/>
            </w:tcBorders>
            <w:shd w:val="clear" w:color="auto" w:fill="CCEAF9" w:themeFill="accent1" w:themeFillTint="33"/>
            <w:vAlign w:val="center"/>
          </w:tcPr>
          <w:p w14:paraId="30583A20"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79.00</w:t>
            </w:r>
          </w:p>
        </w:tc>
        <w:tc>
          <w:tcPr>
            <w:tcW w:w="936" w:type="dxa"/>
            <w:tcBorders>
              <w:top w:val="triple" w:sz="4" w:space="0" w:color="auto"/>
            </w:tcBorders>
            <w:shd w:val="clear" w:color="auto" w:fill="CCEAF9" w:themeFill="accent1" w:themeFillTint="33"/>
            <w:vAlign w:val="center"/>
          </w:tcPr>
          <w:p w14:paraId="43BABD02"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97.54</w:t>
            </w:r>
          </w:p>
        </w:tc>
      </w:tr>
      <w:tr w:rsidR="00E2185A" w:rsidRPr="00E2185A" w14:paraId="7E4EF760" w14:textId="77777777" w:rsidTr="00E2185A">
        <w:trPr>
          <w:jc w:val="center"/>
        </w:trPr>
        <w:tc>
          <w:tcPr>
            <w:tcW w:w="1292" w:type="dxa"/>
            <w:vMerge/>
            <w:shd w:val="clear" w:color="auto" w:fill="CCEAF9" w:themeFill="accent1" w:themeFillTint="33"/>
            <w:vAlign w:val="center"/>
          </w:tcPr>
          <w:p w14:paraId="72051037" w14:textId="77777777" w:rsidR="00E2185A" w:rsidRPr="00E2185A" w:rsidRDefault="00E2185A" w:rsidP="00E2185A">
            <w:pPr>
              <w:keepNext/>
              <w:keepLines/>
              <w:rPr>
                <w:rFonts w:asciiTheme="minorHAnsi" w:hAnsiTheme="minorHAnsi"/>
                <w:sz w:val="18"/>
                <w:szCs w:val="18"/>
              </w:rPr>
            </w:pPr>
          </w:p>
        </w:tc>
        <w:tc>
          <w:tcPr>
            <w:tcW w:w="2200" w:type="dxa"/>
            <w:vAlign w:val="center"/>
          </w:tcPr>
          <w:p w14:paraId="474BF801"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PJM western hub</w:t>
            </w:r>
          </w:p>
        </w:tc>
        <w:tc>
          <w:tcPr>
            <w:tcW w:w="936" w:type="dxa"/>
            <w:vAlign w:val="center"/>
          </w:tcPr>
          <w:p w14:paraId="4876191A"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44.90</w:t>
            </w:r>
          </w:p>
        </w:tc>
        <w:tc>
          <w:tcPr>
            <w:tcW w:w="936" w:type="dxa"/>
            <w:vAlign w:val="center"/>
          </w:tcPr>
          <w:p w14:paraId="75ADD302"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72.60</w:t>
            </w:r>
          </w:p>
        </w:tc>
        <w:tc>
          <w:tcPr>
            <w:tcW w:w="936" w:type="dxa"/>
            <w:vAlign w:val="center"/>
          </w:tcPr>
          <w:p w14:paraId="2884E864"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50.56</w:t>
            </w:r>
          </w:p>
        </w:tc>
        <w:tc>
          <w:tcPr>
            <w:tcW w:w="936" w:type="dxa"/>
            <w:vAlign w:val="center"/>
          </w:tcPr>
          <w:p w14:paraId="0DD41721"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55.80</w:t>
            </w:r>
          </w:p>
        </w:tc>
        <w:tc>
          <w:tcPr>
            <w:tcW w:w="936" w:type="dxa"/>
            <w:vAlign w:val="center"/>
          </w:tcPr>
          <w:p w14:paraId="1C87F574"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48.04</w:t>
            </w:r>
          </w:p>
        </w:tc>
        <w:tc>
          <w:tcPr>
            <w:tcW w:w="936" w:type="dxa"/>
            <w:vAlign w:val="center"/>
          </w:tcPr>
          <w:p w14:paraId="26E019EA"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54.42</w:t>
            </w:r>
          </w:p>
        </w:tc>
      </w:tr>
      <w:tr w:rsidR="00E2185A" w:rsidRPr="00E2185A" w14:paraId="6BB784E8" w14:textId="77777777" w:rsidTr="00E2185A">
        <w:trPr>
          <w:jc w:val="center"/>
        </w:trPr>
        <w:tc>
          <w:tcPr>
            <w:tcW w:w="1292" w:type="dxa"/>
            <w:vMerge/>
            <w:shd w:val="clear" w:color="auto" w:fill="CCEAF9" w:themeFill="accent1" w:themeFillTint="33"/>
            <w:vAlign w:val="center"/>
          </w:tcPr>
          <w:p w14:paraId="3675281E" w14:textId="77777777" w:rsidR="00E2185A" w:rsidRPr="00E2185A" w:rsidRDefault="00E2185A" w:rsidP="00E2185A">
            <w:pPr>
              <w:keepNext/>
              <w:keepLines/>
              <w:rPr>
                <w:rFonts w:asciiTheme="minorHAnsi" w:hAnsiTheme="minorHAnsi"/>
                <w:sz w:val="18"/>
                <w:szCs w:val="18"/>
              </w:rPr>
            </w:pPr>
          </w:p>
        </w:tc>
        <w:tc>
          <w:tcPr>
            <w:tcW w:w="2200" w:type="dxa"/>
            <w:shd w:val="clear" w:color="auto" w:fill="CCEAF9" w:themeFill="accent1" w:themeFillTint="33"/>
            <w:vAlign w:val="center"/>
          </w:tcPr>
          <w:p w14:paraId="4790E5AF"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Northwest (Mid-Columbia trading point)</w:t>
            </w:r>
            <w:r w:rsidRPr="00E2185A">
              <w:rPr>
                <w:rFonts w:asciiTheme="minorHAnsi" w:hAnsiTheme="minorHAnsi"/>
                <w:sz w:val="18"/>
                <w:szCs w:val="18"/>
                <w:vertAlign w:val="superscript"/>
              </w:rPr>
              <w:t>(j)</w:t>
            </w:r>
          </w:p>
        </w:tc>
        <w:tc>
          <w:tcPr>
            <w:tcW w:w="936" w:type="dxa"/>
            <w:shd w:val="clear" w:color="auto" w:fill="CCEAF9" w:themeFill="accent1" w:themeFillTint="33"/>
            <w:vAlign w:val="center"/>
          </w:tcPr>
          <w:p w14:paraId="1CC83BCD"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37.73</w:t>
            </w:r>
          </w:p>
        </w:tc>
        <w:tc>
          <w:tcPr>
            <w:tcW w:w="936" w:type="dxa"/>
            <w:shd w:val="clear" w:color="auto" w:fill="CCEAF9" w:themeFill="accent1" w:themeFillTint="33"/>
            <w:vAlign w:val="center"/>
          </w:tcPr>
          <w:p w14:paraId="48AAD70D"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35.75</w:t>
            </w:r>
          </w:p>
        </w:tc>
        <w:tc>
          <w:tcPr>
            <w:tcW w:w="936" w:type="dxa"/>
            <w:shd w:val="clear" w:color="auto" w:fill="CCEAF9" w:themeFill="accent1" w:themeFillTint="33"/>
            <w:vAlign w:val="center"/>
          </w:tcPr>
          <w:p w14:paraId="5D08F4AC"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24.88</w:t>
            </w:r>
          </w:p>
        </w:tc>
        <w:tc>
          <w:tcPr>
            <w:tcW w:w="936" w:type="dxa"/>
            <w:shd w:val="clear" w:color="auto" w:fill="CCEAF9" w:themeFill="accent1" w:themeFillTint="33"/>
            <w:vAlign w:val="center"/>
          </w:tcPr>
          <w:p w14:paraId="3B9F5A5A"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32.05</w:t>
            </w:r>
          </w:p>
        </w:tc>
        <w:tc>
          <w:tcPr>
            <w:tcW w:w="936" w:type="dxa"/>
            <w:shd w:val="clear" w:color="auto" w:fill="CCEAF9" w:themeFill="accent1" w:themeFillTint="33"/>
            <w:vAlign w:val="center"/>
          </w:tcPr>
          <w:p w14:paraId="6B5A0FCD"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27.29</w:t>
            </w:r>
          </w:p>
        </w:tc>
        <w:tc>
          <w:tcPr>
            <w:tcW w:w="936" w:type="dxa"/>
            <w:shd w:val="clear" w:color="auto" w:fill="CCEAF9" w:themeFill="accent1" w:themeFillTint="33"/>
            <w:vAlign w:val="center"/>
          </w:tcPr>
          <w:p w14:paraId="791D14E5"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30.70</w:t>
            </w:r>
          </w:p>
        </w:tc>
      </w:tr>
      <w:tr w:rsidR="00E2185A" w:rsidRPr="00E2185A" w14:paraId="492AE710" w14:textId="77777777" w:rsidTr="00E2185A">
        <w:trPr>
          <w:jc w:val="center"/>
        </w:trPr>
        <w:tc>
          <w:tcPr>
            <w:tcW w:w="1292" w:type="dxa"/>
            <w:vMerge/>
            <w:shd w:val="clear" w:color="auto" w:fill="CCEAF9" w:themeFill="accent1" w:themeFillTint="33"/>
            <w:vAlign w:val="center"/>
          </w:tcPr>
          <w:p w14:paraId="7A72B1E3" w14:textId="77777777" w:rsidR="00E2185A" w:rsidRPr="00E2185A" w:rsidRDefault="00E2185A" w:rsidP="00E2185A">
            <w:pPr>
              <w:keepNext/>
              <w:keepLines/>
              <w:rPr>
                <w:rFonts w:asciiTheme="minorHAnsi" w:hAnsiTheme="minorHAnsi"/>
                <w:sz w:val="18"/>
                <w:szCs w:val="18"/>
              </w:rPr>
            </w:pPr>
          </w:p>
        </w:tc>
        <w:tc>
          <w:tcPr>
            <w:tcW w:w="2200" w:type="dxa"/>
            <w:vAlign w:val="center"/>
          </w:tcPr>
          <w:p w14:paraId="1D1F4A2D" w14:textId="77777777" w:rsidR="00E2185A" w:rsidRPr="00E2185A" w:rsidRDefault="00E2185A" w:rsidP="00E2185A">
            <w:pPr>
              <w:keepNext/>
              <w:keepLines/>
              <w:spacing w:before="80" w:after="80" w:line="240" w:lineRule="auto"/>
              <w:rPr>
                <w:rFonts w:asciiTheme="minorHAnsi" w:hAnsiTheme="minorHAnsi"/>
                <w:sz w:val="18"/>
                <w:szCs w:val="18"/>
              </w:rPr>
            </w:pPr>
            <w:r w:rsidRPr="00E2185A">
              <w:rPr>
                <w:rFonts w:asciiTheme="minorHAnsi" w:hAnsiTheme="minorHAnsi"/>
                <w:sz w:val="18"/>
                <w:szCs w:val="18"/>
              </w:rPr>
              <w:t>Southern California</w:t>
            </w:r>
            <w:r w:rsidRPr="00E2185A">
              <w:rPr>
                <w:rFonts w:asciiTheme="minorHAnsi" w:hAnsiTheme="minorHAnsi"/>
                <w:sz w:val="18"/>
                <w:szCs w:val="18"/>
              </w:rPr>
              <w:br/>
              <w:t>(SP-15)</w:t>
            </w:r>
            <w:r w:rsidRPr="00E2185A">
              <w:rPr>
                <w:rFonts w:asciiTheme="minorHAnsi" w:hAnsiTheme="minorHAnsi"/>
                <w:sz w:val="18"/>
                <w:szCs w:val="18"/>
                <w:vertAlign w:val="superscript"/>
              </w:rPr>
              <w:t>(k)</w:t>
            </w:r>
          </w:p>
        </w:tc>
        <w:tc>
          <w:tcPr>
            <w:tcW w:w="936" w:type="dxa"/>
            <w:vAlign w:val="center"/>
          </w:tcPr>
          <w:p w14:paraId="546D6BCD"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42.25</w:t>
            </w:r>
            <w:r w:rsidRPr="00E2185A">
              <w:rPr>
                <w:rFonts w:ascii="Calibri" w:hAnsi="Calibri"/>
                <w:color w:val="000000"/>
                <w:sz w:val="18"/>
                <w:szCs w:val="18"/>
                <w:vertAlign w:val="superscript"/>
              </w:rPr>
              <w:t>(j)</w:t>
            </w:r>
          </w:p>
        </w:tc>
        <w:tc>
          <w:tcPr>
            <w:tcW w:w="936" w:type="dxa"/>
            <w:vAlign w:val="center"/>
          </w:tcPr>
          <w:p w14:paraId="04CD6DF2"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46.13</w:t>
            </w:r>
          </w:p>
        </w:tc>
        <w:tc>
          <w:tcPr>
            <w:tcW w:w="936" w:type="dxa"/>
            <w:vAlign w:val="center"/>
          </w:tcPr>
          <w:p w14:paraId="57FF818E" w14:textId="77777777" w:rsidR="00E2185A" w:rsidRPr="00E2185A" w:rsidRDefault="00E2185A" w:rsidP="00E2185A">
            <w:pPr>
              <w:keepNext/>
              <w:keepLines/>
              <w:spacing w:before="80" w:after="80" w:line="240" w:lineRule="auto"/>
              <w:jc w:val="center"/>
              <w:rPr>
                <w:rFonts w:asciiTheme="minorHAnsi" w:hAnsiTheme="minorHAnsi"/>
                <w:sz w:val="18"/>
                <w:szCs w:val="18"/>
              </w:rPr>
            </w:pPr>
            <w:r w:rsidRPr="00E2185A">
              <w:rPr>
                <w:rFonts w:ascii="Calibri" w:hAnsi="Calibri"/>
                <w:color w:val="000000"/>
                <w:sz w:val="18"/>
                <w:szCs w:val="18"/>
              </w:rPr>
              <w:t>33.76</w:t>
            </w:r>
          </w:p>
        </w:tc>
        <w:tc>
          <w:tcPr>
            <w:tcW w:w="936" w:type="dxa"/>
            <w:vAlign w:val="center"/>
          </w:tcPr>
          <w:p w14:paraId="0019F79C"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41.18</w:t>
            </w:r>
          </w:p>
        </w:tc>
        <w:tc>
          <w:tcPr>
            <w:tcW w:w="936" w:type="dxa"/>
            <w:vAlign w:val="center"/>
          </w:tcPr>
          <w:p w14:paraId="7F3CD909"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35.22</w:t>
            </w:r>
          </w:p>
        </w:tc>
        <w:tc>
          <w:tcPr>
            <w:tcW w:w="936" w:type="dxa"/>
            <w:vAlign w:val="center"/>
          </w:tcPr>
          <w:p w14:paraId="5C5F2568" w14:textId="77777777" w:rsidR="00E2185A" w:rsidRPr="00E2185A" w:rsidRDefault="00E2185A" w:rsidP="00E2185A">
            <w:pPr>
              <w:keepNext/>
              <w:keepLines/>
              <w:spacing w:before="80" w:after="80" w:line="240" w:lineRule="auto"/>
              <w:jc w:val="center"/>
              <w:rPr>
                <w:rFonts w:ascii="Calibri" w:hAnsi="Calibri"/>
                <w:color w:val="000000"/>
                <w:sz w:val="18"/>
                <w:szCs w:val="18"/>
              </w:rPr>
            </w:pPr>
            <w:r w:rsidRPr="00E2185A">
              <w:rPr>
                <w:rFonts w:ascii="Calibri" w:hAnsi="Calibri"/>
                <w:color w:val="000000"/>
                <w:sz w:val="18"/>
                <w:szCs w:val="18"/>
              </w:rPr>
              <w:t>49.00</w:t>
            </w:r>
          </w:p>
        </w:tc>
      </w:tr>
    </w:tbl>
    <w:p w14:paraId="0DEF3A51" w14:textId="77777777" w:rsidR="00E2185A" w:rsidRPr="00E2185A" w:rsidRDefault="00E2185A" w:rsidP="00E2185A">
      <w:pPr>
        <w:keepNext/>
        <w:keepLines/>
        <w:spacing w:before="120" w:after="80" w:line="240" w:lineRule="auto"/>
        <w:ind w:left="274" w:hanging="274"/>
        <w:rPr>
          <w:rFonts w:ascii="Calibri" w:hAnsi="Calibri"/>
          <w:bCs/>
          <w:sz w:val="16"/>
          <w:szCs w:val="16"/>
        </w:rPr>
      </w:pPr>
      <w:r w:rsidRPr="00E2185A">
        <w:rPr>
          <w:rFonts w:ascii="Calibri" w:hAnsi="Calibri"/>
          <w:bCs/>
          <w:sz w:val="16"/>
          <w:szCs w:val="16"/>
        </w:rPr>
        <w:t xml:space="preserve">(a) </w:t>
      </w:r>
      <w:r w:rsidRPr="00E2185A">
        <w:rPr>
          <w:rFonts w:ascii="Calibri" w:hAnsi="Calibri"/>
          <w:bCs/>
          <w:sz w:val="16"/>
          <w:szCs w:val="16"/>
        </w:rPr>
        <w:tab/>
      </w:r>
      <w:r w:rsidRPr="00E2185A">
        <w:rPr>
          <w:rFonts w:ascii="Calibri" w:hAnsi="Calibri"/>
          <w:b/>
          <w:bCs/>
          <w:sz w:val="16"/>
          <w:szCs w:val="16"/>
        </w:rPr>
        <w:t>Sources:</w:t>
      </w:r>
      <w:r w:rsidRPr="00E2185A">
        <w:rPr>
          <w:rFonts w:ascii="Calibri" w:hAnsi="Calibri"/>
          <w:bCs/>
          <w:sz w:val="16"/>
          <w:szCs w:val="16"/>
        </w:rPr>
        <w:t xml:space="preserve"> </w:t>
      </w:r>
      <w:r w:rsidRPr="00E2185A">
        <w:rPr>
          <w:rFonts w:ascii="Calibri" w:hAnsi="Calibri"/>
          <w:sz w:val="16"/>
          <w:szCs w:val="16"/>
        </w:rPr>
        <w:t xml:space="preserve">S&amp;P Global Market Intelligence, Natural gas futures ($/MMBtu) using </w:t>
      </w:r>
      <w:r w:rsidRPr="00BF1F53">
        <w:rPr>
          <w:rFonts w:ascii="Calibri" w:hAnsi="Calibri"/>
          <w:sz w:val="16"/>
          <w:szCs w:val="16"/>
        </w:rPr>
        <w:t>NYMEX and CME Clearport market data provided by DTN. Power futures ($/MWh) using OTC Global Holdings power forwards on peak (</w:t>
      </w:r>
      <w:r w:rsidR="002F2A0E" w:rsidRPr="00343275">
        <w:rPr>
          <w:rFonts w:ascii="Calibri" w:hAnsi="Calibri"/>
          <w:sz w:val="16"/>
          <w:szCs w:val="16"/>
        </w:rPr>
        <w:t>a</w:t>
      </w:r>
      <w:r w:rsidRPr="00343275">
        <w:rPr>
          <w:rFonts w:ascii="Calibri" w:hAnsi="Calibri"/>
          <w:sz w:val="16"/>
          <w:szCs w:val="16"/>
        </w:rPr>
        <w:t>ccessed May 7, 2019).</w:t>
      </w:r>
      <w:r w:rsidRPr="00E2185A">
        <w:rPr>
          <w:rFonts w:ascii="Calibri" w:hAnsi="Calibri"/>
          <w:sz w:val="16"/>
          <w:szCs w:val="16"/>
        </w:rPr>
        <w:t xml:space="preserve"> </w:t>
      </w:r>
    </w:p>
    <w:p w14:paraId="2D9CDF50" w14:textId="77777777" w:rsidR="00E2185A" w:rsidRPr="00E2185A" w:rsidRDefault="00E2185A" w:rsidP="00E2185A">
      <w:pPr>
        <w:keepNext/>
        <w:keepLines/>
        <w:spacing w:after="80" w:line="240" w:lineRule="auto"/>
        <w:ind w:left="274" w:hanging="274"/>
        <w:rPr>
          <w:rFonts w:ascii="Calibri" w:hAnsi="Calibri"/>
          <w:bCs/>
          <w:sz w:val="16"/>
          <w:szCs w:val="16"/>
        </w:rPr>
      </w:pPr>
      <w:r w:rsidRPr="00E2185A">
        <w:rPr>
          <w:rFonts w:ascii="Calibri" w:hAnsi="Calibri"/>
          <w:bCs/>
          <w:sz w:val="16"/>
          <w:szCs w:val="16"/>
        </w:rPr>
        <w:t xml:space="preserve">(b) </w:t>
      </w:r>
      <w:r w:rsidRPr="00E2185A">
        <w:rPr>
          <w:rFonts w:ascii="Calibri" w:hAnsi="Calibri"/>
          <w:bCs/>
          <w:sz w:val="16"/>
          <w:szCs w:val="16"/>
        </w:rPr>
        <w:tab/>
        <w:t>January and February 2014 futures pricing is as of October 1, 2013.</w:t>
      </w:r>
    </w:p>
    <w:p w14:paraId="762FC824" w14:textId="77777777" w:rsidR="00E2185A" w:rsidRPr="00E2185A" w:rsidRDefault="00E2185A" w:rsidP="00E2185A">
      <w:pPr>
        <w:keepNext/>
        <w:keepLines/>
        <w:spacing w:after="80" w:line="240" w:lineRule="auto"/>
        <w:ind w:left="274" w:hanging="274"/>
        <w:rPr>
          <w:rFonts w:ascii="Calibri" w:hAnsi="Calibri"/>
          <w:sz w:val="16"/>
          <w:szCs w:val="16"/>
        </w:rPr>
      </w:pPr>
      <w:r w:rsidRPr="00E2185A">
        <w:rPr>
          <w:rFonts w:ascii="Calibri" w:hAnsi="Calibri"/>
          <w:sz w:val="16"/>
          <w:szCs w:val="16"/>
        </w:rPr>
        <w:t>(c)</w:t>
      </w:r>
      <w:r w:rsidRPr="00E2185A">
        <w:rPr>
          <w:rFonts w:ascii="Calibri" w:hAnsi="Calibri"/>
          <w:sz w:val="16"/>
          <w:szCs w:val="16"/>
        </w:rPr>
        <w:tab/>
        <w:t xml:space="preserve">January and February 2015 futures pricing is as of October 1, 2014. </w:t>
      </w:r>
    </w:p>
    <w:p w14:paraId="221E033E" w14:textId="77777777"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(d)</w:t>
      </w:r>
      <w:r w:rsidRPr="00E2185A">
        <w:rPr>
          <w:rFonts w:ascii="Calibri" w:hAnsi="Calibri"/>
          <w:sz w:val="16"/>
          <w:szCs w:val="16"/>
        </w:rPr>
        <w:tab/>
        <w:t xml:space="preserve">January and February 2016 futures pricing is as of October 1, 2015. </w:t>
      </w:r>
    </w:p>
    <w:p w14:paraId="746F263B" w14:textId="77777777"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(e)</w:t>
      </w:r>
      <w:r w:rsidRPr="00E2185A">
        <w:rPr>
          <w:rFonts w:ascii="Calibri" w:hAnsi="Calibri"/>
          <w:sz w:val="16"/>
          <w:szCs w:val="16"/>
        </w:rPr>
        <w:tab/>
        <w:t xml:space="preserve">January and February 2017 futures pricing is as of October 1, 2016. </w:t>
      </w:r>
    </w:p>
    <w:p w14:paraId="671A94ED" w14:textId="77777777"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(f)</w:t>
      </w:r>
      <w:r w:rsidRPr="00E2185A">
        <w:rPr>
          <w:rFonts w:ascii="Calibri" w:hAnsi="Calibri"/>
          <w:sz w:val="16"/>
          <w:szCs w:val="16"/>
        </w:rPr>
        <w:tab/>
        <w:t xml:space="preserve">January and February 2018 futures pricing is as of October 1, 2017. </w:t>
      </w:r>
    </w:p>
    <w:p w14:paraId="01D02CBB" w14:textId="77777777" w:rsidR="00E2185A" w:rsidRPr="00E2185A" w:rsidRDefault="00E2185A" w:rsidP="00E2185A">
      <w:pPr>
        <w:keepNext/>
        <w:spacing w:after="80" w:line="240" w:lineRule="auto"/>
        <w:ind w:left="274" w:hanging="274"/>
        <w:rPr>
          <w:rFonts w:ascii="Calibri" w:hAnsi="Calibri"/>
          <w:sz w:val="16"/>
          <w:szCs w:val="16"/>
        </w:rPr>
      </w:pPr>
      <w:r w:rsidRPr="00E2185A">
        <w:rPr>
          <w:rFonts w:ascii="Calibri" w:hAnsi="Calibri"/>
          <w:sz w:val="16"/>
          <w:szCs w:val="16"/>
        </w:rPr>
        <w:t>(g)</w:t>
      </w:r>
      <w:r w:rsidRPr="00E2185A">
        <w:rPr>
          <w:rFonts w:ascii="Calibri" w:hAnsi="Calibri"/>
          <w:sz w:val="16"/>
          <w:szCs w:val="16"/>
        </w:rPr>
        <w:tab/>
        <w:t>January and February 2019 futures pricing is as of October 1, 2018.</w:t>
      </w:r>
    </w:p>
    <w:p w14:paraId="2A50B33D" w14:textId="77777777" w:rsidR="00E2185A" w:rsidRPr="00E2185A" w:rsidRDefault="00E2185A" w:rsidP="00E2185A">
      <w:pPr>
        <w:keepNext/>
        <w:spacing w:after="80" w:line="240" w:lineRule="auto"/>
        <w:ind w:left="270" w:right="360" w:hanging="270"/>
        <w:rPr>
          <w:rFonts w:ascii="Calibri" w:hAnsi="Calibri"/>
          <w:bCs/>
          <w:sz w:val="16"/>
          <w:szCs w:val="16"/>
        </w:rPr>
      </w:pPr>
      <w:r w:rsidRPr="00E2185A">
        <w:rPr>
          <w:rFonts w:ascii="Calibri" w:hAnsi="Calibri"/>
          <w:sz w:val="16"/>
          <w:szCs w:val="16"/>
        </w:rPr>
        <w:t>(h)</w:t>
      </w:r>
      <w:r w:rsidRPr="00E2185A">
        <w:rPr>
          <w:rFonts w:ascii="Calibri" w:hAnsi="Calibri"/>
          <w:sz w:val="16"/>
          <w:szCs w:val="16"/>
        </w:rPr>
        <w:tab/>
      </w:r>
      <w:r w:rsidRPr="00E2185A">
        <w:rPr>
          <w:rFonts w:ascii="Calibri" w:hAnsi="Calibri"/>
          <w:bCs/>
          <w:sz w:val="16"/>
          <w:szCs w:val="16"/>
        </w:rPr>
        <w:t>Gas prices ($/MMBtu) shown are regional futures prices (the sum of the Henry Hub future contract price plus the regional basis futures).</w:t>
      </w:r>
    </w:p>
    <w:p w14:paraId="74F8F291" w14:textId="77777777"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 xml:space="preserve">(i) </w:t>
      </w:r>
      <w:r w:rsidRPr="00E2185A">
        <w:rPr>
          <w:rFonts w:ascii="Calibri" w:hAnsi="Calibri"/>
          <w:bCs/>
          <w:sz w:val="16"/>
          <w:szCs w:val="16"/>
        </w:rPr>
        <w:tab/>
        <w:t xml:space="preserve">Power prices ($/MWh) shown are peak financial swap prices. </w:t>
      </w:r>
    </w:p>
    <w:p w14:paraId="0D7E997E" w14:textId="77777777" w:rsidR="00E2185A" w:rsidRPr="00E2185A" w:rsidRDefault="00E2185A" w:rsidP="00E2185A">
      <w:pPr>
        <w:keepNext/>
        <w:keepLines/>
        <w:spacing w:after="80" w:line="240" w:lineRule="auto"/>
        <w:ind w:left="270" w:right="360" w:hanging="270"/>
        <w:rPr>
          <w:rFonts w:ascii="Calibri" w:hAnsi="Calibri"/>
          <w:bCs/>
          <w:sz w:val="16"/>
          <w:szCs w:val="16"/>
        </w:rPr>
      </w:pPr>
      <w:r w:rsidRPr="00E2185A">
        <w:rPr>
          <w:rFonts w:ascii="Calibri" w:hAnsi="Calibri"/>
          <w:bCs/>
          <w:sz w:val="16"/>
          <w:szCs w:val="16"/>
        </w:rPr>
        <w:t>(j)</w:t>
      </w:r>
      <w:r w:rsidRPr="00E2185A">
        <w:rPr>
          <w:rFonts w:ascii="Calibri" w:hAnsi="Calibri"/>
          <w:bCs/>
          <w:sz w:val="16"/>
          <w:szCs w:val="16"/>
        </w:rPr>
        <w:tab/>
        <w:t xml:space="preserve">The Mid-Columbia electric trading point is a center point along the Columbia River on the border between Washington and Oregon states. </w:t>
      </w:r>
    </w:p>
    <w:p w14:paraId="4CD33124" w14:textId="77777777" w:rsidR="00E2185A" w:rsidRPr="00E2185A" w:rsidRDefault="00E2185A" w:rsidP="00E2185A">
      <w:pPr>
        <w:keepNext/>
        <w:keepLines/>
        <w:spacing w:line="240" w:lineRule="auto"/>
        <w:ind w:left="274" w:right="360" w:hanging="274"/>
        <w:rPr>
          <w:rFonts w:ascii="Calibri" w:hAnsi="Calibri"/>
          <w:bCs/>
          <w:szCs w:val="16"/>
        </w:rPr>
      </w:pPr>
      <w:r w:rsidRPr="00E2185A">
        <w:rPr>
          <w:rFonts w:ascii="Calibri" w:hAnsi="Calibri"/>
          <w:bCs/>
          <w:sz w:val="16"/>
          <w:szCs w:val="16"/>
        </w:rPr>
        <w:t xml:space="preserve">(k) </w:t>
      </w:r>
      <w:r w:rsidRPr="00E2185A">
        <w:rPr>
          <w:rFonts w:ascii="Calibri" w:hAnsi="Calibri"/>
          <w:bCs/>
          <w:sz w:val="16"/>
          <w:szCs w:val="16"/>
        </w:rPr>
        <w:tab/>
        <w:t xml:space="preserve">SP-15 refers to California Independent System Operator’s (CAISO’s) zone covering southern California. </w:t>
      </w:r>
      <w:r w:rsidRPr="00E2185A">
        <w:rPr>
          <w:rFonts w:ascii="Calibri" w:eastAsia="Calibri" w:hAnsi="Calibri"/>
          <w:sz w:val="16"/>
          <w:szCs w:val="16"/>
        </w:rPr>
        <w:t>The futures pricing for SP-15 2014 is as of October 31, 2013.</w:t>
      </w:r>
    </w:p>
    <w:p w14:paraId="5D111F06" w14:textId="77777777" w:rsidR="00E2185A" w:rsidRPr="00E2185A" w:rsidRDefault="00E2185A" w:rsidP="00E2185A">
      <w:r w:rsidRPr="00E2185A">
        <w:t>In general, mild weather conditions reduce gas demand, which lead to the greater availability of pipeline gas. LNG vaporization from Canaport, Distrigas, and Excelerate LNG (offshore buoy), continue to provide incremental gas supplies directly to the northeastern part of the regional gas system, which improves gas grid reliability.</w:t>
      </w:r>
    </w:p>
    <w:p w14:paraId="74E00710" w14:textId="3C559654" w:rsidR="00E2185A" w:rsidRPr="00E2185A" w:rsidRDefault="00E2185A" w:rsidP="00E2185A">
      <w:r w:rsidRPr="00E2185A">
        <w:fldChar w:fldCharType="begin"/>
      </w:r>
      <w:r w:rsidRPr="00E2185A">
        <w:instrText xml:space="preserve"> REF _Ref8044287 \h  \* MERGEFORMAT </w:instrText>
      </w:r>
      <w:r w:rsidRPr="00E2185A">
        <w:fldChar w:fldCharType="separate"/>
      </w:r>
      <w:r w:rsidR="005D0B73" w:rsidRPr="005D0B73">
        <w:rPr>
          <w:bCs/>
          <w:szCs w:val="18"/>
        </w:rPr>
        <w:t xml:space="preserve">Figure </w:t>
      </w:r>
      <w:r w:rsidR="005D0B73" w:rsidRPr="005D0B73">
        <w:rPr>
          <w:bCs/>
          <w:noProof/>
          <w:szCs w:val="18"/>
        </w:rPr>
        <w:t>7</w:t>
      </w:r>
      <w:r w:rsidR="005D0B73" w:rsidRPr="005D0B73">
        <w:rPr>
          <w:bCs/>
          <w:noProof/>
          <w:szCs w:val="18"/>
        </w:rPr>
        <w:noBreakHyphen/>
        <w:t>8</w:t>
      </w:r>
      <w:r w:rsidRPr="00E2185A">
        <w:fldChar w:fldCharType="end"/>
      </w:r>
      <w:r w:rsidRPr="00E2185A">
        <w:t xml:space="preserve"> shows the LNG supplies delivered to the region for the past three winters, accounting for December through March. Winter 2016/2017 LNG deliveries into New England declined to approximately 41 Bcf compared with approximately 48 Bcf in winter 2015/2016 and 64 Bcf during winter 2014/2015. The ISO has observed on the regional pipeline electronic bulletin boards an increased LNG sendout, which is a result of the recently improved availability of spot-market LNG within the Atlantic basin and contracts made in advance of the winter. LNG deliveries help address the regional energy-security issue. </w:t>
      </w:r>
    </w:p>
    <w:p w14:paraId="517BE181" w14:textId="77777777" w:rsidR="002F2A0E" w:rsidRPr="00E2185A" w:rsidRDefault="002F2A0E" w:rsidP="002F2A0E">
      <w:pPr>
        <w:spacing w:after="0" w:line="240" w:lineRule="auto"/>
        <w:rPr>
          <w:rFonts w:asciiTheme="minorHAnsi" w:hAnsiTheme="minorHAnsi"/>
          <w:b/>
          <w:sz w:val="16"/>
          <w:szCs w:val="16"/>
        </w:rPr>
      </w:pPr>
      <w:r w:rsidRPr="002F2A0E">
        <w:rPr>
          <w:noProof/>
        </w:rPr>
        <w:lastRenderedPageBreak/>
        <w:drawing>
          <wp:inline distT="0" distB="0" distL="0" distR="0" wp14:anchorId="3AA3E855" wp14:editId="3D14D341">
            <wp:extent cx="5840339" cy="2900680"/>
            <wp:effectExtent l="19050" t="19050" r="2730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42231" cy="2901620"/>
                    </a:xfrm>
                    <a:prstGeom prst="rect">
                      <a:avLst/>
                    </a:prstGeom>
                    <a:noFill/>
                    <a:ln w="3175">
                      <a:solidFill>
                        <a:srgbClr val="000000"/>
                      </a:solidFill>
                    </a:ln>
                  </pic:spPr>
                </pic:pic>
              </a:graphicData>
            </a:graphic>
          </wp:inline>
        </w:drawing>
      </w:r>
    </w:p>
    <w:p w14:paraId="1886F2E6" w14:textId="42939A36" w:rsidR="00E2185A" w:rsidRPr="00E2185A" w:rsidRDefault="00E2185A" w:rsidP="00E2185A">
      <w:pPr>
        <w:keepNext/>
        <w:keepLines/>
        <w:spacing w:before="120" w:after="80" w:line="240" w:lineRule="auto"/>
        <w:rPr>
          <w:rFonts w:ascii="Calibri" w:hAnsi="Calibri"/>
          <w:b/>
          <w:bCs/>
          <w:szCs w:val="18"/>
        </w:rPr>
      </w:pPr>
      <w:bookmarkStart w:id="836" w:name="_Ref8044287"/>
      <w:bookmarkStart w:id="837" w:name="_Toc17709762"/>
      <w:r w:rsidRPr="00E2185A">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8</w:t>
      </w:r>
      <w:r w:rsidR="008E7223">
        <w:rPr>
          <w:rFonts w:ascii="Calibri" w:hAnsi="Calibri"/>
          <w:b/>
          <w:bCs/>
          <w:szCs w:val="18"/>
        </w:rPr>
        <w:fldChar w:fldCharType="end"/>
      </w:r>
      <w:bookmarkEnd w:id="836"/>
      <w:r w:rsidRPr="00E2185A">
        <w:rPr>
          <w:rFonts w:ascii="Calibri" w:hAnsi="Calibri"/>
          <w:b/>
          <w:bCs/>
          <w:szCs w:val="18"/>
        </w:rPr>
        <w:t>: Comparison of LNG deliveries for winter 2014/2015 through winter 2018/2019 (MMcf).</w:t>
      </w:r>
      <w:bookmarkEnd w:id="837"/>
    </w:p>
    <w:p w14:paraId="0C211DA7" w14:textId="77777777" w:rsidR="00E2185A" w:rsidRPr="00E2185A" w:rsidRDefault="00E2185A" w:rsidP="0044363F">
      <w:pPr>
        <w:spacing w:after="0" w:line="240" w:lineRule="auto"/>
        <w:ind w:right="-360"/>
        <w:rPr>
          <w:rFonts w:asciiTheme="minorHAnsi" w:hAnsiTheme="minorHAnsi"/>
          <w:color w:val="000000"/>
          <w:sz w:val="16"/>
          <w:szCs w:val="16"/>
        </w:rPr>
      </w:pPr>
      <w:r w:rsidRPr="00E2185A">
        <w:rPr>
          <w:rFonts w:asciiTheme="minorHAnsi" w:hAnsiTheme="minorHAnsi"/>
          <w:b/>
          <w:sz w:val="16"/>
          <w:szCs w:val="16"/>
        </w:rPr>
        <w:t>Source:</w:t>
      </w:r>
      <w:r w:rsidRPr="00E2185A">
        <w:rPr>
          <w:rFonts w:asciiTheme="minorHAnsi" w:hAnsiTheme="minorHAnsi"/>
          <w:sz w:val="16"/>
          <w:szCs w:val="16"/>
        </w:rPr>
        <w:t xml:space="preserve"> </w:t>
      </w:r>
      <w:hyperlink r:id="rId68" w:history="1">
        <w:r w:rsidRPr="00E2185A">
          <w:rPr>
            <w:rFonts w:asciiTheme="minorHAnsi" w:hAnsiTheme="minorHAnsi"/>
            <w:color w:val="000000"/>
            <w:sz w:val="16"/>
            <w:szCs w:val="16"/>
          </w:rPr>
          <w:t>EIA</w:t>
        </w:r>
      </w:hyperlink>
      <w:r w:rsidRPr="00E2185A">
        <w:rPr>
          <w:rFonts w:asciiTheme="minorHAnsi" w:hAnsiTheme="minorHAnsi"/>
          <w:sz w:val="16"/>
          <w:szCs w:val="16"/>
        </w:rPr>
        <w:t xml:space="preserve">, </w:t>
      </w:r>
      <w:r w:rsidRPr="00E2185A">
        <w:rPr>
          <w:rFonts w:asciiTheme="minorHAnsi" w:hAnsiTheme="minorHAnsi"/>
          <w:i/>
          <w:sz w:val="16"/>
          <w:szCs w:val="16"/>
        </w:rPr>
        <w:t>US Liquefied Natural Gas Imports by Point of Entry, US Natural Gas Pipeline Imports by Point of Entry</w:t>
      </w:r>
      <w:r w:rsidR="001103EE">
        <w:rPr>
          <w:rFonts w:asciiTheme="minorHAnsi" w:hAnsiTheme="minorHAnsi"/>
          <w:sz w:val="16"/>
          <w:szCs w:val="16"/>
        </w:rPr>
        <w:t xml:space="preserve">, data table; see </w:t>
      </w:r>
      <w:r w:rsidRPr="001103EE">
        <w:rPr>
          <w:rFonts w:asciiTheme="minorHAnsi" w:hAnsiTheme="minorHAnsi"/>
          <w:sz w:val="16"/>
          <w:szCs w:val="16"/>
        </w:rPr>
        <w:t>Canaport deliveries via Calais point-of-entry)</w:t>
      </w:r>
      <w:r w:rsidR="001103EE">
        <w:rPr>
          <w:rFonts w:asciiTheme="minorHAnsi" w:hAnsiTheme="minorHAnsi"/>
          <w:i/>
          <w:sz w:val="16"/>
          <w:szCs w:val="16"/>
        </w:rPr>
        <w:t xml:space="preserve"> </w:t>
      </w:r>
      <w:r w:rsidR="001103EE">
        <w:rPr>
          <w:rFonts w:asciiTheme="minorHAnsi" w:hAnsiTheme="minorHAnsi"/>
          <w:sz w:val="16"/>
          <w:szCs w:val="16"/>
        </w:rPr>
        <w:t xml:space="preserve">(accessed May 7, 2019), </w:t>
      </w:r>
      <w:hyperlink r:id="rId69" w:history="1">
        <w:r w:rsidRPr="00E2185A">
          <w:rPr>
            <w:rFonts w:asciiTheme="minorHAnsi" w:hAnsiTheme="minorHAnsi"/>
            <w:color w:val="000000"/>
            <w:sz w:val="16"/>
            <w:szCs w:val="16"/>
          </w:rPr>
          <w:t>https://www.eia.gov/dnav/ng/ng_move_poe1_a_epg0_iml_mmcf_m.htm</w:t>
        </w:r>
      </w:hyperlink>
      <w:r w:rsidRPr="00E2185A">
        <w:rPr>
          <w:rFonts w:asciiTheme="minorHAnsi" w:hAnsiTheme="minorHAnsi"/>
          <w:color w:val="000000"/>
          <w:sz w:val="16"/>
          <w:szCs w:val="16"/>
        </w:rPr>
        <w:t xml:space="preserve">, </w:t>
      </w:r>
      <w:hyperlink r:id="rId70" w:history="1">
        <w:r w:rsidRPr="00E2185A">
          <w:rPr>
            <w:rFonts w:asciiTheme="minorHAnsi" w:hAnsiTheme="minorHAnsi"/>
            <w:color w:val="000000"/>
            <w:sz w:val="16"/>
            <w:szCs w:val="16"/>
          </w:rPr>
          <w:t>http://www.eia.gov/dnav/ng/ng_move_poe1_a_epg0_irp_mmcf_m.htm</w:t>
        </w:r>
      </w:hyperlink>
      <w:r w:rsidRPr="00E2185A">
        <w:rPr>
          <w:rFonts w:asciiTheme="minorHAnsi" w:hAnsiTheme="minorHAnsi"/>
          <w:color w:val="000000"/>
          <w:sz w:val="16"/>
          <w:szCs w:val="16"/>
        </w:rPr>
        <w:t>.</w:t>
      </w:r>
    </w:p>
    <w:p w14:paraId="6D7B36B4" w14:textId="77777777" w:rsidR="00E2185A" w:rsidRPr="00E2185A" w:rsidRDefault="00E2185A" w:rsidP="00E2185A">
      <w:pPr>
        <w:spacing w:after="0" w:line="240" w:lineRule="auto"/>
        <w:rPr>
          <w:rFonts w:asciiTheme="minorHAnsi" w:hAnsiTheme="minorHAnsi"/>
          <w:color w:val="000000"/>
          <w:sz w:val="16"/>
          <w:szCs w:val="16"/>
        </w:rPr>
      </w:pPr>
    </w:p>
    <w:p w14:paraId="2AEE8995" w14:textId="77777777" w:rsidR="00E2185A" w:rsidRPr="007D1D2C" w:rsidRDefault="00E2185A" w:rsidP="00E2185A">
      <w:pPr>
        <w:pStyle w:val="Heading2"/>
        <w:rPr>
          <w:rFonts w:eastAsia="Times New Roman"/>
        </w:rPr>
      </w:pPr>
      <w:bookmarkStart w:id="838" w:name="_Toc7524678"/>
      <w:bookmarkStart w:id="839" w:name="_Toc12795222"/>
      <w:bookmarkStart w:id="840" w:name="_Ref390423940"/>
      <w:bookmarkStart w:id="841" w:name="_Toc396807656"/>
      <w:bookmarkStart w:id="842" w:name="_Toc429063435"/>
      <w:r w:rsidRPr="007D1D2C">
        <w:rPr>
          <w:rFonts w:eastAsia="Times New Roman"/>
        </w:rPr>
        <w:t>Fuel Constraints</w:t>
      </w:r>
      <w:bookmarkEnd w:id="838"/>
      <w:r w:rsidRPr="007D1D2C">
        <w:rPr>
          <w:rFonts w:eastAsia="Times New Roman"/>
        </w:rPr>
        <w:t xml:space="preserve"> in New England</w:t>
      </w:r>
      <w:bookmarkEnd w:id="839"/>
    </w:p>
    <w:p w14:paraId="1C20EC14" w14:textId="77777777" w:rsidR="00E2185A" w:rsidRPr="00E2185A" w:rsidRDefault="00E2185A" w:rsidP="00E2185A">
      <w:r w:rsidRPr="00E2185A">
        <w:rPr>
          <w:rFonts w:cs="NeueHaasGroteskText Std"/>
          <w:color w:val="000000"/>
          <w:sz w:val="19"/>
          <w:szCs w:val="19"/>
        </w:rPr>
        <w:t>N</w:t>
      </w:r>
      <w:r w:rsidRPr="00E2185A">
        <w:rPr>
          <w:rFonts w:cs="NeueHaasGroteskText Std"/>
          <w:color w:val="000000"/>
        </w:rPr>
        <w:t>atural gas pipeline constraints, the logistics of marine shipping of LNG and fuel oil, the impact of New England’s weather on the availability and timing of fuel deliveries, and the amount and timing of electricity generated by renewable resources all contribute to an increased level of uncertainty for ISO system operations.</w:t>
      </w:r>
      <w:r w:rsidRPr="00E2185A">
        <w:rPr>
          <w:color w:val="000000"/>
          <w:szCs w:val="19"/>
          <w:vertAlign w:val="superscript"/>
        </w:rPr>
        <w:footnoteReference w:id="260"/>
      </w:r>
      <w:r w:rsidRPr="00E2185A">
        <w:t xml:space="preserve"> Additionally, many states’ increasingly stringent air-emission limitations may prevent gas-only generators from installing oil-fired backup systems. The region’s heavy reliance on natural-gas-fired generators and imported LNG and the seasonal constraints on the regional natural gas delivery system have highlighted the need for generators to procure firm fuel</w:t>
      </w:r>
      <w:r w:rsidR="002B396B">
        <w:t xml:space="preserve">. </w:t>
      </w:r>
    </w:p>
    <w:p w14:paraId="360D71AA" w14:textId="5E15F00F" w:rsidR="00E2185A" w:rsidRPr="00E2185A" w:rsidRDefault="00E2185A" w:rsidP="00E2185A">
      <w:pPr>
        <w:autoSpaceDE w:val="0"/>
        <w:autoSpaceDN w:val="0"/>
        <w:adjustRightInd w:val="0"/>
        <w:rPr>
          <w:rFonts w:cs="NeueHaasGroteskText Std"/>
          <w:color w:val="000000"/>
        </w:rPr>
      </w:pPr>
      <w:r w:rsidRPr="007C7C94">
        <w:rPr>
          <w:rFonts w:cs="NeueHaasGroteskText Std"/>
          <w:color w:val="000000"/>
        </w:rPr>
        <w:t xml:space="preserve">Fuels </w:t>
      </w:r>
      <w:r w:rsidR="007C7C94">
        <w:rPr>
          <w:rFonts w:cs="NeueHaasGroteskText Std"/>
          <w:color w:val="000000"/>
        </w:rPr>
        <w:t>for</w:t>
      </w:r>
      <w:r w:rsidR="003D2C85" w:rsidRPr="007C7C94">
        <w:rPr>
          <w:rFonts w:cs="NeueHaasGroteskText Std"/>
          <w:color w:val="000000"/>
        </w:rPr>
        <w:t xml:space="preserve"> generating units </w:t>
      </w:r>
      <w:r w:rsidRPr="007C7C94">
        <w:rPr>
          <w:rFonts w:cs="NeueHaasGroteskText Std"/>
          <w:color w:val="000000"/>
        </w:rPr>
        <w:t>may be more limited in New England than in most other regions because, as</w:t>
      </w:r>
      <w:r w:rsidRPr="00E2185A">
        <w:rPr>
          <w:rFonts w:cs="NeueHaasGroteskText Std"/>
          <w:color w:val="000000"/>
        </w:rPr>
        <w:t xml:space="preserve"> shown in Section </w:t>
      </w:r>
      <w:r w:rsidRPr="00E2185A">
        <w:rPr>
          <w:rFonts w:cs="NeueHaasGroteskText Std"/>
          <w:color w:val="000000"/>
        </w:rPr>
        <w:fldChar w:fldCharType="begin"/>
      </w:r>
      <w:r w:rsidRPr="00E2185A">
        <w:rPr>
          <w:rFonts w:cs="NeueHaasGroteskText Std"/>
          <w:color w:val="000000"/>
        </w:rPr>
        <w:instrText xml:space="preserve"> REF _Ref8636893 \n \h  \* MERGEFORMAT </w:instrText>
      </w:r>
      <w:r w:rsidRPr="00E2185A">
        <w:rPr>
          <w:rFonts w:cs="NeueHaasGroteskText Std"/>
          <w:color w:val="000000"/>
        </w:rPr>
      </w:r>
      <w:r w:rsidRPr="00E2185A">
        <w:rPr>
          <w:rFonts w:cs="NeueHaasGroteskText Std"/>
          <w:color w:val="000000"/>
        </w:rPr>
        <w:fldChar w:fldCharType="separate"/>
      </w:r>
      <w:r w:rsidR="005D0B73">
        <w:rPr>
          <w:rFonts w:cs="NeueHaasGroteskText Std"/>
          <w:color w:val="000000"/>
        </w:rPr>
        <w:t>7.3</w:t>
      </w:r>
      <w:r w:rsidRPr="00E2185A">
        <w:rPr>
          <w:rFonts w:cs="NeueHaasGroteskText Std"/>
          <w:color w:val="000000"/>
        </w:rPr>
        <w:fldChar w:fldCharType="end"/>
      </w:r>
      <w:r w:rsidRPr="00E2185A">
        <w:rPr>
          <w:rFonts w:cs="NeueHaasGroteskText Std"/>
          <w:color w:val="000000"/>
        </w:rPr>
        <w:t xml:space="preserve">, New England is “at the end of the pipeline” when it comes to the fuels used most often to generate the region’s power. New England has no indigenous fossil fuels, and therefore fuels must be delivered by ship, truck, pipeline, or barge from distant places (see Section </w:t>
      </w:r>
      <w:r w:rsidRPr="00E2185A">
        <w:rPr>
          <w:rFonts w:cs="NeueHaasGroteskText Std"/>
          <w:color w:val="000000"/>
        </w:rPr>
        <w:fldChar w:fldCharType="begin"/>
      </w:r>
      <w:r w:rsidRPr="00E2185A">
        <w:rPr>
          <w:rFonts w:cs="NeueHaasGroteskText Std"/>
          <w:color w:val="000000"/>
        </w:rPr>
        <w:instrText xml:space="preserve"> REF _Ref8637001 \n \h  \* MERGEFORMAT </w:instrText>
      </w:r>
      <w:r w:rsidRPr="00E2185A">
        <w:rPr>
          <w:rFonts w:cs="NeueHaasGroteskText Std"/>
          <w:color w:val="000000"/>
        </w:rPr>
      </w:r>
      <w:r w:rsidRPr="00E2185A">
        <w:rPr>
          <w:rFonts w:cs="NeueHaasGroteskText Std"/>
          <w:color w:val="000000"/>
        </w:rPr>
        <w:fldChar w:fldCharType="separate"/>
      </w:r>
      <w:r w:rsidR="005D0B73">
        <w:rPr>
          <w:rFonts w:cs="NeueHaasGroteskText Std"/>
          <w:color w:val="000000"/>
        </w:rPr>
        <w:t>7.3.1</w:t>
      </w:r>
      <w:r w:rsidRPr="00E2185A">
        <w:rPr>
          <w:rFonts w:cs="NeueHaasGroteskText Std"/>
          <w:color w:val="000000"/>
        </w:rPr>
        <w:fldChar w:fldCharType="end"/>
      </w:r>
      <w:r w:rsidRPr="00E2185A">
        <w:rPr>
          <w:rFonts w:cs="NeueHaasGroteskText Std"/>
          <w:color w:val="000000"/>
        </w:rPr>
        <w:t xml:space="preserve">). </w:t>
      </w:r>
    </w:p>
    <w:p w14:paraId="3CCE5BA7" w14:textId="50401BB5" w:rsidR="00E2185A" w:rsidRPr="00E2185A" w:rsidRDefault="00E2185A" w:rsidP="0034081D">
      <w:pPr>
        <w:autoSpaceDE w:val="0"/>
        <w:autoSpaceDN w:val="0"/>
        <w:adjustRightInd w:val="0"/>
        <w:rPr>
          <w:rFonts w:cs="NeueHaasGroteskText Std"/>
          <w:color w:val="000000"/>
        </w:rPr>
      </w:pPr>
      <w:r w:rsidRPr="00E2185A">
        <w:rPr>
          <w:rFonts w:cs="NeueHaasGroteskText Std"/>
          <w:color w:val="000000"/>
        </w:rPr>
        <w:t>Energy from wind generators isn’t always available, although offshore wind tends to blow more steadily than onshore wind. Energy storage can help balance output fr</w:t>
      </w:r>
      <w:r w:rsidRPr="00B345B0">
        <w:rPr>
          <w:rFonts w:cs="NeueHaasGroteskText Std"/>
          <w:color w:val="000000"/>
        </w:rPr>
        <w:t xml:space="preserve">om </w:t>
      </w:r>
      <w:r w:rsidR="00097E68" w:rsidRPr="00B345B0">
        <w:rPr>
          <w:rFonts w:cs="NeueHaasGroteskText Std"/>
          <w:color w:val="000000"/>
        </w:rPr>
        <w:t>variable energy resources</w:t>
      </w:r>
      <w:r w:rsidRPr="00B345B0">
        <w:rPr>
          <w:rFonts w:cs="NeueHaasGroteskText Std"/>
          <w:color w:val="000000"/>
        </w:rPr>
        <w:t>, but utility-scale energy storage would need to be procured in substantial quantities, and a transmission system build-out may also be requi</w:t>
      </w:r>
      <w:r w:rsidRPr="00E2185A">
        <w:rPr>
          <w:rFonts w:cs="NeueHaasGroteskText Std"/>
          <w:color w:val="000000"/>
        </w:rPr>
        <w:t xml:space="preserve">red (see </w:t>
      </w:r>
      <w:r w:rsidR="00097E68">
        <w:rPr>
          <w:rFonts w:cs="NeueHaasGroteskText Std"/>
          <w:color w:val="000000"/>
        </w:rPr>
        <w:fldChar w:fldCharType="begin"/>
      </w:r>
      <w:r w:rsidR="00097E68">
        <w:rPr>
          <w:rFonts w:cs="NeueHaasGroteskText Std"/>
          <w:color w:val="000000"/>
        </w:rPr>
        <w:instrText xml:space="preserve"> REF _Ref11951259 \r \h </w:instrText>
      </w:r>
      <w:r w:rsidR="00097E68">
        <w:rPr>
          <w:rFonts w:cs="NeueHaasGroteskText Std"/>
          <w:color w:val="000000"/>
        </w:rPr>
      </w:r>
      <w:r w:rsidR="00097E68">
        <w:rPr>
          <w:rFonts w:cs="NeueHaasGroteskText Std"/>
          <w:color w:val="000000"/>
        </w:rPr>
        <w:fldChar w:fldCharType="separate"/>
      </w:r>
      <w:r w:rsidR="005D0B73">
        <w:rPr>
          <w:rFonts w:cs="NeueHaasGroteskText Std"/>
          <w:color w:val="000000"/>
        </w:rPr>
        <w:t>Section 9</w:t>
      </w:r>
      <w:r w:rsidR="00097E68">
        <w:rPr>
          <w:rFonts w:cs="NeueHaasGroteskText Std"/>
          <w:color w:val="000000"/>
        </w:rPr>
        <w:fldChar w:fldCharType="end"/>
      </w:r>
      <w:r w:rsidRPr="00E2185A">
        <w:rPr>
          <w:rFonts w:cs="NeueHaasGroteskText Std"/>
          <w:color w:val="000000"/>
        </w:rPr>
        <w:t>). The retirement of older nongas facilities that store fuels (oil and nuclear) exacerbates the full-supply issue.</w:t>
      </w:r>
    </w:p>
    <w:p w14:paraId="539EE7CA" w14:textId="77777777" w:rsidR="00E2185A" w:rsidRPr="007D1D2C" w:rsidRDefault="00E2185A" w:rsidP="00E2185A">
      <w:pPr>
        <w:pStyle w:val="Heading3"/>
      </w:pPr>
      <w:bookmarkStart w:id="843" w:name="_Ref11054268"/>
      <w:bookmarkStart w:id="844" w:name="_Toc12795223"/>
      <w:r w:rsidRPr="007D1D2C">
        <w:lastRenderedPageBreak/>
        <w:t>Fuel Constraints during Winter</w:t>
      </w:r>
      <w:bookmarkEnd w:id="843"/>
      <w:bookmarkEnd w:id="844"/>
    </w:p>
    <w:p w14:paraId="122F0D39" w14:textId="6E34F19E"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On multiple occasions in recent winters, the ISO has had to manage the system with uncertainty about whether power plants could arrange for the fuel—primarily natural gas and oil—needed to run. Constraints, or limitations, on the fuel-supply chain are not unusual, particularly during bad weather. Winter storms can impede deliveries from LNG tankers, oil barges, and oil tanker trucks. Low temperatures can increase heating demand for natural gas, oil, and LNG, leaving less fuel available for power plants. The timing of fuel consumption and of fuel replenishment can be significant as well. In December, the weather is typically milder. As winter progresses in time and intensity, generators’ oil and LNG inventories are depleted and tanks must be refilled rapidly. On many days, pipeline capacity is sufficient for both the local gas utilities and the natural-gas-fired power plants, but during the coldest weeks of the year, this natural gas delivery infrastructure can</w:t>
      </w:r>
      <w:r w:rsidR="00343275">
        <w:rPr>
          <w:rFonts w:cs="NeueHaasGroteskText Std"/>
          <w:color w:val="000000"/>
        </w:rPr>
        <w:t>no</w:t>
      </w:r>
      <w:r w:rsidRPr="00E2185A">
        <w:rPr>
          <w:rFonts w:cs="NeueHaasGroteskText Std"/>
          <w:color w:val="000000"/>
        </w:rPr>
        <w:t xml:space="preserve">t meet all the demand for natural gas for both home heating and power generation. As a result, natural-gas-fired power plants—which typically buy pipeline capacity released by local gas utilities on the secondary market—may not be able to access natural gas. </w:t>
      </w:r>
    </w:p>
    <w:p w14:paraId="321AF935" w14:textId="63D4B606" w:rsidR="00E2185A" w:rsidRPr="00E2185A" w:rsidRDefault="00E2185A" w:rsidP="00E2185A">
      <w:pPr>
        <w:autoSpaceDE w:val="0"/>
        <w:autoSpaceDN w:val="0"/>
        <w:adjustRightInd w:val="0"/>
        <w:rPr>
          <w:rFonts w:cs="NeueHaasGroteskText Std"/>
          <w:color w:val="000000"/>
        </w:rPr>
      </w:pPr>
      <w:r w:rsidRPr="00E2185A">
        <w:rPr>
          <w:rFonts w:cs="NeueHaasGroteskText Std"/>
          <w:color w:val="000000"/>
        </w:rPr>
        <w:t xml:space="preserve">Another factor is the time of day of winter peak demand, which occurs after the sun has set. </w:t>
      </w:r>
      <w:r w:rsidRPr="00E2185A">
        <w:rPr>
          <w:rFonts w:cs="NeueHaasGroteskText Std"/>
          <w:color w:val="000000"/>
          <w:sz w:val="19"/>
          <w:szCs w:val="19"/>
        </w:rPr>
        <w:t>On</w:t>
      </w:r>
      <w:r w:rsidRPr="00E2185A">
        <w:rPr>
          <w:rFonts w:cs="NeueHaasGroteskText Std"/>
          <w:color w:val="000000"/>
        </w:rPr>
        <w:t xml:space="preserve"> sunny days, solar arrays can help reduce consumption of fossil fuels used for power generation, hence preserving oil and gas to help meet future peak demands. However, as discussed in Section </w:t>
      </w:r>
      <w:r w:rsidR="00A2134B" w:rsidRPr="009D7C03">
        <w:rPr>
          <w:rFonts w:cs="NeueHaasGroteskText Std"/>
          <w:color w:val="000000"/>
        </w:rPr>
        <w:fldChar w:fldCharType="begin"/>
      </w:r>
      <w:r w:rsidR="00A2134B" w:rsidRPr="000177AA">
        <w:rPr>
          <w:rFonts w:cs="NeueHaasGroteskText Std"/>
          <w:color w:val="000000"/>
        </w:rPr>
        <w:instrText xml:space="preserve"> REF _Ref11824812 \r \h </w:instrText>
      </w:r>
      <w:r w:rsidR="000177AA">
        <w:rPr>
          <w:rFonts w:cs="NeueHaasGroteskText Std"/>
          <w:color w:val="000000"/>
        </w:rPr>
        <w:instrText xml:space="preserve"> \* MERGEFORMAT </w:instrText>
      </w:r>
      <w:r w:rsidR="00A2134B" w:rsidRPr="009D7C03">
        <w:rPr>
          <w:rFonts w:cs="NeueHaasGroteskText Std"/>
          <w:color w:val="000000"/>
        </w:rPr>
      </w:r>
      <w:r w:rsidR="00A2134B" w:rsidRPr="009D7C03">
        <w:rPr>
          <w:rFonts w:cs="NeueHaasGroteskText Std"/>
          <w:color w:val="000000"/>
        </w:rPr>
        <w:fldChar w:fldCharType="separate"/>
      </w:r>
      <w:r w:rsidR="005D0B73">
        <w:rPr>
          <w:rFonts w:cs="NeueHaasGroteskText Std"/>
          <w:color w:val="000000"/>
        </w:rPr>
        <w:t>3.3</w:t>
      </w:r>
      <w:r w:rsidR="00A2134B" w:rsidRPr="009D7C03">
        <w:rPr>
          <w:rFonts w:cs="NeueHaasGroteskText Std"/>
          <w:color w:val="000000"/>
        </w:rPr>
        <w:fldChar w:fldCharType="end"/>
      </w:r>
      <w:r w:rsidRPr="00F300A2">
        <w:rPr>
          <w:rFonts w:cs="NeueHaasGroteskText Std"/>
          <w:color w:val="000000"/>
        </w:rPr>
        <w:t>,</w:t>
      </w:r>
      <w:r w:rsidRPr="000177AA">
        <w:rPr>
          <w:rFonts w:cs="NeueHaasGroteskText Std"/>
          <w:color w:val="000000"/>
        </w:rPr>
        <w:t xml:space="preserve"> s</w:t>
      </w:r>
      <w:r w:rsidRPr="00E2185A">
        <w:rPr>
          <w:rFonts w:cs="NeueHaasGroteskText Std"/>
          <w:color w:val="000000"/>
        </w:rPr>
        <w:t xml:space="preserve">olar PV itself does not assist in meeting the daily winter peak demand. </w:t>
      </w:r>
    </w:p>
    <w:p w14:paraId="4FD73441" w14:textId="77777777" w:rsidR="00E2185A" w:rsidRPr="00E2185A" w:rsidRDefault="00E2185A" w:rsidP="00E2185A">
      <w:pPr>
        <w:rPr>
          <w:rFonts w:cs="NeueHaasGroteskText Std"/>
          <w:sz w:val="19"/>
          <w:szCs w:val="19"/>
        </w:rPr>
      </w:pPr>
      <w:r w:rsidRPr="00E2185A">
        <w:t>As a result of all these factors, the region’s winter reliability concerns are likely to continue until generators decide to sign firm contracts for LNG or incremental gas pipeline capacity. </w:t>
      </w:r>
    </w:p>
    <w:p w14:paraId="0DFC7ED4" w14:textId="77777777" w:rsidR="00E2185A" w:rsidRPr="006C17A5" w:rsidRDefault="00E2185A" w:rsidP="00E2185A">
      <w:pPr>
        <w:pStyle w:val="Heading3"/>
        <w:rPr>
          <w:rFonts w:eastAsia="Times New Roman"/>
        </w:rPr>
      </w:pPr>
      <w:bookmarkStart w:id="845" w:name="_Toc7524679"/>
      <w:bookmarkStart w:id="846" w:name="_Toc12795224"/>
      <w:r w:rsidRPr="006C17A5">
        <w:rPr>
          <w:rFonts w:eastAsia="Times New Roman"/>
        </w:rPr>
        <w:t>Winter Cold Snap</w:t>
      </w:r>
      <w:bookmarkEnd w:id="845"/>
      <w:r w:rsidRPr="006C17A5">
        <w:rPr>
          <w:rFonts w:eastAsia="Times New Roman"/>
        </w:rPr>
        <w:t>s and Spells</w:t>
      </w:r>
      <w:bookmarkEnd w:id="846"/>
    </w:p>
    <w:p w14:paraId="2A9A3CFF" w14:textId="45E6723C" w:rsidR="00E2185A" w:rsidRPr="00E2185A" w:rsidRDefault="00E2185A" w:rsidP="00E2185A">
      <w:r w:rsidRPr="00E2185A">
        <w:t>The region’s energy-security risk has been evident to the ISO since a 2004 cold snap when more than 6,000 MW of natural-gas-fired generators were unavailable due to non-firm-fuel contracting, pipeline constraints, economic outages, and other operational issues. Similar challenges have emerge</w:t>
      </w:r>
      <w:r w:rsidR="004F37FC">
        <w:t>d</w:t>
      </w:r>
      <w:r w:rsidRPr="00E2185A">
        <w:t xml:space="preserve"> during cold spells in recent winters, including in late December 2017 into early January 2018 and in January 2019. </w:t>
      </w:r>
    </w:p>
    <w:p w14:paraId="7A22BC07" w14:textId="77777777" w:rsidR="00E2185A" w:rsidRPr="00902A45" w:rsidRDefault="00E2185A" w:rsidP="00E2185A">
      <w:pPr>
        <w:pStyle w:val="Heading4"/>
      </w:pPr>
      <w:bookmarkStart w:id="847" w:name="_Ref12026833"/>
      <w:r w:rsidRPr="00575E0A">
        <w:t>Winter 2017/2</w:t>
      </w:r>
      <w:r w:rsidRPr="00902A45">
        <w:t>018 Cold Spell</w:t>
      </w:r>
      <w:bookmarkEnd w:id="847"/>
    </w:p>
    <w:p w14:paraId="21945DFE" w14:textId="572445A4" w:rsidR="00E2185A" w:rsidRDefault="00E2185A" w:rsidP="00E2185A">
      <w:r w:rsidRPr="00902A45">
        <w:t>From December 2</w:t>
      </w:r>
      <w:r w:rsidR="003D62F9" w:rsidRPr="00902A45">
        <w:t>6</w:t>
      </w:r>
      <w:r w:rsidRPr="00902A45">
        <w:t xml:space="preserve">, 2017, to January </w:t>
      </w:r>
      <w:r w:rsidR="00CF1D0F">
        <w:t>8</w:t>
      </w:r>
      <w:r w:rsidRPr="00902A45">
        <w:t xml:space="preserve">, 2018, New England </w:t>
      </w:r>
      <w:r w:rsidR="005B0DC5">
        <w:t xml:space="preserve">experienced </w:t>
      </w:r>
      <w:r w:rsidR="00F57D60">
        <w:t>a</w:t>
      </w:r>
      <w:r w:rsidR="00B55A05">
        <w:t>n extremely cold</w:t>
      </w:r>
      <w:r w:rsidR="00932DE9">
        <w:t xml:space="preserve"> </w:t>
      </w:r>
      <w:r w:rsidRPr="00902A45">
        <w:t>stretch of weather, with all major cities in New England averaging temperatures below norma</w:t>
      </w:r>
      <w:r w:rsidR="00575E0A" w:rsidRPr="00902A45">
        <w:t>l</w:t>
      </w:r>
      <w:r w:rsidR="00CF1D0F">
        <w:t xml:space="preserve"> for at least 13 consecutive days</w:t>
      </w:r>
      <w:r w:rsidR="00575E0A" w:rsidRPr="00902A45">
        <w:t xml:space="preserve">, </w:t>
      </w:r>
      <w:r w:rsidR="00CF1D0F">
        <w:t>of which 1</w:t>
      </w:r>
      <w:r w:rsidRPr="00902A45">
        <w:t>0 days average</w:t>
      </w:r>
      <w:r w:rsidR="00CF1D0F">
        <w:t>d</w:t>
      </w:r>
      <w:r w:rsidRPr="00902A45">
        <w:t xml:space="preserve"> more than 10°F below normal.</w:t>
      </w:r>
      <w:r w:rsidR="00CC3E65" w:rsidRPr="00902A45">
        <w:rPr>
          <w:rStyle w:val="FootnoteReference"/>
        </w:rPr>
        <w:footnoteReference w:id="261"/>
      </w:r>
      <w:r w:rsidRPr="00902A45">
        <w:t xml:space="preserve"> </w:t>
      </w:r>
      <w:r w:rsidR="00CF1D0F">
        <w:t xml:space="preserve">Boston, for example, experienced its most extreme cold weather in 100 years. </w:t>
      </w:r>
      <w:r w:rsidRPr="00902A45">
        <w:t xml:space="preserve">This cold spell </w:t>
      </w:r>
      <w:r w:rsidRPr="00ED719D">
        <w:t>resulted in a temporary, but dramatic, spike in the price of natural gas in New England, which in turn triggered the</w:t>
      </w:r>
      <w:r w:rsidRPr="00D10561">
        <w:t xml:space="preserve"> heavy use of oil for electricity production, high wholesale electricity prices and g</w:t>
      </w:r>
      <w:r w:rsidRPr="0034081D">
        <w:t xml:space="preserve">reater </w:t>
      </w:r>
      <w:r w:rsidR="00C3733B" w:rsidRPr="0034081D">
        <w:t>NO</w:t>
      </w:r>
      <w:r w:rsidR="001E4F54" w:rsidRPr="009F3091">
        <w:rPr>
          <w:vertAlign w:val="subscript"/>
        </w:rPr>
        <w:t>X</w:t>
      </w:r>
      <w:r w:rsidR="00C3733B" w:rsidRPr="0034081D">
        <w:t>, SO</w:t>
      </w:r>
      <w:r w:rsidR="00C3733B" w:rsidRPr="009F3091">
        <w:rPr>
          <w:vertAlign w:val="subscript"/>
        </w:rPr>
        <w:t>2</w:t>
      </w:r>
      <w:r w:rsidR="00C3733B" w:rsidRPr="0034081D">
        <w:t xml:space="preserve">, and </w:t>
      </w:r>
      <w:r w:rsidRPr="0034081D">
        <w:t>greenhouse gas</w:t>
      </w:r>
      <w:r w:rsidRPr="00D10561">
        <w:t xml:space="preserve"> emissions.</w:t>
      </w:r>
      <w:r w:rsidRPr="00E2185A">
        <w:t xml:space="preserve"> Nonfirm contracting and other natural gas pipeline operational issues associated with fuel procurement and pipeline constraints resulted </w:t>
      </w:r>
      <w:r w:rsidRPr="00B345B0">
        <w:t>in</w:t>
      </w:r>
      <w:r w:rsidR="00A2134B" w:rsidRPr="00B345B0">
        <w:t xml:space="preserve"> </w:t>
      </w:r>
      <w:r w:rsidR="008B55BC" w:rsidRPr="00B345B0">
        <w:t xml:space="preserve">gas pipeline companies </w:t>
      </w:r>
      <w:r w:rsidRPr="00B345B0">
        <w:t>invoking operation flow orders, thereby reducing supply to gas</w:t>
      </w:r>
      <w:r w:rsidRPr="00E2185A">
        <w:t>-fired generation.</w:t>
      </w:r>
      <w:r w:rsidRPr="00E2185A">
        <w:rPr>
          <w:vertAlign w:val="superscript"/>
        </w:rPr>
        <w:footnoteReference w:id="262"/>
      </w:r>
      <w:r w:rsidRPr="00E2185A">
        <w:t xml:space="preserve"> </w:t>
      </w:r>
      <w:r w:rsidRPr="00E2185A">
        <w:fldChar w:fldCharType="begin"/>
      </w:r>
      <w:r w:rsidRPr="00E2185A">
        <w:instrText xml:space="preserve"> REF _Ref8045879 \h  \* MERGEFORMAT </w:instrText>
      </w:r>
      <w:r w:rsidRPr="00E2185A">
        <w:fldChar w:fldCharType="separate"/>
      </w:r>
      <w:r w:rsidR="005D0B73" w:rsidRPr="005D0B73">
        <w:t xml:space="preserve">Figure </w:t>
      </w:r>
      <w:r w:rsidR="005D0B73" w:rsidRPr="005D0B73">
        <w:rPr>
          <w:noProof/>
        </w:rPr>
        <w:t>7</w:t>
      </w:r>
      <w:r w:rsidR="005D0B73" w:rsidRPr="005D0B73">
        <w:rPr>
          <w:noProof/>
        </w:rPr>
        <w:noBreakHyphen/>
        <w:t>9</w:t>
      </w:r>
      <w:r w:rsidRPr="00E2185A">
        <w:fldChar w:fldCharType="end"/>
      </w:r>
      <w:r w:rsidRPr="00E2185A">
        <w:t xml:space="preserve"> illustrates the change in generation mix before, during, and after th</w:t>
      </w:r>
      <w:r w:rsidR="003D62F9">
        <w:t>is</w:t>
      </w:r>
      <w:r w:rsidRPr="00E2185A">
        <w:t xml:space="preserve"> cold spell. </w:t>
      </w:r>
    </w:p>
    <w:p w14:paraId="53E6A014" w14:textId="77777777" w:rsidR="00844F09" w:rsidRDefault="00844F09" w:rsidP="00844F09">
      <w:pPr>
        <w:spacing w:after="0" w:line="240" w:lineRule="auto"/>
        <w:rPr>
          <w:sz w:val="18"/>
        </w:rPr>
      </w:pPr>
    </w:p>
    <w:p w14:paraId="5198120E" w14:textId="77777777" w:rsidR="004513EC" w:rsidRDefault="004513EC" w:rsidP="00844F09">
      <w:pPr>
        <w:spacing w:after="0" w:line="240" w:lineRule="auto"/>
        <w:rPr>
          <w:sz w:val="18"/>
        </w:rPr>
      </w:pPr>
    </w:p>
    <w:p w14:paraId="51F9876A" w14:textId="77777777" w:rsidR="004513EC" w:rsidRPr="00E2185A" w:rsidRDefault="004513EC" w:rsidP="00F300A2">
      <w:pPr>
        <w:spacing w:after="0" w:line="240" w:lineRule="auto"/>
        <w:jc w:val="center"/>
        <w:rPr>
          <w:sz w:val="18"/>
        </w:rPr>
      </w:pPr>
      <w:r w:rsidRPr="00873BD3">
        <w:rPr>
          <w:noProof/>
        </w:rPr>
        <w:lastRenderedPageBreak/>
        <w:drawing>
          <wp:inline distT="0" distB="0" distL="0" distR="0" wp14:anchorId="62F93E4D" wp14:editId="0ED7FA13">
            <wp:extent cx="5013082" cy="3205480"/>
            <wp:effectExtent l="19050" t="19050" r="1651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4780" cy="3206566"/>
                    </a:xfrm>
                    <a:prstGeom prst="rect">
                      <a:avLst/>
                    </a:prstGeom>
                    <a:noFill/>
                    <a:ln w="3175">
                      <a:solidFill>
                        <a:srgbClr val="000000"/>
                      </a:solidFill>
                    </a:ln>
                  </pic:spPr>
                </pic:pic>
              </a:graphicData>
            </a:graphic>
          </wp:inline>
        </w:drawing>
      </w:r>
    </w:p>
    <w:p w14:paraId="6CCCCFA9" w14:textId="1AF0B9C2" w:rsidR="00E2185A" w:rsidRPr="00E2185A" w:rsidRDefault="00E2185A" w:rsidP="004513EC">
      <w:pPr>
        <w:spacing w:before="120" w:after="80" w:line="240" w:lineRule="auto"/>
        <w:ind w:left="540" w:right="540"/>
        <w:rPr>
          <w:rFonts w:ascii="Calibri" w:hAnsi="Calibri"/>
          <w:b/>
          <w:bCs/>
          <w:szCs w:val="18"/>
        </w:rPr>
      </w:pPr>
      <w:bookmarkStart w:id="848" w:name="_Ref8045879"/>
      <w:bookmarkStart w:id="849" w:name="_Toc17709763"/>
      <w:r w:rsidRPr="00E2185A">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7</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9</w:t>
      </w:r>
      <w:r w:rsidR="008E7223">
        <w:rPr>
          <w:rFonts w:ascii="Calibri" w:hAnsi="Calibri"/>
          <w:b/>
          <w:bCs/>
          <w:szCs w:val="18"/>
        </w:rPr>
        <w:fldChar w:fldCharType="end"/>
      </w:r>
      <w:bookmarkEnd w:id="848"/>
      <w:r w:rsidRPr="00E2185A">
        <w:rPr>
          <w:rFonts w:ascii="Calibri" w:hAnsi="Calibri"/>
          <w:b/>
          <w:bCs/>
          <w:szCs w:val="18"/>
        </w:rPr>
        <w:t>: Shifting generation mix before and during the cold spell of winter 2017/2018 (%).</w:t>
      </w:r>
      <w:bookmarkEnd w:id="849"/>
    </w:p>
    <w:p w14:paraId="084784A7" w14:textId="660D7564" w:rsidR="00E2185A" w:rsidRPr="00E2185A" w:rsidRDefault="00E2185A" w:rsidP="004513EC">
      <w:pPr>
        <w:spacing w:line="240" w:lineRule="auto"/>
        <w:ind w:left="540" w:right="540"/>
        <w:rPr>
          <w:rFonts w:asciiTheme="minorHAnsi" w:hAnsiTheme="minorHAnsi"/>
          <w:sz w:val="18"/>
          <w:szCs w:val="18"/>
        </w:rPr>
      </w:pPr>
      <w:r w:rsidRPr="00E2185A">
        <w:rPr>
          <w:rFonts w:asciiTheme="minorHAnsi" w:eastAsiaTheme="majorEastAsia" w:hAnsiTheme="minorHAnsi"/>
          <w:color w:val="000000"/>
          <w:sz w:val="18"/>
          <w:szCs w:val="18"/>
        </w:rPr>
        <w:t>Source: ISO New England, I</w:t>
      </w:r>
      <w:r w:rsidRPr="004513EC">
        <w:rPr>
          <w:rFonts w:asciiTheme="minorHAnsi" w:eastAsiaTheme="majorEastAsia" w:hAnsiTheme="minorHAnsi"/>
          <w:i/>
          <w:color w:val="000000"/>
          <w:sz w:val="18"/>
          <w:szCs w:val="18"/>
        </w:rPr>
        <w:t>ntroduction: Winter Generator Readiness Seminar</w:t>
      </w:r>
      <w:r w:rsidRPr="00E2185A">
        <w:rPr>
          <w:rFonts w:asciiTheme="minorHAnsi" w:eastAsiaTheme="majorEastAsia" w:hAnsiTheme="minorHAnsi"/>
          <w:color w:val="000000"/>
          <w:sz w:val="18"/>
          <w:szCs w:val="18"/>
        </w:rPr>
        <w:t>, presentation (October</w:t>
      </w:r>
      <w:r w:rsidR="001A757A">
        <w:rPr>
          <w:rFonts w:asciiTheme="minorHAnsi" w:eastAsiaTheme="majorEastAsia" w:hAnsiTheme="minorHAnsi"/>
          <w:color w:val="000000"/>
          <w:sz w:val="18"/>
          <w:szCs w:val="18"/>
        </w:rPr>
        <w:t xml:space="preserve"> </w:t>
      </w:r>
      <w:r w:rsidRPr="00E2185A">
        <w:rPr>
          <w:rFonts w:asciiTheme="minorHAnsi" w:eastAsiaTheme="majorEastAsia" w:hAnsiTheme="minorHAnsi"/>
          <w:color w:val="000000"/>
          <w:sz w:val="18"/>
          <w:szCs w:val="18"/>
        </w:rPr>
        <w:t xml:space="preserve">30, 2018), </w:t>
      </w:r>
      <w:hyperlink r:id="rId72" w:history="1">
        <w:r w:rsidRPr="00E2185A">
          <w:rPr>
            <w:rFonts w:asciiTheme="minorHAnsi" w:eastAsiaTheme="majorEastAsia" w:hAnsiTheme="minorHAnsi"/>
            <w:color w:val="000000"/>
            <w:sz w:val="18"/>
            <w:szCs w:val="18"/>
          </w:rPr>
          <w:t>https://www.iso-ne.com/static-assets/documents/2018/10/2018-2019-winter-generator-readiness-seminar-combined.pdf</w:t>
        </w:r>
      </w:hyperlink>
      <w:r w:rsidRPr="00E2185A">
        <w:rPr>
          <w:rFonts w:asciiTheme="minorHAnsi" w:eastAsiaTheme="majorEastAsia" w:hAnsiTheme="minorHAnsi"/>
          <w:color w:val="000000"/>
          <w:sz w:val="18"/>
          <w:szCs w:val="18"/>
        </w:rPr>
        <w:t>.</w:t>
      </w:r>
    </w:p>
    <w:p w14:paraId="3AB8B0B1" w14:textId="77777777" w:rsidR="00E2185A" w:rsidRPr="00E2185A" w:rsidRDefault="00E2185A" w:rsidP="00E2185A">
      <w:pPr>
        <w:pStyle w:val="Heading4"/>
      </w:pPr>
      <w:r w:rsidRPr="00E2185A">
        <w:t>Winter 2019 Cold Snaps</w:t>
      </w:r>
    </w:p>
    <w:p w14:paraId="5A5F4EB7" w14:textId="77777777" w:rsidR="00E2185A" w:rsidRPr="00E2185A" w:rsidRDefault="00E2185A" w:rsidP="00E2185A">
      <w:r w:rsidRPr="00E2185A">
        <w:t>In late January and early February 2019, New England faced two 3-day cold snaps where the eight-city New England mean temperature was below normal.</w:t>
      </w:r>
      <w:r w:rsidRPr="00E2185A">
        <w:rPr>
          <w:szCs w:val="19"/>
          <w:vertAlign w:val="superscript"/>
        </w:rPr>
        <w:footnoteReference w:id="263"/>
      </w:r>
      <w:r w:rsidRPr="00E2185A">
        <w:t xml:space="preserve"> On January 21, the low temperature</w:t>
      </w:r>
      <w:r w:rsidR="008715CB">
        <w:t xml:space="preserve"> </w:t>
      </w:r>
      <w:r w:rsidRPr="00E2185A">
        <w:t>of 4.4°F was 21.2°F below the normal of 25.6°F, making thi</w:t>
      </w:r>
      <w:r w:rsidRPr="00B378D4">
        <w:t xml:space="preserve">s </w:t>
      </w:r>
      <w:r w:rsidR="00CE2A9F" w:rsidRPr="00B378D4">
        <w:t xml:space="preserve">New England’s winter </w:t>
      </w:r>
      <w:r w:rsidRPr="00B378D4">
        <w:t>peak load day, with</w:t>
      </w:r>
      <w:r w:rsidRPr="00E2185A">
        <w:t xml:space="preserve"> an actual peak load of 20,722 MW (23,925 MW after reconstitution). The trigger was a severe winter storm that produced heavy inland snow, sleet, and ice, while coastal areas received heavy rain and flooding and high winds. Within a week, another three-day cold snap occurred where, again, low temperatures contributed to increased electrical and gas demands. The eight-city, New England mean temperature on January 31, 2019, was 6.5°F, 19.0°F below the normal of 25.5°F. Well-timed deliveries of imported LNG helped keep regional natural gas prices from rising during these two periods of high demand.</w:t>
      </w:r>
    </w:p>
    <w:p w14:paraId="155BA936" w14:textId="0724AC70" w:rsidR="00E2185A" w:rsidRPr="00E2185A" w:rsidRDefault="00E2185A" w:rsidP="00E2185A">
      <w:pPr>
        <w:pStyle w:val="Heading2"/>
        <w:rPr>
          <w:rFonts w:eastAsia="Times New Roman"/>
        </w:rPr>
      </w:pPr>
      <w:bookmarkStart w:id="850" w:name="_Toc7524680"/>
      <w:bookmarkStart w:id="851" w:name="_Ref10718016"/>
      <w:bookmarkStart w:id="852" w:name="_Toc12795225"/>
      <w:bookmarkStart w:id="853" w:name="_Ref16865812"/>
      <w:bookmarkStart w:id="854" w:name="_Ref19522676"/>
      <w:r w:rsidRPr="00E2185A">
        <w:rPr>
          <w:rFonts w:eastAsia="Times New Roman"/>
        </w:rPr>
        <w:t>Assessing the Energy-Security Risk</w:t>
      </w:r>
      <w:bookmarkEnd w:id="850"/>
      <w:bookmarkEnd w:id="851"/>
      <w:bookmarkEnd w:id="852"/>
      <w:bookmarkEnd w:id="853"/>
      <w:bookmarkEnd w:id="854"/>
    </w:p>
    <w:p w14:paraId="78773137" w14:textId="77777777" w:rsidR="00E2185A" w:rsidRPr="00E2185A" w:rsidRDefault="00E2185A" w:rsidP="00E2185A">
      <w:r w:rsidRPr="00E2185A">
        <w:t>T</w:t>
      </w:r>
      <w:r w:rsidR="008715CB">
        <w:t>he ISO has conduct</w:t>
      </w:r>
      <w:r w:rsidR="0065031F">
        <w:t>e</w:t>
      </w:r>
      <w:r w:rsidR="008715CB">
        <w:t xml:space="preserve">d several studies </w:t>
      </w:r>
      <w:r w:rsidR="0065031F">
        <w:t>t</w:t>
      </w:r>
      <w:r w:rsidRPr="00E2185A">
        <w:t>o help fulfill its responsibility of ensuring a reliable supply of electricity for the region</w:t>
      </w:r>
      <w:r w:rsidR="00400949">
        <w:t>.</w:t>
      </w:r>
      <w:r w:rsidR="008715CB">
        <w:t xml:space="preserve"> In one study</w:t>
      </w:r>
      <w:r w:rsidRPr="00E2185A">
        <w:t>, the ISO evaluated the level of operational risk posed to the power system by a wide range of potential fuel-mix scenarios.</w:t>
      </w:r>
      <w:r w:rsidRPr="00E2185A">
        <w:rPr>
          <w:vertAlign w:val="superscript"/>
        </w:rPr>
        <w:footnoteReference w:id="264"/>
      </w:r>
      <w:r w:rsidRPr="00E2185A">
        <w:t xml:space="preserve"> The study quantified the risk by calculating whether enough fuel would be available for the system to satisfy consumer electricity demand and to maintain power system reliability throughout an entire winter. </w:t>
      </w:r>
    </w:p>
    <w:p w14:paraId="0FA7F874" w14:textId="77777777" w:rsidR="00E2185A" w:rsidRDefault="00E2185A" w:rsidP="00E2185A">
      <w:r w:rsidRPr="00E2185A">
        <w:t>The study results indicate the risk of future energy shortfalls is greater by winter 2024/2025 than today</w:t>
      </w:r>
      <w:r w:rsidR="002B396B">
        <w:t xml:space="preserve">. </w:t>
      </w:r>
      <w:r w:rsidRPr="00E2185A">
        <w:t xml:space="preserve">All but one of the 23 scenarios studied showed that the regional power system could experience system </w:t>
      </w:r>
      <w:r w:rsidRPr="00E2185A">
        <w:lastRenderedPageBreak/>
        <w:t>stress, requiring system operators to invoke emergency procedures. All but four scenarios show that some level of load shedding would be needed to maintain integrity of the New England power system. Therefore, the region is currently maintaining a delicate balance to ensure system reliability. Should any of the five key variables—retirements of coal- and oil-fired generators, LNG injection levels, the availability of oil as well as the permitted ability to burn oil, electricity imports, and the development of renewables—</w:t>
      </w:r>
      <w:r w:rsidR="00CC7313">
        <w:t>degrade from current expectations</w:t>
      </w:r>
      <w:r w:rsidRPr="00E2185A">
        <w:t xml:space="preserve">, the New England system is in jeopardy of not being </w:t>
      </w:r>
      <w:r w:rsidRPr="0019551F">
        <w:t xml:space="preserve">able to serve load. </w:t>
      </w:r>
    </w:p>
    <w:p w14:paraId="39F33C27" w14:textId="3A346EB8" w:rsidR="008715CB" w:rsidRPr="0019551F" w:rsidRDefault="008715CB" w:rsidP="00E2185A">
      <w:r>
        <w:t>T</w:t>
      </w:r>
      <w:r w:rsidRPr="008715CB">
        <w:t xml:space="preserve">he ISO </w:t>
      </w:r>
      <w:r>
        <w:t xml:space="preserve">also </w:t>
      </w:r>
      <w:r w:rsidRPr="008715CB">
        <w:t>conduct</w:t>
      </w:r>
      <w:r>
        <w:t>ed</w:t>
      </w:r>
      <w:r w:rsidRPr="008715CB">
        <w:t xml:space="preserve"> </w:t>
      </w:r>
      <w:r>
        <w:t xml:space="preserve">an </w:t>
      </w:r>
      <w:r w:rsidRPr="008715CB">
        <w:t xml:space="preserve">analysis </w:t>
      </w:r>
      <w:r w:rsidR="00C3733B">
        <w:t xml:space="preserve">based on assumptions provided by </w:t>
      </w:r>
      <w:r w:rsidRPr="008715CB">
        <w:t>the Massachusetts Clean Energy Center</w:t>
      </w:r>
      <w:r>
        <w:t>, t</w:t>
      </w:r>
      <w:r w:rsidRPr="008715CB">
        <w:t xml:space="preserve">he </w:t>
      </w:r>
      <w:r w:rsidRPr="008715CB">
        <w:rPr>
          <w:i/>
        </w:rPr>
        <w:t>High-Level Assessment of Potential Impacts of Offshore Wind Additions to the New England Power System During the 2017/2018 Cold Spell</w:t>
      </w:r>
      <w:r>
        <w:t>.</w:t>
      </w:r>
      <w:r w:rsidR="00CE6F2A" w:rsidRPr="00CE6F2A">
        <w:rPr>
          <w:vertAlign w:val="superscript"/>
        </w:rPr>
        <w:footnoteReference w:id="265"/>
      </w:r>
      <w:r w:rsidR="00CE6F2A" w:rsidRPr="00CE6F2A">
        <w:t xml:space="preserve"> </w:t>
      </w:r>
      <w:r>
        <w:t xml:space="preserve">This study </w:t>
      </w:r>
      <w:r w:rsidRPr="008715CB">
        <w:t>focused on the impact on production costs, environmental emissions, fossil fuel savings, and locational marginal prices for several offshore wind scenarios of 400 MW, 800</w:t>
      </w:r>
      <w:r w:rsidR="00EB5207">
        <w:t> </w:t>
      </w:r>
      <w:r w:rsidRPr="008715CB">
        <w:t xml:space="preserve">MW, and 1,600 MW. In general, the results show that offshore wind connections to the load centers in southern New England are well situated. Offshore wind production during the 2017/2018 cold spell would </w:t>
      </w:r>
      <w:r w:rsidR="001E4F54">
        <w:t xml:space="preserve">likely </w:t>
      </w:r>
      <w:r w:rsidRPr="008715CB">
        <w:t>have reduced production costs, environmental emissions, fossil fuel consumption by generating units, and LM</w:t>
      </w:r>
      <w:r w:rsidRPr="00902A45">
        <w:t>Ps.</w:t>
      </w:r>
      <w:r w:rsidR="00CE6F2A" w:rsidRPr="00902A45">
        <w:t xml:space="preserve"> </w:t>
      </w:r>
      <w:r w:rsidR="00902A45">
        <w:t>However, for relatively short periods during the cold spell, t</w:t>
      </w:r>
      <w:r w:rsidR="00CE6F2A" w:rsidRPr="00902A45">
        <w:t>he wind profile</w:t>
      </w:r>
      <w:r w:rsidR="00902A45">
        <w:t xml:space="preserve"> </w:t>
      </w:r>
      <w:r w:rsidR="00CE6F2A" w:rsidRPr="00902A45">
        <w:t>reduced to close to 0 MW</w:t>
      </w:r>
      <w:r w:rsidR="00902A45" w:rsidRPr="0034081D">
        <w:t>.</w:t>
      </w:r>
      <w:r w:rsidR="00C3733B" w:rsidRPr="0034081D">
        <w:t xml:space="preserve"> Section </w:t>
      </w:r>
      <w:r w:rsidR="00C3733B" w:rsidRPr="00E12F68">
        <w:fldChar w:fldCharType="begin"/>
      </w:r>
      <w:r w:rsidR="00C3733B" w:rsidRPr="0034081D">
        <w:instrText xml:space="preserve"> REF _Ref11055351 \r \h </w:instrText>
      </w:r>
      <w:r w:rsidR="00C3733B" w:rsidRPr="009F3091">
        <w:instrText xml:space="preserve"> \* MERGEFORMAT </w:instrText>
      </w:r>
      <w:r w:rsidR="00C3733B" w:rsidRPr="00E12F68">
        <w:fldChar w:fldCharType="separate"/>
      </w:r>
      <w:r w:rsidR="005D0B73">
        <w:t>9.1</w:t>
      </w:r>
      <w:r w:rsidR="00C3733B" w:rsidRPr="00E12F68">
        <w:fldChar w:fldCharType="end"/>
      </w:r>
      <w:r w:rsidR="00C3733B" w:rsidRPr="0034081D">
        <w:t xml:space="preserve"> includes additional discussion of the effects of </w:t>
      </w:r>
      <w:r w:rsidR="009F3091" w:rsidRPr="009F3091">
        <w:t>variable</w:t>
      </w:r>
      <w:r w:rsidR="0034081D" w:rsidRPr="009F3091">
        <w:t xml:space="preserve"> energy resources</w:t>
      </w:r>
      <w:r w:rsidR="00C3733B" w:rsidRPr="0034081D">
        <w:t xml:space="preserve">. Sections </w:t>
      </w:r>
      <w:r w:rsidR="00C3733B" w:rsidRPr="00E12F68">
        <w:fldChar w:fldCharType="begin"/>
      </w:r>
      <w:r w:rsidR="00C3733B" w:rsidRPr="0034081D">
        <w:instrText xml:space="preserve"> REF _Ref16682650 \r \h </w:instrText>
      </w:r>
      <w:r w:rsidR="00C3733B" w:rsidRPr="009F3091">
        <w:instrText xml:space="preserve"> \* MERGEFORMAT </w:instrText>
      </w:r>
      <w:r w:rsidR="00C3733B" w:rsidRPr="00E12F68">
        <w:fldChar w:fldCharType="separate"/>
      </w:r>
      <w:r w:rsidR="005D0B73">
        <w:t>9.3.2</w:t>
      </w:r>
      <w:r w:rsidR="00C3733B" w:rsidRPr="00E12F68">
        <w:fldChar w:fldCharType="end"/>
      </w:r>
      <w:r w:rsidR="00C3733B" w:rsidRPr="0034081D">
        <w:t xml:space="preserve"> and </w:t>
      </w:r>
      <w:r w:rsidR="00C3733B" w:rsidRPr="00E12F68">
        <w:fldChar w:fldCharType="begin"/>
      </w:r>
      <w:r w:rsidR="00C3733B" w:rsidRPr="0034081D">
        <w:instrText xml:space="preserve"> REF _Ref16682654 \r \h </w:instrText>
      </w:r>
      <w:r w:rsidR="00C3733B" w:rsidRPr="009F3091">
        <w:instrText xml:space="preserve"> \* MERGEFORMAT </w:instrText>
      </w:r>
      <w:r w:rsidR="00C3733B" w:rsidRPr="00E12F68">
        <w:fldChar w:fldCharType="separate"/>
      </w:r>
      <w:r w:rsidR="005D0B73">
        <w:t>9.3.3</w:t>
      </w:r>
      <w:r w:rsidR="00C3733B" w:rsidRPr="00E12F68">
        <w:fldChar w:fldCharType="end"/>
      </w:r>
      <w:r w:rsidR="00C3733B" w:rsidRPr="0034081D">
        <w:t xml:space="preserve"> discuss economic analy</w:t>
      </w:r>
      <w:r w:rsidR="00AF6B35" w:rsidRPr="009F3091">
        <w:t>s</w:t>
      </w:r>
      <w:r w:rsidR="007B60EC" w:rsidRPr="009F3091">
        <w:t>i</w:t>
      </w:r>
      <w:r w:rsidR="00C3733B" w:rsidRPr="0034081D">
        <w:t>s of other scenarios.</w:t>
      </w:r>
    </w:p>
    <w:p w14:paraId="43577EFB" w14:textId="77777777" w:rsidR="0019551F" w:rsidRPr="00EB5207" w:rsidRDefault="0019551F" w:rsidP="0019551F">
      <w:r w:rsidRPr="00EB5207">
        <w:t>In 2018, NPCC conducted a fuel-assurance analysis for New England</w:t>
      </w:r>
      <w:r>
        <w:t>.</w:t>
      </w:r>
      <w:r w:rsidRPr="00EB5207">
        <w:t xml:space="preserve"> The study assessed the loss of generators resulting from forced outages of pipelines serving the region. The results showed that </w:t>
      </w:r>
      <w:r>
        <w:t>s</w:t>
      </w:r>
      <w:r w:rsidRPr="00E27B7A">
        <w:rPr>
          <w:rFonts w:eastAsia="Times New Roman"/>
          <w:szCs w:val="24"/>
        </w:rPr>
        <w:t>ystem resiliency was good during the 2018 August peak</w:t>
      </w:r>
      <w:r>
        <w:rPr>
          <w:rFonts w:eastAsia="Times New Roman"/>
          <w:szCs w:val="24"/>
        </w:rPr>
        <w:t xml:space="preserve"> and that </w:t>
      </w:r>
      <w:r w:rsidRPr="00EB5207">
        <w:t xml:space="preserve">ISO New England operators would have sufficient time to prevent cascading electrical outages in neighboring systems. </w:t>
      </w:r>
      <w:r>
        <w:t>However, t</w:t>
      </w:r>
      <w:r w:rsidRPr="00EB5207">
        <w:t>he study also concluded the following:</w:t>
      </w:r>
    </w:p>
    <w:p w14:paraId="0EAF42B8" w14:textId="77777777" w:rsidR="0019551F" w:rsidRPr="00EB5207" w:rsidRDefault="0019551F" w:rsidP="0019551F">
      <w:pPr>
        <w:numPr>
          <w:ilvl w:val="0"/>
          <w:numId w:val="59"/>
        </w:numPr>
        <w:spacing w:after="120"/>
        <w:rPr>
          <w:rFonts w:eastAsia="Times New Roman"/>
          <w:szCs w:val="24"/>
        </w:rPr>
      </w:pPr>
      <w:r w:rsidRPr="00EB5207">
        <w:rPr>
          <w:rFonts w:eastAsia="Times New Roman"/>
          <w:szCs w:val="24"/>
        </w:rPr>
        <w:t>Natural gas deliverability constraints occur</w:t>
      </w:r>
      <w:r>
        <w:rPr>
          <w:rFonts w:eastAsia="Times New Roman"/>
          <w:szCs w:val="24"/>
        </w:rPr>
        <w:t>ring</w:t>
      </w:r>
      <w:r w:rsidRPr="00EB5207">
        <w:rPr>
          <w:rFonts w:eastAsia="Times New Roman"/>
          <w:szCs w:val="24"/>
        </w:rPr>
        <w:t xml:space="preserve"> during the peak heating season would be further exacerbated by contingencies on the natural gas system.</w:t>
      </w:r>
    </w:p>
    <w:p w14:paraId="749F5705" w14:textId="77777777" w:rsidR="0019551F" w:rsidRPr="00EB5207" w:rsidRDefault="0019551F" w:rsidP="0019551F">
      <w:pPr>
        <w:numPr>
          <w:ilvl w:val="0"/>
          <w:numId w:val="59"/>
        </w:numPr>
        <w:spacing w:after="120"/>
        <w:rPr>
          <w:rFonts w:eastAsia="Times New Roman"/>
          <w:szCs w:val="24"/>
        </w:rPr>
      </w:pPr>
      <w:r>
        <w:rPr>
          <w:rFonts w:eastAsia="Times New Roman"/>
          <w:szCs w:val="24"/>
        </w:rPr>
        <w:t>While t</w:t>
      </w:r>
      <w:r w:rsidRPr="00EB5207">
        <w:rPr>
          <w:rFonts w:eastAsia="Times New Roman"/>
          <w:szCs w:val="24"/>
        </w:rPr>
        <w:t>he adverse effects of pipeline constraints can be diminished through greater supplies from LNG facilities, this may require fuel contracts.</w:t>
      </w:r>
    </w:p>
    <w:p w14:paraId="1FDA5447" w14:textId="77777777" w:rsidR="0019551F" w:rsidRDefault="0019551F" w:rsidP="00EB5207">
      <w:pPr>
        <w:pStyle w:val="ListParagraph"/>
        <w:numPr>
          <w:ilvl w:val="0"/>
          <w:numId w:val="765"/>
        </w:numPr>
        <w:spacing w:after="240"/>
      </w:pPr>
      <w:r w:rsidRPr="00EB5207">
        <w:t>Oil-fired generation may also require contract arrangements for fuel.</w:t>
      </w:r>
    </w:p>
    <w:p w14:paraId="15DFEC35" w14:textId="74585892" w:rsidR="00C42D12" w:rsidRDefault="00C42D12" w:rsidP="001C7E84">
      <w:r w:rsidRPr="00EB5207">
        <w:t xml:space="preserve">Also, as mentioned in Section </w:t>
      </w:r>
      <w:r w:rsidRPr="00EB5207">
        <w:fldChar w:fldCharType="begin"/>
      </w:r>
      <w:r w:rsidRPr="00EB5207">
        <w:instrText xml:space="preserve"> REF _Ref12184030 \r \h </w:instrText>
      </w:r>
      <w:r w:rsidR="0065031F">
        <w:instrText xml:space="preserve"> \* MERGEFORMAT </w:instrText>
      </w:r>
      <w:r w:rsidRPr="00EB5207">
        <w:fldChar w:fldCharType="separate"/>
      </w:r>
      <w:r w:rsidR="005D0B73">
        <w:t>6.3</w:t>
      </w:r>
      <w:r w:rsidRPr="00EB5207">
        <w:fldChar w:fldCharType="end"/>
      </w:r>
      <w:r w:rsidRPr="00EB5207">
        <w:t xml:space="preserve">, see NERC ’s </w:t>
      </w:r>
      <w:r w:rsidR="0065031F" w:rsidRPr="00EB5207">
        <w:t xml:space="preserve">2017 </w:t>
      </w:r>
      <w:r w:rsidRPr="00EB5207">
        <w:t xml:space="preserve">report, </w:t>
      </w:r>
      <w:r w:rsidRPr="0065031F">
        <w:rPr>
          <w:rFonts w:cs="Calibri"/>
          <w:i/>
        </w:rPr>
        <w:t>Special Reliability Assessment: Potential Bulk</w:t>
      </w:r>
      <w:r w:rsidRPr="00C42D12">
        <w:rPr>
          <w:rFonts w:cs="Calibri"/>
          <w:i/>
        </w:rPr>
        <w:t xml:space="preserve"> </w:t>
      </w:r>
      <w:r w:rsidRPr="0065031F">
        <w:rPr>
          <w:rFonts w:cs="Calibri"/>
          <w:i/>
        </w:rPr>
        <w:t>Power System Impacts Due to Severe Disruptions on the Natural Gas System</w:t>
      </w:r>
      <w:r w:rsidRPr="00EB5207">
        <w:t>.</w:t>
      </w:r>
    </w:p>
    <w:p w14:paraId="4A755A83" w14:textId="77777777" w:rsidR="00E2185A" w:rsidRPr="00E2185A" w:rsidRDefault="00E2185A" w:rsidP="00E2185A">
      <w:pPr>
        <w:pStyle w:val="Heading2"/>
        <w:rPr>
          <w:rFonts w:eastAsia="Times New Roman"/>
        </w:rPr>
      </w:pPr>
      <w:bookmarkStart w:id="855" w:name="_Toc7524681"/>
      <w:bookmarkStart w:id="856" w:name="_Toc12795226"/>
      <w:bookmarkStart w:id="857" w:name="_Ref13324478"/>
      <w:r w:rsidRPr="00E2185A">
        <w:rPr>
          <w:rFonts w:eastAsia="Times New Roman"/>
        </w:rPr>
        <w:t>Potential Solutions</w:t>
      </w:r>
      <w:bookmarkEnd w:id="855"/>
      <w:bookmarkEnd w:id="856"/>
      <w:bookmarkEnd w:id="857"/>
    </w:p>
    <w:p w14:paraId="131E2258" w14:textId="77777777" w:rsidR="00E2185A" w:rsidRPr="00E2185A" w:rsidRDefault="00E2185A" w:rsidP="00E2185A">
      <w:r w:rsidRPr="00E2185A">
        <w:t>Addressing the energy-security issue is the region’s highest-priority challenge. Because the ISO has no jurisdiction over other industries’ fuel-supply chains or the authority to require generators to make long-term investments in fuel-supply contracts, it has employed emergency operating procedures and implemented market design changes to incentivize generators to arrange for routine and reliable fuel deliveries. The ISO also has improved communication and coordination with natural gas pipeline operators. Discussions about possible solutions to the region’s energy-security risk commenced in 2018</w:t>
      </w:r>
      <w:r w:rsidR="002B396B">
        <w:t xml:space="preserve">. </w:t>
      </w:r>
    </w:p>
    <w:p w14:paraId="061839C7" w14:textId="77777777" w:rsidR="00E2185A" w:rsidRPr="00E2185A" w:rsidRDefault="00E2185A" w:rsidP="00FE27FE">
      <w:pPr>
        <w:pStyle w:val="Heading3"/>
        <w:rPr>
          <w:rFonts w:eastAsia="Times New Roman"/>
        </w:rPr>
      </w:pPr>
      <w:bookmarkStart w:id="858" w:name="_Toc12795227"/>
      <w:r w:rsidRPr="00E2185A">
        <w:rPr>
          <w:rFonts w:eastAsia="Times New Roman"/>
        </w:rPr>
        <w:lastRenderedPageBreak/>
        <w:t>Operational Enhancements</w:t>
      </w:r>
      <w:bookmarkEnd w:id="858"/>
    </w:p>
    <w:p w14:paraId="6A6D366C" w14:textId="77777777" w:rsidR="00E2185A" w:rsidRPr="00E2185A" w:rsidRDefault="00E2185A" w:rsidP="00E2185A">
      <w:pPr>
        <w:autoSpaceDE w:val="0"/>
        <w:autoSpaceDN w:val="0"/>
        <w:adjustRightInd w:val="0"/>
        <w:rPr>
          <w:rFonts w:ascii="Times New Roman" w:eastAsia="Times New Roman" w:hAnsi="Times New Roman"/>
          <w:color w:val="000000"/>
          <w:sz w:val="24"/>
          <w:szCs w:val="24"/>
        </w:rPr>
      </w:pPr>
      <w:r w:rsidRPr="00E2185A">
        <w:t xml:space="preserve">The ISO has been able to maintain power system reliability during severe winter conditions by using emergency operating procedures. Revisions to OP 21, </w:t>
      </w:r>
      <w:r w:rsidRPr="00E2185A">
        <w:rPr>
          <w:i/>
        </w:rPr>
        <w:t>Energy Inventory Accounting and Actions During An Energy Emergency</w:t>
      </w:r>
      <w:r w:rsidRPr="00E2185A">
        <w:t>, include the integration of a 21-day energy assessment and reporting mechanism based partly on generator fuel and emissions availability information reported to the ISO by lead market participants.</w:t>
      </w:r>
      <w:r w:rsidRPr="00E2185A">
        <w:rPr>
          <w:vertAlign w:val="superscript"/>
        </w:rPr>
        <w:footnoteReference w:id="266"/>
      </w:r>
      <w:r w:rsidRPr="00E2185A">
        <w:t xml:space="preserve"> Results of the 21-day energy assessment, which are publicly available, may trigger the declaration of an Energy Alert or an Energy Emergency and will serve to raise the region’s awareness of near-term energy availability, or lack thereof</w:t>
      </w:r>
      <w:r w:rsidR="002B396B">
        <w:t>.</w:t>
      </w:r>
      <w:r w:rsidR="00E36C00">
        <w:rPr>
          <w:rStyle w:val="FootnoteReference"/>
        </w:rPr>
        <w:footnoteReference w:id="267"/>
      </w:r>
      <w:r w:rsidR="002B396B">
        <w:t xml:space="preserve"> </w:t>
      </w:r>
      <w:r w:rsidRPr="00E2185A">
        <w:t>These declarations allow sufficient time for stakeholders, including lead market participants, regulators, and ISO system operations to take necessary actions to lessen the likelihood or minimize the impact of an actual or forecasted energy deficiency.</w:t>
      </w:r>
      <w:r w:rsidRPr="00E2185A">
        <w:rPr>
          <w:color w:val="000000"/>
          <w:szCs w:val="24"/>
          <w:vertAlign w:val="superscript"/>
        </w:rPr>
        <w:footnoteReference w:id="268"/>
      </w:r>
    </w:p>
    <w:p w14:paraId="7ACDB0BC" w14:textId="77777777" w:rsidR="00E2185A" w:rsidRPr="007C7C94" w:rsidRDefault="00E2185A" w:rsidP="00FE27FE">
      <w:pPr>
        <w:pStyle w:val="Heading3"/>
      </w:pPr>
      <w:bookmarkStart w:id="859" w:name="_Ref12008216"/>
      <w:bookmarkStart w:id="860" w:name="_Toc12795228"/>
      <w:r w:rsidRPr="007C7C94">
        <w:t xml:space="preserve">Market </w:t>
      </w:r>
      <w:r w:rsidR="004C52AB" w:rsidRPr="007C7C94">
        <w:t xml:space="preserve">and Other </w:t>
      </w:r>
      <w:r w:rsidRPr="007C7C94">
        <w:t>Solutions</w:t>
      </w:r>
      <w:bookmarkEnd w:id="859"/>
      <w:bookmarkEnd w:id="860"/>
    </w:p>
    <w:p w14:paraId="400224E4" w14:textId="77777777" w:rsidR="00CC7313" w:rsidRDefault="00CC7313" w:rsidP="00F63125">
      <w:r>
        <w:t>Although the region is projected to have sufficient resources to meet capacity requirements and enough transmission facilities to meet reliability criteria, it must address energy-security issues to meet its energy-supply needs. The limited availability of the natural gas generating units or renewables can present energy-security risks to the region at any time of the year but especially during winter periods.</w:t>
      </w:r>
    </w:p>
    <w:p w14:paraId="2D4E1DC4" w14:textId="77777777" w:rsidR="00CC7313" w:rsidRDefault="00CC7313" w:rsidP="0050589F">
      <w:pPr>
        <w:pStyle w:val="Heading4"/>
      </w:pPr>
      <w:r>
        <w:t>Near-Term Solutions</w:t>
      </w:r>
    </w:p>
    <w:p w14:paraId="28D8A100" w14:textId="5B6394F6" w:rsidR="00910039" w:rsidRDefault="00E2185A" w:rsidP="00B941F1">
      <w:r w:rsidRPr="00F63125">
        <w:t>To address near-term operat</w:t>
      </w:r>
      <w:r w:rsidRPr="00CC7313">
        <w:t xml:space="preserve">ional </w:t>
      </w:r>
      <w:r w:rsidR="007C7C94" w:rsidRPr="00EB5207">
        <w:t>energy</w:t>
      </w:r>
      <w:r w:rsidRPr="00EB5207">
        <w:t>-security risks</w:t>
      </w:r>
      <w:r w:rsidR="00F63125" w:rsidRPr="00851352">
        <w:t xml:space="preserve"> in</w:t>
      </w:r>
      <w:r w:rsidR="00F63125" w:rsidRPr="007C7C94">
        <w:t xml:space="preserve"> winter,</w:t>
      </w:r>
      <w:r w:rsidR="00F63125" w:rsidRPr="00F63125">
        <w:t xml:space="preserve"> sparked by limited availability of fuel for gas-fired generators and </w:t>
      </w:r>
      <w:r w:rsidRPr="00F63125">
        <w:t>presented by retirement bids</w:t>
      </w:r>
      <w:r w:rsidR="00F63125" w:rsidRPr="007C7C94">
        <w:t>,</w:t>
      </w:r>
      <w:r w:rsidR="00F63125" w:rsidRPr="00F63125">
        <w:t xml:space="preserve"> </w:t>
      </w:r>
      <w:r w:rsidRPr="00F63125">
        <w:t>the ISO incorporate</w:t>
      </w:r>
      <w:r w:rsidR="00D31352" w:rsidRPr="00F63125">
        <w:t>d</w:t>
      </w:r>
      <w:r w:rsidRPr="00F63125">
        <w:t xml:space="preserve"> </w:t>
      </w:r>
      <w:r w:rsidRPr="007C7C94">
        <w:t>a</w:t>
      </w:r>
      <w:r w:rsidR="00C23B36" w:rsidRPr="007C7C94">
        <w:t xml:space="preserve"> fuel</w:t>
      </w:r>
      <w:r w:rsidRPr="007C7C94">
        <w:t>-security</w:t>
      </w:r>
      <w:r w:rsidRPr="00F63125">
        <w:t xml:space="preserve"> reliability review </w:t>
      </w:r>
      <w:r w:rsidR="00C23B36" w:rsidRPr="00F63125">
        <w:t xml:space="preserve">and cost-allocation </w:t>
      </w:r>
      <w:r w:rsidRPr="00F63125">
        <w:t>methodology into the Forward Capacity Market</w:t>
      </w:r>
      <w:r w:rsidR="00D31352" w:rsidRPr="00F63125">
        <w:t xml:space="preserve"> </w:t>
      </w:r>
      <w:r w:rsidR="00C23B36" w:rsidRPr="00F63125">
        <w:t xml:space="preserve">for retaining </w:t>
      </w:r>
      <w:r w:rsidR="00B941F1" w:rsidRPr="00F63125">
        <w:t xml:space="preserve">and compensating </w:t>
      </w:r>
      <w:r w:rsidR="00C23B36" w:rsidRPr="00F63125">
        <w:t xml:space="preserve">generators needed for fuel security </w:t>
      </w:r>
      <w:r w:rsidR="00D31352" w:rsidRPr="0050589F">
        <w:t xml:space="preserve">(see Section </w:t>
      </w:r>
      <w:r w:rsidR="0050589F" w:rsidRPr="009D7C03">
        <w:fldChar w:fldCharType="begin"/>
      </w:r>
      <w:r w:rsidR="0050589F" w:rsidRPr="0050589F">
        <w:instrText xml:space="preserve"> REF _Ref12000749 \r \h </w:instrText>
      </w:r>
      <w:r w:rsidR="0050589F">
        <w:instrText xml:space="preserve"> \* MERGEFORMAT </w:instrText>
      </w:r>
      <w:r w:rsidR="0050589F" w:rsidRPr="009D7C03">
        <w:fldChar w:fldCharType="separate"/>
      </w:r>
      <w:r w:rsidR="005D0B73">
        <w:t>4.1.3.4</w:t>
      </w:r>
      <w:r w:rsidR="0050589F" w:rsidRPr="009D7C03">
        <w:fldChar w:fldCharType="end"/>
      </w:r>
      <w:r w:rsidR="00D31352" w:rsidRPr="0050589F">
        <w:t>).</w:t>
      </w:r>
      <w:r w:rsidR="00CC7313" w:rsidRPr="0050589F">
        <w:rPr>
          <w:rStyle w:val="FootnoteReference"/>
        </w:rPr>
        <w:footnoteReference w:id="269"/>
      </w:r>
      <w:r w:rsidR="00B941F1" w:rsidRPr="0050589F">
        <w:t xml:space="preserve"> </w:t>
      </w:r>
      <w:r w:rsidR="00F63125" w:rsidRPr="0050589F">
        <w:t>This is not a m</w:t>
      </w:r>
      <w:r w:rsidR="00F63125" w:rsidRPr="007C7C94">
        <w:t>arket-based solution but rather a reliability review to establish a need for a particular resource.</w:t>
      </w:r>
      <w:r w:rsidR="006A5667" w:rsidRPr="006A5667">
        <w:t xml:space="preserve"> </w:t>
      </w:r>
      <w:r w:rsidR="006A5667">
        <w:t>This</w:t>
      </w:r>
      <w:r w:rsidR="006A5667" w:rsidRPr="00E2185A">
        <w:t xml:space="preserve"> interim step </w:t>
      </w:r>
      <w:r w:rsidR="006A5667">
        <w:t xml:space="preserve">will </w:t>
      </w:r>
      <w:r w:rsidR="006A5667" w:rsidRPr="00E2185A">
        <w:t>address regional winter energy security for capacity commitment periods 2022/2023, 2023/2024</w:t>
      </w:r>
      <w:r w:rsidR="00EB5207">
        <w:t>,</w:t>
      </w:r>
      <w:r w:rsidR="006A5667" w:rsidRPr="00E2185A">
        <w:t xml:space="preserve"> and </w:t>
      </w:r>
      <w:r w:rsidR="00AC5C6A">
        <w:t xml:space="preserve">possibly </w:t>
      </w:r>
      <w:r w:rsidR="006A5667" w:rsidRPr="00E2185A">
        <w:t xml:space="preserve">2024/2025 while the ISO and its stakeholders develop </w:t>
      </w:r>
      <w:r w:rsidR="006A5667">
        <w:t xml:space="preserve">a </w:t>
      </w:r>
      <w:r w:rsidR="006A5667" w:rsidRPr="00E2185A">
        <w:t>longer-term, market-based approach.</w:t>
      </w:r>
    </w:p>
    <w:p w14:paraId="19A54AB4" w14:textId="77777777" w:rsidR="00910039" w:rsidRDefault="00910039" w:rsidP="0050589F">
      <w:pPr>
        <w:pStyle w:val="Heading4"/>
      </w:pPr>
      <w:r>
        <w:t>Long-Term Solutions</w:t>
      </w:r>
    </w:p>
    <w:p w14:paraId="752F9CBA" w14:textId="612D11B1" w:rsidR="00CA057C" w:rsidRDefault="00910039" w:rsidP="00910039">
      <w:r>
        <w:t>Measures to address longer</w:t>
      </w:r>
      <w:r w:rsidR="0050589F">
        <w:t>-</w:t>
      </w:r>
      <w:r>
        <w:t>term energy-security risks are under development</w:t>
      </w:r>
      <w:r w:rsidR="00DC1646">
        <w:t>.</w:t>
      </w:r>
      <w:r>
        <w:t xml:space="preserve"> The</w:t>
      </w:r>
      <w:r w:rsidRPr="005D3B61">
        <w:t xml:space="preserve"> current suite of market products do</w:t>
      </w:r>
      <w:r w:rsidR="004F37FC">
        <w:t>es</w:t>
      </w:r>
      <w:r w:rsidRPr="005D3B61">
        <w:t xml:space="preserve"> not provide sufficient financial incentives for market participants to undertake them</w:t>
      </w:r>
      <w:r>
        <w:t xml:space="preserve"> because making up-front investments in fuel-supply certainty would likely reduce the energy market payments the generator receives</w:t>
      </w:r>
      <w:r w:rsidR="00CA057C">
        <w:t>,</w:t>
      </w:r>
      <w:r>
        <w:t xml:space="preserve"> resulting in misaligned incentives. The ISO’s efforts are directed at three measures:</w:t>
      </w:r>
    </w:p>
    <w:p w14:paraId="3E9C7465" w14:textId="77777777" w:rsidR="00CA057C" w:rsidRDefault="00CA057C" w:rsidP="009F2D86">
      <w:pPr>
        <w:pStyle w:val="ListParagraph"/>
        <w:numPr>
          <w:ilvl w:val="0"/>
          <w:numId w:val="764"/>
        </w:numPr>
      </w:pPr>
      <w:r>
        <w:t>S</w:t>
      </w:r>
      <w:r w:rsidR="00910039">
        <w:t>trengthening generation owners’ financial incentives to undertake more robust fuel</w:t>
      </w:r>
      <w:r w:rsidR="009C0200">
        <w:t>-</w:t>
      </w:r>
      <w:r w:rsidR="00910039">
        <w:t>supply arrangements, when cost</w:t>
      </w:r>
      <w:r w:rsidR="009C0200">
        <w:t xml:space="preserve"> </w:t>
      </w:r>
      <w:r w:rsidR="00910039">
        <w:t>effective, while not pr</w:t>
      </w:r>
      <w:r w:rsidR="00C20020">
        <w:t>e</w:t>
      </w:r>
      <w:r w:rsidR="00910039">
        <w:t>scribing what form th</w:t>
      </w:r>
      <w:r w:rsidR="009C0200">
        <w:t>e</w:t>
      </w:r>
      <w:r w:rsidR="00910039">
        <w:t>se fuel</w:t>
      </w:r>
      <w:r w:rsidR="009C0200">
        <w:t>-</w:t>
      </w:r>
      <w:r w:rsidR="00910039">
        <w:t>supply arrangements may take</w:t>
      </w:r>
    </w:p>
    <w:p w14:paraId="132A2507" w14:textId="77777777" w:rsidR="00CA057C" w:rsidRDefault="00CA057C" w:rsidP="009F2D86">
      <w:pPr>
        <w:pStyle w:val="ListParagraph"/>
        <w:numPr>
          <w:ilvl w:val="0"/>
          <w:numId w:val="764"/>
        </w:numPr>
      </w:pPr>
      <w:r>
        <w:lastRenderedPageBreak/>
        <w:t>R</w:t>
      </w:r>
      <w:r w:rsidR="00910039">
        <w:t>ewarding resource flexibility that helps manage, and prepare for, energy</w:t>
      </w:r>
      <w:r w:rsidR="009C0200">
        <w:t>-</w:t>
      </w:r>
      <w:r w:rsidR="00910039">
        <w:t>supply uncertainties during the operating day, given the increasingly just-in-time nature of the power system</w:t>
      </w:r>
    </w:p>
    <w:p w14:paraId="52DB4B51" w14:textId="77777777" w:rsidR="00CA057C" w:rsidRDefault="00CA057C" w:rsidP="009F2D86">
      <w:pPr>
        <w:pStyle w:val="ListParagraph"/>
        <w:numPr>
          <w:ilvl w:val="0"/>
          <w:numId w:val="764"/>
        </w:numPr>
        <w:spacing w:after="240"/>
      </w:pPr>
      <w:r>
        <w:t>E</w:t>
      </w:r>
      <w:r w:rsidR="00910039">
        <w:t xml:space="preserve">fficiently allocating electricity production across multiple days from resources that have limited stored </w:t>
      </w:r>
      <w:r w:rsidR="00910039" w:rsidRPr="009F2D86">
        <w:t>(non-just-in-time) energ</w:t>
      </w:r>
      <w:r w:rsidR="00910039">
        <w:t>y sources.</w:t>
      </w:r>
    </w:p>
    <w:p w14:paraId="41E55118" w14:textId="42D7901F" w:rsidR="00910039" w:rsidRDefault="00910039" w:rsidP="00910039">
      <w:r>
        <w:t xml:space="preserve">The proposed long-term </w:t>
      </w:r>
      <w:r w:rsidRPr="00DF00D4">
        <w:t xml:space="preserve">energy-security </w:t>
      </w:r>
      <w:r>
        <w:t>solution</w:t>
      </w:r>
      <w:r w:rsidR="009F2D86">
        <w:t xml:space="preserve"> </w:t>
      </w:r>
      <w:r>
        <w:t xml:space="preserve">builds on the region’s competitive wholesale electricity </w:t>
      </w:r>
      <w:r w:rsidRPr="00F7096C">
        <w:t>structure.</w:t>
      </w:r>
      <w:r w:rsidRPr="00F7096C">
        <w:rPr>
          <w:rFonts w:eastAsia="Times New Roman"/>
          <w:vertAlign w:val="superscript"/>
        </w:rPr>
        <w:footnoteReference w:id="270"/>
      </w:r>
      <w:r w:rsidRPr="00F7096C">
        <w:rPr>
          <w:rFonts w:eastAsia="Times New Roman"/>
        </w:rPr>
        <w:t xml:space="preserve"> </w:t>
      </w:r>
      <w:r w:rsidRPr="00F7096C">
        <w:t>Th</w:t>
      </w:r>
      <w:r w:rsidR="00F7096C" w:rsidRPr="00F7096C">
        <w:t xml:space="preserve">e ISO is considering the following market initiatives </w:t>
      </w:r>
      <w:r w:rsidRPr="00F7096C">
        <w:t>to help achieve the aforementioned</w:t>
      </w:r>
      <w:r>
        <w:t xml:space="preserve"> objectives:</w:t>
      </w:r>
    </w:p>
    <w:p w14:paraId="1564EA6D" w14:textId="77777777" w:rsidR="00910039" w:rsidRDefault="00910039" w:rsidP="00910039">
      <w:pPr>
        <w:pStyle w:val="ListParagraph"/>
        <w:numPr>
          <w:ilvl w:val="0"/>
          <w:numId w:val="762"/>
        </w:numPr>
      </w:pPr>
      <w:r>
        <w:t>Multi-day</w:t>
      </w:r>
      <w:r w:rsidR="009C233B">
        <w:t>-</w:t>
      </w:r>
      <w:r>
        <w:t>ahead market: Expand the current one-day-ahead market into a multi-day</w:t>
      </w:r>
      <w:r w:rsidR="009C233B">
        <w:t>-</w:t>
      </w:r>
      <w:r>
        <w:t xml:space="preserve">ahead market, optimizing energy (including stored fuel energy) over a multiday timeframe and producing multiday clearing prices for market participants’ energy obligations. </w:t>
      </w:r>
    </w:p>
    <w:p w14:paraId="5B820FDE" w14:textId="77777777" w:rsidR="00910039" w:rsidRDefault="00910039" w:rsidP="00910039">
      <w:pPr>
        <w:pStyle w:val="ListParagraph"/>
        <w:numPr>
          <w:ilvl w:val="0"/>
          <w:numId w:val="762"/>
        </w:numPr>
      </w:pPr>
      <w:r>
        <w:t xml:space="preserve">New ancillary services in the day-ahead market: Create several new, voluntary ancillary services in the day-ahead market that provide, and compensate for, the flexibility of energy </w:t>
      </w:r>
      <w:r w:rsidR="0071757C">
        <w:t>“</w:t>
      </w:r>
      <w:r>
        <w:t>on demand</w:t>
      </w:r>
      <w:r w:rsidR="0071757C">
        <w:t>”</w:t>
      </w:r>
      <w:r>
        <w:t xml:space="preserve"> to manage uncertainties each operating day. </w:t>
      </w:r>
    </w:p>
    <w:p w14:paraId="27A7A14D" w14:textId="77777777" w:rsidR="00910039" w:rsidRDefault="00910039" w:rsidP="00EB5207">
      <w:pPr>
        <w:pStyle w:val="ListParagraph"/>
        <w:numPr>
          <w:ilvl w:val="0"/>
          <w:numId w:val="762"/>
        </w:numPr>
        <w:spacing w:after="240"/>
      </w:pPr>
      <w:r>
        <w:t>Seasonal forward market: Conduct a voluntary, competitive forward auction that provides asset owners with the incentive</w:t>
      </w:r>
      <w:r w:rsidR="009C233B">
        <w:t>—</w:t>
      </w:r>
      <w:r>
        <w:t>and necessary compensation</w:t>
      </w:r>
      <w:r w:rsidR="009C233B">
        <w:t>—</w:t>
      </w:r>
      <w:r>
        <w:t xml:space="preserve">to invest in supplemental supply arrangements for the coming winter. </w:t>
      </w:r>
    </w:p>
    <w:p w14:paraId="64E3BECB" w14:textId="39D548E8" w:rsidR="00B941F1" w:rsidRPr="004C52AB" w:rsidRDefault="00910039" w:rsidP="00910039">
      <w:r>
        <w:t xml:space="preserve">These new markets </w:t>
      </w:r>
      <w:r w:rsidR="00F7096C">
        <w:t>could</w:t>
      </w:r>
      <w:r>
        <w:t xml:space="preserve"> help signal, through transparent market prices, the costs of operating a reliable power system as the profile of resources comprising the New England fleet continues to evolve. </w:t>
      </w:r>
      <w:r w:rsidR="00857E93">
        <w:t xml:space="preserve">The ISO expects to submit a FERC </w:t>
      </w:r>
      <w:r w:rsidR="00E2185A" w:rsidRPr="00F63125">
        <w:t>filing by O</w:t>
      </w:r>
      <w:r w:rsidR="00E2185A" w:rsidRPr="00E2185A">
        <w:t>ctober 15, 2019, outlining the long-term market enhancements.</w:t>
      </w:r>
      <w:r w:rsidR="00B941F1" w:rsidRPr="004C52AB">
        <w:rPr>
          <w:rFonts w:eastAsia="Times New Roman"/>
          <w:vertAlign w:val="superscript"/>
        </w:rPr>
        <w:t xml:space="preserve"> </w:t>
      </w:r>
    </w:p>
    <w:p w14:paraId="101B57F4" w14:textId="77777777" w:rsidR="00E2185A" w:rsidRPr="00E2185A" w:rsidRDefault="00E2185A" w:rsidP="00FE27FE">
      <w:pPr>
        <w:pStyle w:val="Heading2"/>
        <w:rPr>
          <w:rFonts w:eastAsia="Times New Roman"/>
        </w:rPr>
      </w:pPr>
      <w:bookmarkStart w:id="861" w:name="_Toc429063450"/>
      <w:bookmarkStart w:id="862" w:name="_Toc7524688"/>
      <w:bookmarkStart w:id="863" w:name="_Toc12795229"/>
      <w:bookmarkEnd w:id="840"/>
      <w:bookmarkEnd w:id="841"/>
      <w:bookmarkEnd w:id="842"/>
      <w:r w:rsidRPr="00E2185A">
        <w:rPr>
          <w:rFonts w:eastAsia="Times New Roman"/>
        </w:rPr>
        <w:t>Summary</w:t>
      </w:r>
      <w:bookmarkEnd w:id="861"/>
      <w:bookmarkEnd w:id="862"/>
      <w:bookmarkEnd w:id="863"/>
      <w:r w:rsidRPr="00E2185A">
        <w:rPr>
          <w:rFonts w:eastAsia="Times New Roman"/>
        </w:rPr>
        <w:t xml:space="preserve"> </w:t>
      </w:r>
    </w:p>
    <w:p w14:paraId="0409D5D4" w14:textId="23A3F584" w:rsidR="00E2185A" w:rsidRPr="00E2185A" w:rsidRDefault="00E2185A" w:rsidP="00E2185A">
      <w:r w:rsidRPr="00E2185A">
        <w:t xml:space="preserve">Risks to current and future power system reliability hinges on the availability of fuel to New England </w:t>
      </w:r>
      <w:r w:rsidRPr="007C7C94">
        <w:t>generators so that they can provide the electric energy needed for meeting system demand. The</w:t>
      </w:r>
      <w:r w:rsidRPr="00E2185A">
        <w:t xml:space="preserve"> operational challenges experienced during recent cold spells highlight the need for the ISO to manage energy-production limitations. During extremely cold weather, regional gas-fired power plants’ lack of firm fuel contracts limits the operational availability of these generators. Inclement weather can also hamper oil and LNG deliveries to the region. The inability of natural gas pipelines to serve coincidental gas and electric sector demands results in the need for replacement </w:t>
      </w:r>
      <w:r w:rsidR="003D0B04">
        <w:t>resources</w:t>
      </w:r>
      <w:r w:rsidRPr="00E2185A">
        <w:t xml:space="preserve">. </w:t>
      </w:r>
    </w:p>
    <w:p w14:paraId="085CE39C" w14:textId="023234CE" w:rsidR="00E2185A" w:rsidRPr="00EB5207" w:rsidRDefault="00E2185A" w:rsidP="00E2185A">
      <w:r w:rsidRPr="00E2185A">
        <w:t xml:space="preserve">Expanding the region’s </w:t>
      </w:r>
      <w:r w:rsidR="0054408E">
        <w:t>fuel</w:t>
      </w:r>
      <w:r w:rsidRPr="00E2185A">
        <w:t xml:space="preserve"> infrastructure would benefit New England, but major improvements are not currently planned. </w:t>
      </w:r>
      <w:r w:rsidRPr="00E2185A" w:rsidDel="003F50C6">
        <w:t xml:space="preserve">Siting new gas pipelines in New England can be a long and difficult process and </w:t>
      </w:r>
      <w:r w:rsidRPr="00EB5207" w:rsidDel="003F50C6">
        <w:t xml:space="preserve">will not address short-term needs. </w:t>
      </w:r>
      <w:r w:rsidRPr="00D10561">
        <w:t xml:space="preserve">Siting and permitting flexible dual-fuel generators also remains </w:t>
      </w:r>
      <w:r w:rsidRPr="00EB5207">
        <w:t xml:space="preserve">challenging. </w:t>
      </w:r>
    </w:p>
    <w:p w14:paraId="6E9496FC" w14:textId="7E79947A" w:rsidR="00E2185A" w:rsidRPr="00E2185A" w:rsidRDefault="00BC3CBC" w:rsidP="00E2185A">
      <w:r w:rsidRPr="00EB5207">
        <w:t>Variable</w:t>
      </w:r>
      <w:r w:rsidR="00E2185A" w:rsidRPr="00EB5207">
        <w:t xml:space="preserve"> gene</w:t>
      </w:r>
      <w:r w:rsidR="00E2185A" w:rsidRPr="00BC3CBC">
        <w:t>ration from renewable resources complicates both fuel-availability and</w:t>
      </w:r>
      <w:r w:rsidR="00E2185A" w:rsidRPr="00E2185A">
        <w:t xml:space="preserve"> energy-security concerns. Renewable generators </w:t>
      </w:r>
      <w:r w:rsidR="00C3733B">
        <w:t xml:space="preserve">generally </w:t>
      </w:r>
      <w:r w:rsidR="00E2185A" w:rsidRPr="00E2185A">
        <w:t xml:space="preserve">can help </w:t>
      </w:r>
      <w:r w:rsidR="00C3733B">
        <w:t xml:space="preserve">supply </w:t>
      </w:r>
      <w:r w:rsidR="00E2185A" w:rsidRPr="00E2185A">
        <w:t xml:space="preserve">the demand for energy and </w:t>
      </w:r>
      <w:r w:rsidR="00C3733B">
        <w:t xml:space="preserve">displace </w:t>
      </w:r>
      <w:r w:rsidR="00E2185A" w:rsidRPr="00E2185A">
        <w:t xml:space="preserve">the traditional fuels that have been generating it, but the output of wind and solar facilities depends on the weather and time of day. For example, solar panels can reduce the consumption of natural gas and oil during sunny winter days, so more oil and gas are available later to generate electricity to meet the daily winter peak demand. </w:t>
      </w:r>
      <w:r w:rsidR="00E2185A" w:rsidRPr="00110B89">
        <w:t>Solar energy cannot help directly with the winter peak, however.</w:t>
      </w:r>
      <w:r w:rsidR="00CE6F2A" w:rsidRPr="00110B89">
        <w:t xml:space="preserve"> Similarly, wind </w:t>
      </w:r>
      <w:r w:rsidR="00CE6F2A" w:rsidRPr="00110B89">
        <w:lastRenderedPageBreak/>
        <w:t xml:space="preserve">generation can reduce </w:t>
      </w:r>
      <w:r w:rsidR="00110B89" w:rsidRPr="00110B89">
        <w:t xml:space="preserve">consumption of fossil fuels </w:t>
      </w:r>
      <w:r w:rsidR="00CE6F2A" w:rsidRPr="00110B89">
        <w:t xml:space="preserve">but can reduce to </w:t>
      </w:r>
      <w:r w:rsidR="00110B89" w:rsidRPr="00110B89">
        <w:t>0</w:t>
      </w:r>
      <w:r w:rsidR="00CE6F2A" w:rsidRPr="00110B89">
        <w:t xml:space="preserve"> MW outputs</w:t>
      </w:r>
      <w:r w:rsidR="00F300A2">
        <w:t xml:space="preserve"> </w:t>
      </w:r>
      <w:r w:rsidR="00CE6F2A" w:rsidRPr="00110B89">
        <w:t xml:space="preserve">during extraordinarily low </w:t>
      </w:r>
      <w:r w:rsidR="00F300A2">
        <w:t xml:space="preserve">or high </w:t>
      </w:r>
      <w:r w:rsidR="00CE6F2A" w:rsidRPr="00110B89">
        <w:t xml:space="preserve">wind conditions. </w:t>
      </w:r>
    </w:p>
    <w:p w14:paraId="55712E0B" w14:textId="77777777" w:rsidR="00E2185A" w:rsidRPr="00E2185A" w:rsidRDefault="00E2185A" w:rsidP="00E2185A">
      <w:r w:rsidRPr="00E2185A">
        <w:t xml:space="preserve">The ISO has implemented near-term market and operational changes to address energy-security risks, and it continues discussions with stakeholders on </w:t>
      </w:r>
      <w:r w:rsidRPr="00B378D4">
        <w:t>long-term market solutions. Some of these improvements</w:t>
      </w:r>
      <w:r w:rsidRPr="00E2185A">
        <w:t xml:space="preserve"> are as follows: </w:t>
      </w:r>
    </w:p>
    <w:p w14:paraId="7200366F" w14:textId="77777777" w:rsidR="00E2185A" w:rsidRPr="00E2185A" w:rsidRDefault="00E2185A" w:rsidP="00E2185A">
      <w:pPr>
        <w:numPr>
          <w:ilvl w:val="0"/>
          <w:numId w:val="714"/>
        </w:numPr>
        <w:spacing w:after="120"/>
        <w:rPr>
          <w:rFonts w:eastAsia="Times New Roman"/>
          <w:szCs w:val="24"/>
        </w:rPr>
      </w:pPr>
      <w:r w:rsidRPr="00E2185A">
        <w:rPr>
          <w:rFonts w:eastAsia="Times New Roman"/>
          <w:szCs w:val="24"/>
        </w:rPr>
        <w:t>Enhancing Operating Procedure No. 21, which developed new situational awareness and forecasting tools for system operators to confirm fuel availability for natural-gas-fired generators</w:t>
      </w:r>
    </w:p>
    <w:p w14:paraId="0D352362" w14:textId="77777777" w:rsidR="00E2185A" w:rsidRPr="00E2185A" w:rsidRDefault="00E2185A" w:rsidP="00E2185A">
      <w:pPr>
        <w:numPr>
          <w:ilvl w:val="0"/>
          <w:numId w:val="714"/>
        </w:numPr>
        <w:spacing w:after="120"/>
        <w:rPr>
          <w:rFonts w:eastAsia="Times New Roman"/>
          <w:szCs w:val="24"/>
        </w:rPr>
      </w:pPr>
      <w:r w:rsidRPr="00E2185A">
        <w:rPr>
          <w:rFonts w:eastAsia="Times New Roman"/>
          <w:szCs w:val="24"/>
        </w:rPr>
        <w:t>I</w:t>
      </w:r>
      <w:r w:rsidR="00910039">
        <w:rPr>
          <w:rFonts w:eastAsia="Times New Roman"/>
          <w:szCs w:val="24"/>
        </w:rPr>
        <w:t>ncreas</w:t>
      </w:r>
      <w:r w:rsidR="00600304">
        <w:rPr>
          <w:rFonts w:eastAsia="Times New Roman"/>
          <w:szCs w:val="24"/>
        </w:rPr>
        <w:t>ing</w:t>
      </w:r>
      <w:r w:rsidR="00910039">
        <w:rPr>
          <w:rFonts w:eastAsia="Times New Roman"/>
          <w:szCs w:val="24"/>
        </w:rPr>
        <w:t xml:space="preserve"> awareness through i</w:t>
      </w:r>
      <w:r w:rsidR="00901CA4">
        <w:rPr>
          <w:rFonts w:eastAsia="Times New Roman"/>
          <w:szCs w:val="24"/>
        </w:rPr>
        <w:t>m</w:t>
      </w:r>
      <w:r w:rsidRPr="00E2185A">
        <w:rPr>
          <w:rFonts w:eastAsia="Times New Roman"/>
          <w:szCs w:val="24"/>
        </w:rPr>
        <w:t>prov</w:t>
      </w:r>
      <w:r w:rsidR="00910039">
        <w:rPr>
          <w:rFonts w:eastAsia="Times New Roman"/>
          <w:szCs w:val="24"/>
        </w:rPr>
        <w:t>ed</w:t>
      </w:r>
      <w:r w:rsidRPr="00E2185A">
        <w:rPr>
          <w:rFonts w:eastAsia="Times New Roman"/>
          <w:szCs w:val="24"/>
        </w:rPr>
        <w:t xml:space="preserve"> communication and coordination with interstate pipeline operators</w:t>
      </w:r>
    </w:p>
    <w:p w14:paraId="4A9B1F2C" w14:textId="77777777" w:rsidR="00E2185A" w:rsidRPr="00E2185A" w:rsidRDefault="00E2185A" w:rsidP="00E2185A">
      <w:pPr>
        <w:numPr>
          <w:ilvl w:val="0"/>
          <w:numId w:val="714"/>
        </w:numPr>
        <w:spacing w:after="120"/>
        <w:rPr>
          <w:rFonts w:eastAsia="Times New Roman"/>
          <w:szCs w:val="24"/>
        </w:rPr>
      </w:pPr>
      <w:r w:rsidRPr="00E2185A">
        <w:rPr>
          <w:rFonts w:eastAsia="Times New Roman"/>
          <w:szCs w:val="24"/>
        </w:rPr>
        <w:t xml:space="preserve">Introducing </w:t>
      </w:r>
      <w:r w:rsidRPr="00851352">
        <w:rPr>
          <w:rFonts w:eastAsia="Times New Roman"/>
          <w:szCs w:val="24"/>
        </w:rPr>
        <w:t>a</w:t>
      </w:r>
      <w:r w:rsidRPr="00EB5207">
        <w:rPr>
          <w:rFonts w:eastAsia="Times New Roman"/>
          <w:szCs w:val="24"/>
        </w:rPr>
        <w:t>n energy-</w:t>
      </w:r>
      <w:r w:rsidRPr="00851352">
        <w:rPr>
          <w:rFonts w:eastAsia="Times New Roman"/>
          <w:szCs w:val="24"/>
        </w:rPr>
        <w:t>sec</w:t>
      </w:r>
      <w:r w:rsidRPr="00E2185A">
        <w:rPr>
          <w:rFonts w:eastAsia="Times New Roman"/>
          <w:szCs w:val="24"/>
        </w:rPr>
        <w:t xml:space="preserve">urity reliability review methodology into the Forward Capacity Market </w:t>
      </w:r>
      <w:r w:rsidR="00910039">
        <w:rPr>
          <w:rFonts w:eastAsia="Times New Roman"/>
          <w:szCs w:val="24"/>
        </w:rPr>
        <w:t>to address short-term needs</w:t>
      </w:r>
    </w:p>
    <w:p w14:paraId="3C07BA25" w14:textId="3E84FD29" w:rsidR="00E2185A" w:rsidRPr="00E2185A" w:rsidRDefault="00E2185A" w:rsidP="00E2185A">
      <w:r w:rsidRPr="00E2185A">
        <w:t>Energy</w:t>
      </w:r>
      <w:r w:rsidR="003409DD">
        <w:t xml:space="preserve"> </w:t>
      </w:r>
      <w:r w:rsidRPr="00E2185A">
        <w:t>security could be further improved in a number of ways:</w:t>
      </w:r>
    </w:p>
    <w:p w14:paraId="0F7CEB25" w14:textId="77777777" w:rsidR="00E2185A" w:rsidRPr="00E2185A" w:rsidRDefault="00E2185A" w:rsidP="00E2185A">
      <w:pPr>
        <w:numPr>
          <w:ilvl w:val="0"/>
          <w:numId w:val="590"/>
        </w:numPr>
        <w:spacing w:after="120"/>
      </w:pPr>
      <w:r w:rsidRPr="00E2185A">
        <w:t xml:space="preserve">Firm contracts between power generators and natural gas pipelines would support the building of new natural gas pipeline capacity. </w:t>
      </w:r>
    </w:p>
    <w:p w14:paraId="4655ABC7" w14:textId="77777777" w:rsidR="00E2185A" w:rsidRPr="00E2185A" w:rsidRDefault="00E2185A" w:rsidP="00E2185A">
      <w:pPr>
        <w:numPr>
          <w:ilvl w:val="0"/>
          <w:numId w:val="590"/>
        </w:numPr>
        <w:spacing w:after="120"/>
      </w:pPr>
      <w:r w:rsidRPr="00E2185A">
        <w:t>Firm contracts with natural gas suppliers, including LNG operators, would improve the availability of natural gas for electric power generation.</w:t>
      </w:r>
    </w:p>
    <w:p w14:paraId="5FABDA1E" w14:textId="77777777" w:rsidR="00E2185A" w:rsidRPr="00E2185A" w:rsidRDefault="00E2185A" w:rsidP="00E2185A">
      <w:pPr>
        <w:numPr>
          <w:ilvl w:val="0"/>
          <w:numId w:val="590"/>
        </w:numPr>
        <w:spacing w:after="120"/>
      </w:pPr>
      <w:r w:rsidRPr="00E2185A">
        <w:t>The use of existing and new dual-fuel capability at generators would provide alternative supplies of fuel when natural gas supplies are limited.</w:t>
      </w:r>
    </w:p>
    <w:p w14:paraId="5EDB8F28" w14:textId="77777777" w:rsidR="00E2185A" w:rsidRPr="00E2185A" w:rsidRDefault="00E2185A" w:rsidP="00910039">
      <w:pPr>
        <w:numPr>
          <w:ilvl w:val="0"/>
          <w:numId w:val="590"/>
        </w:numPr>
      </w:pPr>
      <w:r w:rsidRPr="00E2185A">
        <w:t xml:space="preserve">Adequate on-site storage and replenishment of liquid fuels would increase generation reliability at dual-fuel power plants. </w:t>
      </w:r>
    </w:p>
    <w:bookmarkEnd w:id="802"/>
    <w:p w14:paraId="280FDEB4" w14:textId="77777777" w:rsidR="00D97E2B" w:rsidRDefault="00E2185A" w:rsidP="00E2185A">
      <w:pPr>
        <w:sectPr w:rsidR="00D97E2B" w:rsidSect="00806C40">
          <w:pgSz w:w="12240" w:h="15840"/>
          <w:pgMar w:top="1440" w:right="1440" w:bottom="1440" w:left="1800" w:header="720" w:footer="720" w:gutter="0"/>
          <w:cols w:space="720"/>
          <w:docGrid w:linePitch="360"/>
        </w:sectPr>
      </w:pPr>
      <w:r w:rsidRPr="00E2185A">
        <w:t>The ISO will continue to work with stakeholders, regulators, and policymakers to determine whether further operational or market design measures will be needed to address the existing and future energy-security risks.</w:t>
      </w:r>
    </w:p>
    <w:p w14:paraId="03DF6BD2" w14:textId="77777777" w:rsidR="00D97E2B" w:rsidRPr="00D97E2B" w:rsidRDefault="00D97E2B" w:rsidP="00D97E2B">
      <w:pPr>
        <w:pStyle w:val="Heading1"/>
      </w:pPr>
      <w:bookmarkStart w:id="864" w:name="_Ref388962881"/>
      <w:bookmarkStart w:id="865" w:name="_Ref390423179"/>
      <w:bookmarkStart w:id="866" w:name="_Ref390424093"/>
      <w:bookmarkStart w:id="867" w:name="_Toc396807662"/>
      <w:bookmarkStart w:id="868" w:name="_Ref388713428"/>
      <w:r w:rsidRPr="00D97E2B">
        <w:lastRenderedPageBreak/>
        <w:br/>
      </w:r>
      <w:bookmarkStart w:id="869" w:name="_Ref418883784"/>
      <w:bookmarkStart w:id="870" w:name="_Toc429063451"/>
      <w:bookmarkStart w:id="871" w:name="_Toc490323082"/>
      <w:bookmarkStart w:id="872" w:name="_Toc12795230"/>
      <w:r w:rsidRPr="00D97E2B">
        <w:t>Environmental Regulations and Goals</w:t>
      </w:r>
      <w:r w:rsidRPr="00D97E2B">
        <w:br/>
        <w:t>Affecting the Power System</w:t>
      </w:r>
      <w:bookmarkEnd w:id="864"/>
      <w:bookmarkEnd w:id="865"/>
      <w:bookmarkEnd w:id="866"/>
      <w:bookmarkEnd w:id="867"/>
      <w:bookmarkEnd w:id="868"/>
      <w:bookmarkEnd w:id="869"/>
      <w:bookmarkEnd w:id="870"/>
      <w:bookmarkEnd w:id="871"/>
      <w:bookmarkEnd w:id="872"/>
    </w:p>
    <w:p w14:paraId="2D381542" w14:textId="2361AE2E" w:rsidR="00D97E2B" w:rsidRPr="00D97E2B" w:rsidRDefault="00D97E2B" w:rsidP="00D97E2B">
      <w:r w:rsidRPr="00D97E2B">
        <w:t>Various elements of the p</w:t>
      </w:r>
      <w:r w:rsidRPr="007A7B85">
        <w:t>ower system are subject to federal</w:t>
      </w:r>
      <w:r w:rsidRPr="00867BD9">
        <w:t xml:space="preserve"> and state environmental laws</w:t>
      </w:r>
      <w:r w:rsidR="00E12F68" w:rsidRPr="00867BD9">
        <w:t xml:space="preserve"> </w:t>
      </w:r>
      <w:r w:rsidRPr="00867BD9">
        <w:t xml:space="preserve">and regulations </w:t>
      </w:r>
      <w:r w:rsidR="00E12F68" w:rsidRPr="00867BD9">
        <w:t xml:space="preserve">and multistate initiatives for </w:t>
      </w:r>
      <w:r w:rsidRPr="00867BD9">
        <w:t xml:space="preserve">controlling pollution, emissions, or discharges </w:t>
      </w:r>
      <w:r w:rsidR="00E12F68" w:rsidRPr="00867BD9">
        <w:t>and</w:t>
      </w:r>
      <w:r w:rsidRPr="00867BD9">
        <w:t xml:space="preserve"> protecting human health and the environment. The New England states also have targets for the development of low- or zero-emitting resources.</w:t>
      </w:r>
      <w:r w:rsidRPr="00D97E2B">
        <w:t xml:space="preserve"> </w:t>
      </w:r>
    </w:p>
    <w:p w14:paraId="5B9440C5" w14:textId="77777777" w:rsidR="00D97E2B" w:rsidRPr="00D97E2B" w:rsidRDefault="00D97E2B" w:rsidP="00D97E2B">
      <w:r w:rsidRPr="00D97E2B">
        <w:t xml:space="preserve">Siting and environmental permitting requirements for new </w:t>
      </w:r>
      <w:r w:rsidR="008B55BC">
        <w:t>and</w:t>
      </w:r>
      <w:r w:rsidRPr="00D97E2B">
        <w:t xml:space="preserve"> existing generation are often complex and may involve multiple federal and state regulatory entities, all of which could result in proposed project modifications to meet compliance; delays in the planning, development or implementation of a project; or project cancelation. Compliance with environmental requirements may involve major capital investments for new projects, remediation measures, or operation changes at existing facilities. Generator owners </w:t>
      </w:r>
      <w:r w:rsidRPr="00F300A2">
        <w:t>and load-serving entit</w:t>
      </w:r>
      <w:r w:rsidRPr="009A0829">
        <w:t>ies</w:t>
      </w:r>
      <w:r w:rsidRPr="00DD0521">
        <w:t xml:space="preserve"> </w:t>
      </w:r>
      <w:r w:rsidR="009A0829">
        <w:t xml:space="preserve">(LSEs) </w:t>
      </w:r>
      <w:r w:rsidRPr="00DD0521">
        <w:t>must weigh potential capital and operating costs, including those for environmen</w:t>
      </w:r>
      <w:r w:rsidRPr="00D97E2B">
        <w:t>tal compliance, against potential revenues. The results of these analyses influence their business plans, which can include the retirement of generating units.</w:t>
      </w:r>
    </w:p>
    <w:p w14:paraId="61859D75" w14:textId="69788060" w:rsidR="00D97E2B" w:rsidRPr="008C4D6B" w:rsidRDefault="00D97E2B" w:rsidP="00D97E2B">
      <w:r w:rsidRPr="00D97E2B">
        <w:t xml:space="preserve">System reliability could suffer if the aggregate effect and timing of all such </w:t>
      </w:r>
      <w:r w:rsidRPr="00F300A2">
        <w:t>compliance efforts</w:t>
      </w:r>
      <w:r w:rsidRPr="00DD0521">
        <w:t xml:space="preserve"> limit generator energy production, reduce capacity output, or contribute to unit retirements. However, to date, most national</w:t>
      </w:r>
      <w:r w:rsidR="00C31C75">
        <w:t xml:space="preserve"> </w:t>
      </w:r>
      <w:r w:rsidRPr="00DD0521">
        <w:t xml:space="preserve">and state regulators have provided compliance options in several recent rulemakings and permitting decisions, recognizing the reliability value that low-capacity fossil </w:t>
      </w:r>
      <w:r w:rsidRPr="008C4D6B">
        <w:t xml:space="preserve">steam generators </w:t>
      </w:r>
      <w:r w:rsidRPr="008C4D6B">
        <w:rPr>
          <w:rFonts w:cs="Arial"/>
        </w:rPr>
        <w:t xml:space="preserve">(primarily oil-fired units) </w:t>
      </w:r>
      <w:r w:rsidRPr="008C4D6B">
        <w:t>provide in maintaining energy secur</w:t>
      </w:r>
      <w:r w:rsidRPr="004513EC">
        <w:t xml:space="preserve">ity (see Section </w:t>
      </w:r>
      <w:r w:rsidR="00BD06A9" w:rsidRPr="004513EC">
        <w:fldChar w:fldCharType="begin"/>
      </w:r>
      <w:r w:rsidR="00BD06A9" w:rsidRPr="004513EC">
        <w:instrText xml:space="preserve"> REF _Ref12022526 \r \h  \* MERGEFORMAT </w:instrText>
      </w:r>
      <w:r w:rsidR="00BD06A9" w:rsidRPr="004513EC">
        <w:fldChar w:fldCharType="separate"/>
      </w:r>
      <w:r w:rsidR="005D0B73">
        <w:t>7.2</w:t>
      </w:r>
      <w:r w:rsidR="00BD06A9" w:rsidRPr="004513EC">
        <w:fldChar w:fldCharType="end"/>
      </w:r>
      <w:r w:rsidRPr="004513EC">
        <w:t>).</w:t>
      </w:r>
      <w:r w:rsidRPr="008C4D6B">
        <w:t xml:space="preserve"> </w:t>
      </w:r>
    </w:p>
    <w:p w14:paraId="5DF66DD0" w14:textId="4955D902" w:rsidR="00D97E2B" w:rsidRPr="00D97E2B" w:rsidRDefault="00D97E2B" w:rsidP="00D97E2B">
      <w:r w:rsidRPr="008C4D6B">
        <w:t>This section summarizes environmental regulations affecting generators, governmental efforts to promote the development of renewable resources, and the relicensing timelines for hydroelectric generators and nuclear units. The section also discusses regional air emissions and water</w:t>
      </w:r>
      <w:r w:rsidR="00BD06A9">
        <w:t>-</w:t>
      </w:r>
      <w:r w:rsidRPr="008C4D6B">
        <w:t xml:space="preserve">usage trends resulting from recent </w:t>
      </w:r>
      <w:r w:rsidR="008C4D6B" w:rsidRPr="008C4D6B">
        <w:t>environmental requirements</w:t>
      </w:r>
      <w:r w:rsidRPr="008C4D6B">
        <w:t xml:space="preserve">. </w:t>
      </w:r>
      <w:bookmarkStart w:id="873" w:name="_Ref419108817"/>
      <w:bookmarkStart w:id="874" w:name="_Toc429063452"/>
      <w:bookmarkStart w:id="875" w:name="_Toc490323083"/>
      <w:r w:rsidRPr="008C4D6B">
        <w:t>Note that issues associated with interconnecting inverter-based</w:t>
      </w:r>
      <w:r w:rsidR="008C4D6B">
        <w:t xml:space="preserve"> </w:t>
      </w:r>
      <w:r w:rsidR="00DB0A4A" w:rsidRPr="008C4D6B">
        <w:t>technologies</w:t>
      </w:r>
      <w:r w:rsidRPr="008C4D6B">
        <w:t xml:space="preserve"> are discussed in </w:t>
      </w:r>
      <w:r w:rsidR="008C4D6B" w:rsidRPr="008C4D6B">
        <w:fldChar w:fldCharType="begin"/>
      </w:r>
      <w:r w:rsidR="008C4D6B" w:rsidRPr="008C4D6B">
        <w:instrText xml:space="preserve"> REF _Ref10823100 \n \h </w:instrText>
      </w:r>
      <w:r w:rsidR="008C4D6B">
        <w:instrText xml:space="preserve"> \* MERGEFORMAT </w:instrText>
      </w:r>
      <w:r w:rsidR="008C4D6B" w:rsidRPr="008C4D6B">
        <w:fldChar w:fldCharType="separate"/>
      </w:r>
      <w:r w:rsidR="005D0B73">
        <w:t>Section 9</w:t>
      </w:r>
      <w:r w:rsidR="008C4D6B" w:rsidRPr="008C4D6B">
        <w:fldChar w:fldCharType="end"/>
      </w:r>
      <w:r w:rsidRPr="008C4D6B">
        <w:t>.</w:t>
      </w:r>
    </w:p>
    <w:p w14:paraId="51DFBC5F" w14:textId="77777777" w:rsidR="00D97E2B" w:rsidRPr="00D97E2B" w:rsidRDefault="00D97E2B" w:rsidP="0003567C">
      <w:pPr>
        <w:pStyle w:val="Heading2"/>
        <w:rPr>
          <w:rFonts w:eastAsia="Times New Roman"/>
        </w:rPr>
      </w:pPr>
      <w:bookmarkStart w:id="876" w:name="_Ref12111111"/>
      <w:bookmarkStart w:id="877" w:name="_Toc12795231"/>
      <w:r w:rsidRPr="00D97E2B">
        <w:rPr>
          <w:rFonts w:eastAsia="Times New Roman"/>
        </w:rPr>
        <w:t>Federal Environmental Regulations Affecting Generators</w:t>
      </w:r>
      <w:bookmarkEnd w:id="873"/>
      <w:bookmarkEnd w:id="874"/>
      <w:bookmarkEnd w:id="875"/>
      <w:bookmarkEnd w:id="876"/>
      <w:bookmarkEnd w:id="877"/>
    </w:p>
    <w:p w14:paraId="0F4A735D" w14:textId="77777777" w:rsidR="00D97E2B" w:rsidRPr="00D97E2B" w:rsidRDefault="00D97E2B" w:rsidP="00D97E2B">
      <w:pPr>
        <w:tabs>
          <w:tab w:val="left" w:pos="612"/>
        </w:tabs>
      </w:pPr>
      <w:r w:rsidRPr="00D97E2B">
        <w:t>Compliance obligations for generators from existing and pending federal environmental requirements differ by resource age, economics, location, fuel type, and available pollution control technologies. In the region, existing and new fossil-fired generators (coal, oil, and natural gas) generally operate advanced pollution control technologies that reduce air emissions and wastewater discharges. Changes in applicable air, water, wildlife protection, and greenhouse gas emission standards, including those for carbon dioxide (CO</w:t>
      </w:r>
      <w:r w:rsidRPr="00D97E2B">
        <w:rPr>
          <w:vertAlign w:val="subscript"/>
        </w:rPr>
        <w:t>2</w:t>
      </w:r>
      <w:r w:rsidRPr="00D97E2B">
        <w:t>), however, could affect the economic performance of nuclear and fossil-fired generators by imposing seasonal or year-round operational constraints or result in additional capital costs for installing environmental remediation measures. Renewable generators (hydro, wind, solar) may experience operational constraints due to changing wildlife and water quality protection requirements.</w:t>
      </w:r>
    </w:p>
    <w:p w14:paraId="36386B03" w14:textId="77777777" w:rsidR="00D97E2B" w:rsidRPr="00D97E2B" w:rsidRDefault="00D97E2B" w:rsidP="00D97E2B">
      <w:r w:rsidRPr="00D97E2B">
        <w:t xml:space="preserve">Certain federal environmental requirements and compliance options are highly uncertain at present. Significant programmatic and budgetary changes at various federal departments and agencies with environmental oversight responsibilities affecting the power sector are under consideration or </w:t>
      </w:r>
      <w:r w:rsidRPr="00D97E2B">
        <w:lastRenderedPageBreak/>
        <w:t>implementation at present.</w:t>
      </w:r>
      <w:r w:rsidRPr="00D97E2B">
        <w:rPr>
          <w:vertAlign w:val="superscript"/>
        </w:rPr>
        <w:footnoteReference w:id="271"/>
      </w:r>
      <w:r w:rsidRPr="00D97E2B">
        <w:t xml:space="preserve"> Several changes impose stronger environmental compliance requirements, while others allow for fewer restrictions or greater flexibility in meeting requirements.</w:t>
      </w:r>
      <w:r w:rsidRPr="00D97E2B" w:rsidDel="00F63ACA">
        <w:t xml:space="preserve"> </w:t>
      </w:r>
      <w:r w:rsidRPr="00D97E2B">
        <w:t>Pursuant to various executive orders and legislation, EPA is reconsidering several major air and water quality rules in the following areas that affect various classes of existing and new generators:</w:t>
      </w:r>
      <w:r w:rsidRPr="00D97E2B">
        <w:rPr>
          <w:rFonts w:eastAsia="Times New Roman"/>
          <w:vertAlign w:val="superscript"/>
        </w:rPr>
        <w:footnoteReference w:id="272"/>
      </w:r>
    </w:p>
    <w:p w14:paraId="2D6E1CB8" w14:textId="77777777" w:rsidR="00D97E2B" w:rsidRPr="00D97E2B" w:rsidRDefault="00D97E2B" w:rsidP="00D97E2B">
      <w:pPr>
        <w:numPr>
          <w:ilvl w:val="0"/>
          <w:numId w:val="75"/>
        </w:numPr>
        <w:spacing w:after="120"/>
        <w:rPr>
          <w:rFonts w:eastAsia="Times New Roman"/>
        </w:rPr>
      </w:pPr>
      <w:r w:rsidRPr="00D97E2B">
        <w:rPr>
          <w:rFonts w:eastAsia="Times New Roman"/>
        </w:rPr>
        <w:t>Surface water withdrawals (for cooling water use and consumption)</w:t>
      </w:r>
    </w:p>
    <w:p w14:paraId="74509562" w14:textId="77777777" w:rsidR="00D97E2B" w:rsidRPr="00D97E2B" w:rsidRDefault="00D97E2B" w:rsidP="00D97E2B">
      <w:pPr>
        <w:numPr>
          <w:ilvl w:val="0"/>
          <w:numId w:val="75"/>
        </w:numPr>
        <w:spacing w:after="120"/>
        <w:rPr>
          <w:rFonts w:eastAsia="Times New Roman"/>
        </w:rPr>
      </w:pPr>
      <w:r w:rsidRPr="00D97E2B">
        <w:rPr>
          <w:rFonts w:eastAsia="Times New Roman"/>
        </w:rPr>
        <w:t>Wastewater discharges into surface water</w:t>
      </w:r>
    </w:p>
    <w:p w14:paraId="527FC8F0" w14:textId="77777777" w:rsidR="00D97E2B" w:rsidRPr="00D97E2B" w:rsidRDefault="00D97E2B" w:rsidP="00D97E2B">
      <w:pPr>
        <w:numPr>
          <w:ilvl w:val="0"/>
          <w:numId w:val="75"/>
        </w:numPr>
        <w:spacing w:after="120"/>
        <w:rPr>
          <w:rFonts w:eastAsia="Times New Roman"/>
        </w:rPr>
      </w:pPr>
      <w:r w:rsidRPr="00D97E2B">
        <w:rPr>
          <w:rFonts w:eastAsia="Times New Roman"/>
        </w:rPr>
        <w:t>Mercury, acid gas, and other toxic air emissions</w:t>
      </w:r>
    </w:p>
    <w:p w14:paraId="0B4C6E3E" w14:textId="77777777" w:rsidR="00D97E2B" w:rsidRPr="00D97E2B" w:rsidRDefault="00D97E2B" w:rsidP="00D97E2B">
      <w:pPr>
        <w:numPr>
          <w:ilvl w:val="0"/>
          <w:numId w:val="75"/>
        </w:numPr>
        <w:spacing w:after="120"/>
        <w:rPr>
          <w:rFonts w:eastAsia="Times New Roman"/>
        </w:rPr>
      </w:pPr>
      <w:r w:rsidRPr="00D97E2B">
        <w:rPr>
          <w:rFonts w:eastAsia="Times New Roman"/>
        </w:rPr>
        <w:t>Ozone (O</w:t>
      </w:r>
      <w:r w:rsidRPr="00D97E2B">
        <w:rPr>
          <w:rFonts w:eastAsia="Times New Roman"/>
          <w:vertAlign w:val="subscript"/>
        </w:rPr>
        <w:t>3</w:t>
      </w:r>
      <w:r w:rsidRPr="00D97E2B">
        <w:rPr>
          <w:rFonts w:eastAsia="Times New Roman"/>
        </w:rPr>
        <w:t>) transport and fine particulate matter (PM</w:t>
      </w:r>
      <w:r w:rsidRPr="00D97E2B">
        <w:rPr>
          <w:rFonts w:eastAsia="Times New Roman"/>
          <w:vertAlign w:val="subscript"/>
        </w:rPr>
        <w:t>2.5</w:t>
      </w:r>
      <w:r w:rsidRPr="00D97E2B">
        <w:rPr>
          <w:rFonts w:eastAsia="Times New Roman"/>
        </w:rPr>
        <w:t>) and sulfur dioxide (SO</w:t>
      </w:r>
      <w:r w:rsidRPr="00D97E2B">
        <w:rPr>
          <w:rFonts w:eastAsia="Times New Roman"/>
          <w:vertAlign w:val="subscript"/>
        </w:rPr>
        <w:t>2</w:t>
      </w:r>
      <w:r w:rsidRPr="00D97E2B">
        <w:rPr>
          <w:rFonts w:eastAsia="Times New Roman"/>
        </w:rPr>
        <w:t xml:space="preserve">) emissions </w:t>
      </w:r>
    </w:p>
    <w:p w14:paraId="0E2DE5D7" w14:textId="77777777" w:rsidR="00D97E2B" w:rsidRPr="00D97E2B" w:rsidRDefault="00D97E2B" w:rsidP="00D97E2B">
      <w:pPr>
        <w:numPr>
          <w:ilvl w:val="0"/>
          <w:numId w:val="75"/>
        </w:numPr>
        <w:rPr>
          <w:rFonts w:eastAsia="Times New Roman"/>
        </w:rPr>
      </w:pPr>
      <w:r w:rsidRPr="00D97E2B">
        <w:rPr>
          <w:rFonts w:eastAsia="Times New Roman"/>
        </w:rPr>
        <w:t>Greenhouse gases (GHGs), especially CO</w:t>
      </w:r>
      <w:r w:rsidRPr="00D97E2B">
        <w:rPr>
          <w:rFonts w:eastAsia="Times New Roman"/>
          <w:vertAlign w:val="subscript"/>
        </w:rPr>
        <w:t>2</w:t>
      </w:r>
      <w:r w:rsidRPr="00D97E2B">
        <w:rPr>
          <w:rFonts w:eastAsia="Times New Roman"/>
        </w:rPr>
        <w:t xml:space="preserve"> emissions</w:t>
      </w:r>
    </w:p>
    <w:p w14:paraId="11D72E1E" w14:textId="77777777" w:rsidR="00D97E2B" w:rsidRPr="00D97E2B" w:rsidRDefault="00D97E2B" w:rsidP="00D97E2B">
      <w:pPr>
        <w:rPr>
          <w:rFonts w:ascii="Calibri" w:hAnsi="Calibri"/>
        </w:rPr>
      </w:pPr>
      <w:r w:rsidRPr="00D97E2B">
        <w:rPr>
          <w:rFonts w:eastAsia="Times New Roman"/>
        </w:rPr>
        <w:t>S</w:t>
      </w:r>
      <w:r w:rsidRPr="00D97E2B">
        <w:t>everal of these federal environmental regulations and policies affecting power generators have stalled or experienced setbacks due to litigation or procedural challenges. Until these matters are resolved, uncertainty and risks of delay for permitting and operations may impact new and existing generators and transmission facilities.</w:t>
      </w:r>
    </w:p>
    <w:p w14:paraId="0710F38B" w14:textId="77777777" w:rsidR="00D97E2B" w:rsidRPr="00D97E2B" w:rsidRDefault="00D97E2B" w:rsidP="0003567C">
      <w:pPr>
        <w:pStyle w:val="Heading3"/>
      </w:pPr>
      <w:bookmarkStart w:id="878" w:name="_Toc396807663"/>
      <w:bookmarkStart w:id="879" w:name="_Toc429063453"/>
      <w:bookmarkStart w:id="880" w:name="_Toc490323084"/>
      <w:bookmarkStart w:id="881" w:name="_Ref12026781"/>
      <w:bookmarkStart w:id="882" w:name="_Toc12795232"/>
      <w:r w:rsidRPr="00D97E2B">
        <w:t>Impact of US Clean Water Act Regulations on the Region’s Generators</w:t>
      </w:r>
      <w:bookmarkEnd w:id="878"/>
      <w:bookmarkEnd w:id="879"/>
      <w:bookmarkEnd w:id="880"/>
      <w:bookmarkEnd w:id="881"/>
      <w:bookmarkEnd w:id="882"/>
    </w:p>
    <w:p w14:paraId="305BC947" w14:textId="6AB34D52"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 xml:space="preserve">Several US </w:t>
      </w:r>
      <w:r w:rsidRPr="00D97E2B">
        <w:rPr>
          <w:rFonts w:cs="Arial"/>
          <w:i/>
          <w:color w:val="000000"/>
          <w:spacing w:val="-1"/>
        </w:rPr>
        <w:t>Resource Conservation and Recovery Act</w:t>
      </w:r>
      <w:r w:rsidRPr="00D97E2B">
        <w:rPr>
          <w:rFonts w:cs="Arial"/>
          <w:color w:val="000000"/>
          <w:spacing w:val="-1"/>
        </w:rPr>
        <w:t xml:space="preserve"> (RCRA) and </w:t>
      </w:r>
      <w:r w:rsidRPr="00D97E2B">
        <w:rPr>
          <w:rFonts w:cs="Arial"/>
          <w:i/>
          <w:color w:val="000000"/>
          <w:spacing w:val="-1"/>
        </w:rPr>
        <w:t>Clean Water Act</w:t>
      </w:r>
      <w:r w:rsidRPr="00D97E2B">
        <w:rPr>
          <w:rFonts w:cs="Arial"/>
          <w:color w:val="000000"/>
          <w:spacing w:val="-1"/>
        </w:rPr>
        <w:t xml:space="preserve"> (CWA) regulations affect electric power generators (see </w:t>
      </w:r>
      <w:r w:rsidRPr="009D7C03">
        <w:rPr>
          <w:rFonts w:cs="Arial"/>
          <w:color w:val="000000"/>
          <w:spacing w:val="-1"/>
        </w:rPr>
        <w:fldChar w:fldCharType="begin"/>
      </w:r>
      <w:r w:rsidRPr="00E812DC">
        <w:rPr>
          <w:rFonts w:cs="Arial"/>
          <w:color w:val="000000"/>
          <w:spacing w:val="-1"/>
        </w:rPr>
        <w:instrText xml:space="preserve"> REF _Ref6474840 \h </w:instrText>
      </w:r>
      <w:r w:rsidR="00E812DC" w:rsidRPr="00F300A2">
        <w:rPr>
          <w:rFonts w:cs="Arial"/>
          <w:color w:val="000000"/>
          <w:spacing w:val="-1"/>
        </w:rPr>
        <w:instrText xml:space="preserve"> \* MERGEFORMAT </w:instrText>
      </w:r>
      <w:r w:rsidRPr="009D7C03">
        <w:rPr>
          <w:rFonts w:cs="Arial"/>
          <w:color w:val="000000"/>
          <w:spacing w:val="-1"/>
        </w:rPr>
      </w:r>
      <w:r w:rsidRPr="009D7C03">
        <w:rPr>
          <w:rFonts w:cs="Arial"/>
          <w:color w:val="000000"/>
          <w:spacing w:val="-1"/>
        </w:rPr>
        <w:fldChar w:fldCharType="separate"/>
      </w:r>
      <w:r w:rsidR="005D0B73" w:rsidRPr="005D0B73">
        <w:rPr>
          <w:bCs/>
          <w:szCs w:val="18"/>
        </w:rPr>
        <w:t xml:space="preserve">Table </w:t>
      </w:r>
      <w:r w:rsidR="005D0B73" w:rsidRPr="005D0B73">
        <w:rPr>
          <w:bCs/>
          <w:noProof/>
          <w:szCs w:val="18"/>
        </w:rPr>
        <w:t>8</w:t>
      </w:r>
      <w:r w:rsidR="005D0B73" w:rsidRPr="005D0B73">
        <w:rPr>
          <w:bCs/>
          <w:noProof/>
          <w:szCs w:val="18"/>
        </w:rPr>
        <w:noBreakHyphen/>
        <w:t>1</w:t>
      </w:r>
      <w:r w:rsidRPr="009D7C03">
        <w:rPr>
          <w:rFonts w:cs="Arial"/>
          <w:color w:val="000000"/>
          <w:spacing w:val="-1"/>
        </w:rPr>
        <w:fldChar w:fldCharType="end"/>
      </w:r>
      <w:r w:rsidRPr="00D97E2B">
        <w:rPr>
          <w:rFonts w:cs="Arial"/>
          <w:color w:val="000000"/>
          <w:spacing w:val="-1"/>
        </w:rPr>
        <w:t>).</w:t>
      </w:r>
      <w:r w:rsidRPr="00D97E2B">
        <w:rPr>
          <w:color w:val="000000"/>
          <w:spacing w:val="-1"/>
          <w:vertAlign w:val="superscript"/>
        </w:rPr>
        <w:footnoteReference w:id="273"/>
      </w:r>
      <w:r w:rsidRPr="00D97E2B">
        <w:rPr>
          <w:rFonts w:cs="Arial"/>
          <w:color w:val="000000"/>
          <w:spacing w:val="-1"/>
        </w:rPr>
        <w:t xml:space="preserve"> Some of the CWA regulations are as follows: </w:t>
      </w:r>
    </w:p>
    <w:p w14:paraId="4C4581F5" w14:textId="77777777" w:rsidR="00D97E2B" w:rsidRPr="00D97E2B" w:rsidRDefault="00D97E2B" w:rsidP="00D97E2B">
      <w:pPr>
        <w:widowControl w:val="0"/>
        <w:numPr>
          <w:ilvl w:val="0"/>
          <w:numId w:val="723"/>
        </w:numPr>
        <w:autoSpaceDE w:val="0"/>
        <w:autoSpaceDN w:val="0"/>
        <w:adjustRightInd w:val="0"/>
        <w:spacing w:after="120" w:line="240" w:lineRule="auto"/>
        <w:rPr>
          <w:rFonts w:eastAsia="Times New Roman"/>
          <w:szCs w:val="24"/>
        </w:rPr>
      </w:pPr>
      <w:r w:rsidRPr="00D97E2B">
        <w:rPr>
          <w:rFonts w:eastAsia="Times New Roman"/>
          <w:szCs w:val="24"/>
        </w:rPr>
        <w:t xml:space="preserve">Under Sections 316 and 402, </w:t>
      </w:r>
      <w:r w:rsidRPr="00D97E2B">
        <w:rPr>
          <w:rFonts w:eastAsia="Times New Roman" w:cs="Arial"/>
          <w:color w:val="000000"/>
          <w:spacing w:val="-1"/>
          <w:szCs w:val="24"/>
        </w:rPr>
        <w:t>EPA and state authorities (with delegated federal authority) r</w:t>
      </w:r>
      <w:r w:rsidRPr="00D97E2B">
        <w:rPr>
          <w:rFonts w:eastAsia="Times New Roman"/>
          <w:szCs w:val="24"/>
        </w:rPr>
        <w:t xml:space="preserve">egulate cooling water systems and thermal discharges. </w:t>
      </w:r>
    </w:p>
    <w:p w14:paraId="219773B1" w14:textId="77777777"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316(a) deals with thermal variances in National Pollution Discharge Elimination System (NPDES) permits</w:t>
      </w:r>
      <w:r w:rsidR="00B57E22">
        <w:rPr>
          <w:rFonts w:eastAsia="Times New Roman"/>
          <w:szCs w:val="24"/>
        </w:rPr>
        <w:t>.</w:t>
      </w:r>
    </w:p>
    <w:p w14:paraId="4A3DFF0E" w14:textId="77777777" w:rsidR="00D97E2B" w:rsidRPr="00D97E2B" w:rsidRDefault="00D97E2B" w:rsidP="00D97E2B">
      <w:pPr>
        <w:widowControl w:val="0"/>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t>Section 316(b) regulates the design and operation of cooling water intake structures (CWIS).</w:t>
      </w:r>
      <w:r w:rsidRPr="00D97E2B">
        <w:rPr>
          <w:rFonts w:eastAsia="Times New Roman"/>
          <w:szCs w:val="24"/>
          <w:vertAlign w:val="superscript"/>
        </w:rPr>
        <w:footnoteReference w:id="274"/>
      </w:r>
    </w:p>
    <w:p w14:paraId="476E86F0" w14:textId="77777777" w:rsidR="00D97E2B" w:rsidRPr="00D97E2B" w:rsidRDefault="00D97E2B" w:rsidP="00B75DA3">
      <w:pPr>
        <w:numPr>
          <w:ilvl w:val="0"/>
          <w:numId w:val="722"/>
        </w:numPr>
        <w:autoSpaceDE w:val="0"/>
        <w:autoSpaceDN w:val="0"/>
        <w:adjustRightInd w:val="0"/>
        <w:spacing w:after="120" w:line="240" w:lineRule="auto"/>
        <w:rPr>
          <w:rFonts w:eastAsia="Times New Roman"/>
          <w:szCs w:val="24"/>
        </w:rPr>
      </w:pPr>
      <w:r w:rsidRPr="00D97E2B">
        <w:rPr>
          <w:rFonts w:eastAsia="Times New Roman"/>
          <w:szCs w:val="24"/>
        </w:rPr>
        <w:lastRenderedPageBreak/>
        <w:t>Section 304 mandates effluent limitations guidelines (ELGs) for wastewater discharges from electric power generators.</w:t>
      </w:r>
      <w:r w:rsidRPr="00D97E2B">
        <w:rPr>
          <w:rFonts w:eastAsia="Times New Roman"/>
          <w:szCs w:val="24"/>
          <w:vertAlign w:val="superscript"/>
        </w:rPr>
        <w:footnoteReference w:id="275"/>
      </w:r>
      <w:r w:rsidRPr="00D97E2B">
        <w:rPr>
          <w:rFonts w:eastAsia="Times New Roman"/>
          <w:szCs w:val="24"/>
        </w:rPr>
        <w:t xml:space="preserve"> </w:t>
      </w:r>
    </w:p>
    <w:p w14:paraId="763B90A2" w14:textId="77777777" w:rsidR="00D97E2B" w:rsidRPr="00D97E2B" w:rsidRDefault="00D97E2B" w:rsidP="00D97E2B">
      <w:pPr>
        <w:widowControl w:val="0"/>
        <w:numPr>
          <w:ilvl w:val="0"/>
          <w:numId w:val="722"/>
        </w:numPr>
        <w:autoSpaceDE w:val="0"/>
        <w:autoSpaceDN w:val="0"/>
        <w:adjustRightInd w:val="0"/>
        <w:spacing w:line="240" w:lineRule="auto"/>
        <w:rPr>
          <w:rFonts w:eastAsia="Times New Roman" w:cs="Arial"/>
          <w:color w:val="000000"/>
          <w:spacing w:val="-1"/>
          <w:szCs w:val="24"/>
        </w:rPr>
      </w:pPr>
      <w:r w:rsidRPr="00D97E2B">
        <w:rPr>
          <w:rFonts w:eastAsia="Times New Roman"/>
          <w:szCs w:val="24"/>
        </w:rPr>
        <w:t>Section 402 requires NPDES permits to control thermal pollutants, among others, on the basis of technology and water quality standards</w:t>
      </w:r>
      <w:r w:rsidRPr="00D97E2B">
        <w:rPr>
          <w:rFonts w:eastAsia="Times New Roman" w:cs="Arial"/>
          <w:color w:val="000000"/>
          <w:spacing w:val="-1"/>
          <w:szCs w:val="24"/>
        </w:rPr>
        <w:t>.</w:t>
      </w:r>
      <w:r w:rsidRPr="00D97E2B">
        <w:rPr>
          <w:rFonts w:eastAsia="Times New Roman"/>
          <w:color w:val="000000"/>
          <w:spacing w:val="-1"/>
          <w:szCs w:val="24"/>
          <w:vertAlign w:val="superscript"/>
        </w:rPr>
        <w:footnoteReference w:id="276"/>
      </w:r>
      <w:r w:rsidRPr="00D97E2B">
        <w:rPr>
          <w:rFonts w:eastAsia="Times New Roman" w:cs="Arial"/>
          <w:color w:val="000000"/>
          <w:spacing w:val="-1"/>
          <w:szCs w:val="24"/>
        </w:rPr>
        <w:t xml:space="preserve"> </w:t>
      </w:r>
    </w:p>
    <w:p w14:paraId="76C30B27" w14:textId="1379FE47" w:rsidR="00C83413"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T</w:t>
      </w:r>
      <w:r w:rsidRPr="00D97E2B">
        <w:rPr>
          <w:rFonts w:eastAsia="Times New Roman"/>
        </w:rPr>
        <w:t xml:space="preserve">he </w:t>
      </w:r>
      <w:r w:rsidRPr="00D97E2B">
        <w:rPr>
          <w:rFonts w:cs="Arial"/>
          <w:color w:val="000000"/>
          <w:spacing w:val="-1"/>
        </w:rPr>
        <w:t>CWIS</w:t>
      </w:r>
      <w:r w:rsidRPr="00D97E2B">
        <w:rPr>
          <w:rFonts w:eastAsia="Times New Roman" w:cs="Arial"/>
        </w:rPr>
        <w:t xml:space="preserve"> Rule and the ELG requirements were challenged but upheld in court; permit revisions may result in changing</w:t>
      </w:r>
      <w:r w:rsidRPr="00D97E2B">
        <w:rPr>
          <w:rFonts w:cs="Arial"/>
          <w:color w:val="000000"/>
          <w:spacing w:val="-1"/>
        </w:rPr>
        <w:t xml:space="preserve"> compliance obligations for generators, potentially limiting the operational flexibility of some units.</w:t>
      </w:r>
      <w:r w:rsidRPr="00D97E2B">
        <w:rPr>
          <w:color w:val="000000"/>
          <w:spacing w:val="-1"/>
          <w:vertAlign w:val="superscript"/>
        </w:rPr>
        <w:footnoteReference w:id="277"/>
      </w:r>
    </w:p>
    <w:p w14:paraId="3B2FA8C0" w14:textId="7FFA536B" w:rsidR="00D97E2B" w:rsidRPr="00D97E2B" w:rsidRDefault="00D97E2B" w:rsidP="00D97E2B">
      <w:pPr>
        <w:keepNext/>
        <w:keepLines/>
        <w:spacing w:after="120" w:line="240" w:lineRule="auto"/>
        <w:jc w:val="center"/>
        <w:rPr>
          <w:rFonts w:ascii="Calibri" w:hAnsi="Calibri"/>
          <w:szCs w:val="18"/>
        </w:rPr>
      </w:pPr>
      <w:bookmarkStart w:id="883" w:name="_Ref6474840"/>
      <w:bookmarkStart w:id="884" w:name="_Toc12795350"/>
      <w:r w:rsidRPr="00D97E2B">
        <w:rPr>
          <w:rFonts w:ascii="Calibri" w:hAnsi="Calibri"/>
          <w:b/>
          <w:bCs/>
          <w:szCs w:val="18"/>
        </w:rPr>
        <w:lastRenderedPageBreak/>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1</w:t>
      </w:r>
      <w:r w:rsidR="0082639A">
        <w:rPr>
          <w:rFonts w:ascii="Calibri" w:hAnsi="Calibri"/>
          <w:b/>
          <w:bCs/>
          <w:szCs w:val="18"/>
        </w:rPr>
        <w:fldChar w:fldCharType="end"/>
      </w:r>
      <w:bookmarkEnd w:id="883"/>
      <w:r w:rsidRPr="00D97E2B">
        <w:rPr>
          <w:rFonts w:ascii="Calibri" w:hAnsi="Calibri"/>
          <w:szCs w:val="18"/>
        </w:rPr>
        <w:br/>
      </w:r>
      <w:r w:rsidRPr="00D97E2B">
        <w:rPr>
          <w:rFonts w:ascii="Calibri" w:hAnsi="Calibri"/>
          <w:b/>
          <w:szCs w:val="18"/>
        </w:rPr>
        <w:t xml:space="preserve">Major US </w:t>
      </w:r>
      <w:r w:rsidRPr="00D97E2B">
        <w:rPr>
          <w:rFonts w:ascii="Calibri" w:hAnsi="Calibri"/>
          <w:b/>
          <w:bCs/>
          <w:i/>
          <w:szCs w:val="18"/>
        </w:rPr>
        <w:t>Clean Water Act</w:t>
      </w:r>
      <w:r w:rsidRPr="00D97E2B">
        <w:rPr>
          <w:rFonts w:ascii="Calibri" w:hAnsi="Calibri"/>
          <w:b/>
          <w:szCs w:val="18"/>
        </w:rPr>
        <w:t xml:space="preserve"> and </w:t>
      </w:r>
      <w:r w:rsidRPr="00D97E2B">
        <w:rPr>
          <w:rFonts w:ascii="Calibri" w:hAnsi="Calibri"/>
          <w:b/>
          <w:bCs/>
          <w:i/>
          <w:szCs w:val="18"/>
        </w:rPr>
        <w:t>Resource Conservation and Recovery Act</w:t>
      </w:r>
      <w:r w:rsidRPr="00D97E2B">
        <w:rPr>
          <w:rFonts w:ascii="Calibri" w:hAnsi="Calibri"/>
          <w:b/>
          <w:szCs w:val="18"/>
        </w:rPr>
        <w:t xml:space="preserve"> Rules</w:t>
      </w:r>
      <w:r w:rsidRPr="00D97E2B">
        <w:rPr>
          <w:rFonts w:ascii="Calibri" w:hAnsi="Calibri"/>
          <w:b/>
          <w:szCs w:val="18"/>
        </w:rPr>
        <w:br/>
        <w:t>Affecting Coal, Natural Gas, and Nuclear Generation</w:t>
      </w:r>
      <w:bookmarkEnd w:id="884"/>
    </w:p>
    <w:tbl>
      <w:tblPr>
        <w:tblStyle w:val="20122tableformat110"/>
        <w:tblW w:w="9447" w:type="dxa"/>
        <w:tblLook w:val="0420" w:firstRow="1" w:lastRow="0" w:firstColumn="0" w:lastColumn="0" w:noHBand="0" w:noVBand="1"/>
      </w:tblPr>
      <w:tblGrid>
        <w:gridCol w:w="1481"/>
        <w:gridCol w:w="1423"/>
        <w:gridCol w:w="1683"/>
        <w:gridCol w:w="3600"/>
        <w:gridCol w:w="1260"/>
      </w:tblGrid>
      <w:tr w:rsidR="000C6312" w:rsidRPr="000C6312" w14:paraId="576E4278" w14:textId="77777777" w:rsidTr="000C6312">
        <w:trPr>
          <w:cnfStyle w:val="100000000000" w:firstRow="1" w:lastRow="0" w:firstColumn="0" w:lastColumn="0" w:oddVBand="0" w:evenVBand="0" w:oddHBand="0" w:evenHBand="0" w:firstRowFirstColumn="0" w:firstRowLastColumn="0" w:lastRowFirstColumn="0" w:lastRowLastColumn="0"/>
          <w:trHeight w:val="432"/>
        </w:trPr>
        <w:tc>
          <w:tcPr>
            <w:tcW w:w="0" w:type="auto"/>
            <w:shd w:val="clear" w:color="auto" w:fill="1795D2" w:themeFill="accent1"/>
            <w:hideMark/>
          </w:tcPr>
          <w:p w14:paraId="2E69AE42" w14:textId="77777777"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Title</w:t>
            </w:r>
          </w:p>
        </w:tc>
        <w:tc>
          <w:tcPr>
            <w:tcW w:w="0" w:type="auto"/>
            <w:shd w:val="clear" w:color="auto" w:fill="1795D2" w:themeFill="accent1"/>
            <w:hideMark/>
          </w:tcPr>
          <w:p w14:paraId="274EF205" w14:textId="77777777"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 Finalized</w:t>
            </w:r>
          </w:p>
        </w:tc>
        <w:tc>
          <w:tcPr>
            <w:tcW w:w="1683" w:type="dxa"/>
            <w:shd w:val="clear" w:color="auto" w:fill="1795D2" w:themeFill="accent1"/>
            <w:hideMark/>
          </w:tcPr>
          <w:p w14:paraId="1AA76DB4" w14:textId="77777777"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Years</w:t>
            </w:r>
            <w:r w:rsidRPr="000C6312">
              <w:rPr>
                <w:rFonts w:ascii="Calibri" w:eastAsia="Times New Roman" w:hAnsi="Calibri" w:cs="Calibri"/>
                <w:color w:val="FFFFFF" w:themeColor="background1"/>
                <w:kern w:val="24"/>
                <w:szCs w:val="18"/>
              </w:rPr>
              <w:br/>
              <w:t>Implemented</w:t>
            </w:r>
          </w:p>
        </w:tc>
        <w:tc>
          <w:tcPr>
            <w:tcW w:w="3600" w:type="dxa"/>
            <w:shd w:val="clear" w:color="auto" w:fill="1795D2" w:themeFill="accent1"/>
            <w:hideMark/>
          </w:tcPr>
          <w:p w14:paraId="24285B99" w14:textId="77777777"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Major Provisions</w:t>
            </w:r>
          </w:p>
        </w:tc>
        <w:tc>
          <w:tcPr>
            <w:tcW w:w="1260" w:type="dxa"/>
            <w:shd w:val="clear" w:color="auto" w:fill="1795D2" w:themeFill="accent1"/>
            <w:hideMark/>
          </w:tcPr>
          <w:p w14:paraId="3B4EC1D1" w14:textId="77777777" w:rsidR="00D97E2B" w:rsidRPr="000C6312" w:rsidRDefault="00D97E2B" w:rsidP="00D97E2B">
            <w:pPr>
              <w:keepNext/>
              <w:keepLines/>
              <w:spacing w:before="40" w:after="80"/>
              <w:rPr>
                <w:rFonts w:ascii="Arial" w:eastAsia="Times New Roman" w:hAnsi="Arial" w:cs="Arial"/>
                <w:color w:val="FFFFFF" w:themeColor="background1"/>
                <w:szCs w:val="18"/>
              </w:rPr>
            </w:pPr>
            <w:r w:rsidRPr="000C6312">
              <w:rPr>
                <w:rFonts w:ascii="Calibri" w:eastAsia="Times New Roman" w:hAnsi="Calibri" w:cs="Calibri"/>
                <w:color w:val="FFFFFF" w:themeColor="background1"/>
                <w:kern w:val="24"/>
                <w:szCs w:val="18"/>
              </w:rPr>
              <w:t>Generation</w:t>
            </w:r>
            <w:r w:rsidRPr="000C6312">
              <w:rPr>
                <w:rFonts w:ascii="Calibri" w:eastAsia="Times New Roman" w:hAnsi="Calibri" w:cs="Calibri"/>
                <w:color w:val="FFFFFF" w:themeColor="background1"/>
                <w:kern w:val="24"/>
                <w:szCs w:val="18"/>
              </w:rPr>
              <w:br/>
              <w:t>Sources</w:t>
            </w:r>
            <w:r w:rsidRPr="000C6312">
              <w:rPr>
                <w:rFonts w:ascii="Calibri" w:eastAsia="Times New Roman" w:hAnsi="Calibri" w:cs="Calibri"/>
                <w:color w:val="FFFFFF" w:themeColor="background1"/>
                <w:kern w:val="24"/>
                <w:szCs w:val="18"/>
              </w:rPr>
              <w:br/>
              <w:t>Affected</w:t>
            </w:r>
          </w:p>
        </w:tc>
      </w:tr>
      <w:tr w:rsidR="00D97E2B" w:rsidRPr="00D97E2B" w14:paraId="694979CE" w14:textId="77777777" w:rsidTr="00D97E2B">
        <w:trPr>
          <w:cnfStyle w:val="000000100000" w:firstRow="0" w:lastRow="0" w:firstColumn="0" w:lastColumn="0" w:oddVBand="0" w:evenVBand="0" w:oddHBand="1" w:evenHBand="0" w:firstRowFirstColumn="0" w:firstRowLastColumn="0" w:lastRowFirstColumn="0" w:lastRowLastColumn="0"/>
          <w:cantSplit w:val="0"/>
          <w:trHeight w:val="432"/>
        </w:trPr>
        <w:tc>
          <w:tcPr>
            <w:tcW w:w="0" w:type="auto"/>
            <w:hideMark/>
          </w:tcPr>
          <w:p w14:paraId="3BF8E3BD"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Cooling Water Intake Rule</w:t>
            </w:r>
          </w:p>
        </w:tc>
        <w:tc>
          <w:tcPr>
            <w:tcW w:w="0" w:type="auto"/>
            <w:hideMark/>
          </w:tcPr>
          <w:p w14:paraId="5645A3F3"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2001 (Phase 1)</w:t>
            </w:r>
          </w:p>
          <w:p w14:paraId="48AF7665"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2003 (revised Phase 1)</w:t>
            </w:r>
          </w:p>
          <w:p w14:paraId="0E5DE7B9"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2014 (Phase 2)</w:t>
            </w:r>
          </w:p>
        </w:tc>
        <w:tc>
          <w:tcPr>
            <w:tcW w:w="1683" w:type="dxa"/>
            <w:hideMark/>
          </w:tcPr>
          <w:p w14:paraId="438F4E51"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Phase 2: 2014–2018</w:t>
            </w:r>
          </w:p>
          <w:p w14:paraId="6BBC5669"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kern w:val="24"/>
                <w:szCs w:val="18"/>
              </w:rPr>
              <w:t>2018 litigation upholds 316(b) rule</w:t>
            </w:r>
          </w:p>
        </w:tc>
        <w:tc>
          <w:tcPr>
            <w:tcW w:w="3600" w:type="dxa"/>
            <w:hideMark/>
          </w:tcPr>
          <w:p w14:paraId="334BE3F2" w14:textId="77777777" w:rsidR="00D97E2B" w:rsidRPr="00D97E2B" w:rsidRDefault="00D97E2B" w:rsidP="00D97E2B">
            <w:pPr>
              <w:keepNext/>
              <w:keepLines/>
              <w:spacing w:before="40" w:after="80"/>
              <w:rPr>
                <w:rFonts w:ascii="Arial" w:hAnsi="Arial" w:cs="Arial"/>
                <w:szCs w:val="18"/>
              </w:rPr>
            </w:pPr>
            <w:r w:rsidRPr="00D97E2B">
              <w:rPr>
                <w:rFonts w:ascii="Calibri" w:hAnsi="Calibri" w:cs="Calibri"/>
                <w:color w:val="000000"/>
                <w:kern w:val="24"/>
                <w:szCs w:val="18"/>
              </w:rPr>
              <w:t xml:space="preserve">Promulgated under 316(b) of the </w:t>
            </w:r>
            <w:r w:rsidRPr="00D97E2B">
              <w:rPr>
                <w:rFonts w:ascii="Calibri" w:hAnsi="Calibri" w:cs="Calibri"/>
                <w:i/>
                <w:color w:val="000000"/>
                <w:kern w:val="24"/>
                <w:szCs w:val="18"/>
              </w:rPr>
              <w:t>Clean Water Act</w:t>
            </w:r>
            <w:r w:rsidRPr="00D97E2B">
              <w:rPr>
                <w:rFonts w:ascii="Calibri" w:hAnsi="Calibri" w:cs="Calibri"/>
                <w:color w:val="000000"/>
                <w:kern w:val="24"/>
                <w:szCs w:val="18"/>
              </w:rPr>
              <w:t>. New sources regulated under Phase I and existing sources regulated under Phase II.</w:t>
            </w:r>
          </w:p>
          <w:p w14:paraId="017480AD"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States consider requirements for power plants on a case-by-case basis.</w:t>
            </w:r>
          </w:p>
          <w:p w14:paraId="6D792471"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Requires controls to reduce mortality to fish and other aquatic organisms.</w:t>
            </w:r>
          </w:p>
        </w:tc>
        <w:tc>
          <w:tcPr>
            <w:tcW w:w="1260" w:type="dxa"/>
            <w:hideMark/>
          </w:tcPr>
          <w:p w14:paraId="5B77FAB6"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14:paraId="24DA00A5"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p w14:paraId="5A577C54"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Nuclear</w:t>
            </w:r>
          </w:p>
        </w:tc>
      </w:tr>
      <w:tr w:rsidR="00D97E2B" w:rsidRPr="00D97E2B" w14:paraId="54D3ACC3" w14:textId="77777777" w:rsidTr="000C6312">
        <w:trPr>
          <w:cnfStyle w:val="000000010000" w:firstRow="0" w:lastRow="0" w:firstColumn="0" w:lastColumn="0" w:oddVBand="0" w:evenVBand="0" w:oddHBand="0" w:evenHBand="1" w:firstRowFirstColumn="0" w:firstRowLastColumn="0" w:lastRowFirstColumn="0" w:lastRowLastColumn="0"/>
          <w:cantSplit w:val="0"/>
          <w:trHeight w:val="432"/>
        </w:trPr>
        <w:tc>
          <w:tcPr>
            <w:tcW w:w="0" w:type="auto"/>
            <w:shd w:val="clear" w:color="auto" w:fill="CCEAF9" w:themeFill="accent1" w:themeFillTint="33"/>
            <w:hideMark/>
          </w:tcPr>
          <w:p w14:paraId="42D2C521"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b/>
                <w:bCs/>
                <w:color w:val="000000"/>
                <w:kern w:val="24"/>
                <w:szCs w:val="18"/>
              </w:rPr>
              <w:t>Steam Electric Effluent Limitation Guidelines</w:t>
            </w:r>
          </w:p>
        </w:tc>
        <w:tc>
          <w:tcPr>
            <w:tcW w:w="0" w:type="auto"/>
            <w:shd w:val="clear" w:color="auto" w:fill="CCEAF9" w:themeFill="accent1" w:themeFillTint="33"/>
            <w:hideMark/>
          </w:tcPr>
          <w:p w14:paraId="2AE14F0B"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1974; policy updates in 1977, 1978, 1980, 1982, and 2015</w:t>
            </w:r>
          </w:p>
        </w:tc>
        <w:tc>
          <w:tcPr>
            <w:tcW w:w="1683" w:type="dxa"/>
            <w:shd w:val="clear" w:color="auto" w:fill="CCEAF9" w:themeFill="accent1" w:themeFillTint="33"/>
            <w:hideMark/>
          </w:tcPr>
          <w:p w14:paraId="20A21A7C"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1982, 2015–2017</w:t>
            </w:r>
          </w:p>
          <w:p w14:paraId="05DED773"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EPA suspends 2015 rule for review; litigation suspended</w:t>
            </w:r>
          </w:p>
        </w:tc>
        <w:tc>
          <w:tcPr>
            <w:tcW w:w="3600" w:type="dxa"/>
            <w:shd w:val="clear" w:color="auto" w:fill="CCEAF9" w:themeFill="accent1" w:themeFillTint="33"/>
            <w:hideMark/>
          </w:tcPr>
          <w:p w14:paraId="50FC066E"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Established limitations on the discharge of toxic and other chemical pollutants and thermal discharges from existing and new steam electric power plants, as well as pretreatment standards.</w:t>
            </w:r>
          </w:p>
          <w:p w14:paraId="6F8F97E1"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The 2015 update sets the first federal limits on levels of toxic metals that can be discharged.</w:t>
            </w:r>
          </w:p>
        </w:tc>
        <w:tc>
          <w:tcPr>
            <w:tcW w:w="1260" w:type="dxa"/>
            <w:shd w:val="clear" w:color="auto" w:fill="CCEAF9" w:themeFill="accent1" w:themeFillTint="33"/>
            <w:hideMark/>
          </w:tcPr>
          <w:p w14:paraId="72C27E7B"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Coal</w:t>
            </w:r>
          </w:p>
          <w:p w14:paraId="2A7B3CAE" w14:textId="77777777" w:rsidR="00D97E2B" w:rsidRPr="00D97E2B" w:rsidRDefault="00D97E2B" w:rsidP="00D97E2B">
            <w:pPr>
              <w:keepNext/>
              <w:keepLines/>
              <w:spacing w:before="40" w:after="80"/>
              <w:rPr>
                <w:rFonts w:ascii="Arial" w:eastAsia="Times New Roman" w:hAnsi="Arial" w:cs="Arial"/>
                <w:szCs w:val="18"/>
              </w:rPr>
            </w:pPr>
            <w:r w:rsidRPr="00D97E2B">
              <w:rPr>
                <w:rFonts w:ascii="Calibri" w:eastAsia="Times New Roman" w:hAnsi="Calibri" w:cs="Calibri"/>
                <w:color w:val="000000"/>
                <w:kern w:val="24"/>
                <w:szCs w:val="18"/>
              </w:rPr>
              <w:t>Natural gas</w:t>
            </w:r>
          </w:p>
        </w:tc>
      </w:tr>
      <w:tr w:rsidR="00D97E2B" w:rsidRPr="00D97E2B" w14:paraId="192500FA" w14:textId="77777777" w:rsidTr="00D97E2B">
        <w:trPr>
          <w:cnfStyle w:val="000000100000" w:firstRow="0" w:lastRow="0" w:firstColumn="0" w:lastColumn="0" w:oddVBand="0" w:evenVBand="0" w:oddHBand="1" w:evenHBand="0" w:firstRowFirstColumn="0" w:firstRowLastColumn="0" w:lastRowFirstColumn="0" w:lastRowLastColumn="0"/>
          <w:cantSplit w:val="0"/>
          <w:trHeight w:val="1118"/>
        </w:trPr>
        <w:tc>
          <w:tcPr>
            <w:tcW w:w="0" w:type="auto"/>
          </w:tcPr>
          <w:p w14:paraId="57978E9A" w14:textId="77777777" w:rsidR="00D97E2B" w:rsidRPr="00D97E2B" w:rsidRDefault="00D97E2B" w:rsidP="00D97E2B">
            <w:pPr>
              <w:keepNext/>
              <w:keepLines/>
              <w:spacing w:before="40" w:after="80"/>
              <w:rPr>
                <w:rFonts w:ascii="Calibri" w:eastAsia="Times New Roman" w:hAnsi="Calibri" w:cs="Calibri"/>
                <w:b/>
                <w:bCs/>
                <w:color w:val="000000"/>
                <w:kern w:val="24"/>
                <w:szCs w:val="18"/>
              </w:rPr>
            </w:pPr>
            <w:r w:rsidRPr="00D97E2B">
              <w:rPr>
                <w:rFonts w:ascii="Calibri" w:eastAsia="Times New Roman" w:hAnsi="Calibri" w:cs="Calibri"/>
                <w:b/>
                <w:bCs/>
                <w:color w:val="000000"/>
                <w:kern w:val="24"/>
                <w:szCs w:val="18"/>
              </w:rPr>
              <w:t>Coal Combustion Residuals Rule (under RCRA)</w:t>
            </w:r>
          </w:p>
        </w:tc>
        <w:tc>
          <w:tcPr>
            <w:tcW w:w="0" w:type="auto"/>
          </w:tcPr>
          <w:p w14:paraId="6C469B02" w14:textId="77777777"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2015</w:t>
            </w:r>
          </w:p>
        </w:tc>
        <w:tc>
          <w:tcPr>
            <w:tcW w:w="1683" w:type="dxa"/>
          </w:tcPr>
          <w:p w14:paraId="6BB59F99" w14:textId="77777777" w:rsidR="00D97E2B" w:rsidRPr="00D97E2B" w:rsidRDefault="00D97E2B" w:rsidP="00D97E2B">
            <w:pPr>
              <w:keepNext/>
              <w:keepLines/>
              <w:spacing w:before="40" w:after="80"/>
              <w:rPr>
                <w:rFonts w:ascii="Calibri" w:eastAsia="Times New Roman" w:hAnsi="Calibri" w:cs="Calibri"/>
                <w:bCs/>
                <w:color w:val="000000"/>
                <w:kern w:val="24"/>
                <w:szCs w:val="18"/>
              </w:rPr>
            </w:pPr>
            <w:r w:rsidRPr="00D97E2B">
              <w:rPr>
                <w:rFonts w:ascii="Calibri" w:eastAsia="Times New Roman" w:hAnsi="Calibri" w:cs="Calibri"/>
                <w:bCs/>
                <w:color w:val="000000"/>
                <w:kern w:val="24"/>
                <w:szCs w:val="18"/>
              </w:rPr>
              <w:t xml:space="preserve">2015–2018 </w:t>
            </w:r>
          </w:p>
          <w:p w14:paraId="31B8A4CC" w14:textId="77777777"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 xml:space="preserve">2018 rule revised; court overrules changes </w:t>
            </w:r>
          </w:p>
        </w:tc>
        <w:tc>
          <w:tcPr>
            <w:tcW w:w="3600" w:type="dxa"/>
          </w:tcPr>
          <w:p w14:paraId="1396F576" w14:textId="77777777"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Addresses groundwater contamination risks from coal combustion residuals (i.e., “coal ash”) disposal in unlined landfills and surface impoundments by establishing national standards for disposal</w:t>
            </w:r>
          </w:p>
        </w:tc>
        <w:tc>
          <w:tcPr>
            <w:tcW w:w="1260" w:type="dxa"/>
          </w:tcPr>
          <w:p w14:paraId="2153710F" w14:textId="77777777" w:rsidR="00D97E2B" w:rsidRPr="00D97E2B" w:rsidRDefault="00D97E2B" w:rsidP="00D97E2B">
            <w:pPr>
              <w:keepNext/>
              <w:keepLines/>
              <w:spacing w:before="40" w:after="80"/>
              <w:rPr>
                <w:rFonts w:ascii="Calibri" w:eastAsia="Times New Roman" w:hAnsi="Calibri" w:cs="Calibri"/>
                <w:color w:val="000000"/>
                <w:kern w:val="24"/>
                <w:szCs w:val="18"/>
              </w:rPr>
            </w:pPr>
            <w:r w:rsidRPr="00D97E2B">
              <w:rPr>
                <w:rFonts w:ascii="Calibri" w:eastAsia="Times New Roman" w:hAnsi="Calibri" w:cs="Calibri"/>
                <w:bCs/>
                <w:color w:val="000000"/>
                <w:kern w:val="24"/>
                <w:szCs w:val="18"/>
              </w:rPr>
              <w:t>Coal</w:t>
            </w:r>
          </w:p>
        </w:tc>
      </w:tr>
    </w:tbl>
    <w:p w14:paraId="3BA336F6" w14:textId="77777777" w:rsidR="00D97E2B" w:rsidRPr="00D97E2B" w:rsidRDefault="00D97E2B" w:rsidP="00D97E2B">
      <w:pPr>
        <w:keepNext/>
        <w:keepLines/>
        <w:widowControl w:val="0"/>
        <w:autoSpaceDE w:val="0"/>
        <w:autoSpaceDN w:val="0"/>
        <w:adjustRightInd w:val="0"/>
        <w:spacing w:before="120" w:line="240" w:lineRule="auto"/>
        <w:ind w:left="-180" w:right="-180"/>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w:t>
      </w:r>
      <w:r w:rsidRPr="008C4D6B">
        <w:rPr>
          <w:rFonts w:asciiTheme="minorHAnsi" w:hAnsiTheme="minorHAnsi"/>
          <w:bCs/>
          <w:sz w:val="16"/>
          <w:szCs w:val="16"/>
        </w:rPr>
        <w:t xml:space="preserve">S </w:t>
      </w:r>
      <w:r w:rsidRPr="00B75DA3">
        <w:rPr>
          <w:rFonts w:asciiTheme="minorHAnsi" w:hAnsiTheme="minorHAnsi"/>
          <w:bCs/>
          <w:sz w:val="16"/>
          <w:szCs w:val="16"/>
        </w:rPr>
        <w:t>DOE</w:t>
      </w:r>
      <w:r w:rsidRPr="008C4D6B">
        <w:rPr>
          <w:rFonts w:asciiTheme="minorHAnsi" w:hAnsiTheme="minorHAnsi"/>
          <w:bCs/>
          <w:sz w:val="16"/>
          <w:szCs w:val="16"/>
        </w:rPr>
        <w:t>,</w:t>
      </w:r>
      <w:r w:rsidRPr="00D97E2B">
        <w:rPr>
          <w:rFonts w:asciiTheme="minorHAnsi" w:hAnsiTheme="minorHAnsi"/>
          <w:bCs/>
          <w:sz w:val="16"/>
          <w:szCs w:val="16"/>
        </w:rPr>
        <w:t xml:space="preserv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73"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sz w:val="16"/>
          <w:szCs w:val="16"/>
        </w:rPr>
        <w:t xml:space="preserve">. Updated by ISO New England. </w:t>
      </w:r>
    </w:p>
    <w:p w14:paraId="7F80416C" w14:textId="77777777" w:rsidR="00D97E2B" w:rsidRP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In New England, 5.85 GW of existing fossil thermal electric capacity rely on larger once-through cooling systems subject to the CWIS Rule and could incur additional compliance costs (operational changes or retrofits) during periodic water permit reviews.</w:t>
      </w:r>
      <w:r w:rsidRPr="00D97E2B">
        <w:rPr>
          <w:color w:val="000000"/>
          <w:spacing w:val="-1"/>
          <w:vertAlign w:val="superscript"/>
        </w:rPr>
        <w:footnoteReference w:id="278"/>
      </w:r>
      <w:r w:rsidRPr="00D97E2B">
        <w:rPr>
          <w:rFonts w:cs="Arial"/>
          <w:color w:val="000000"/>
          <w:spacing w:val="-1"/>
        </w:rPr>
        <w:t xml:space="preserve"> Another 4.13 GW of existing capacity have partially compliant cooling systems, and 2.12 GW of existing capacity (mainly newer facilities with combined-cycle units) have already-compliant recirculating cooling systems. The cooling water and wastewater discharge rules may also require new thermal electric energy capacity to install dry, hybrid, or closed-cycle cooling systems and control or eliminate certain wastewater discharges under new discharge requirements. </w:t>
      </w:r>
    </w:p>
    <w:p w14:paraId="765AC611" w14:textId="3E7588DD" w:rsidR="00D97E2B" w:rsidRDefault="00D97E2B" w:rsidP="00D97E2B">
      <w:pPr>
        <w:widowControl w:val="0"/>
        <w:autoSpaceDE w:val="0"/>
        <w:autoSpaceDN w:val="0"/>
        <w:adjustRightInd w:val="0"/>
        <w:spacing w:after="200" w:line="276" w:lineRule="auto"/>
        <w:rPr>
          <w:rFonts w:cs="Arial"/>
          <w:color w:val="000000"/>
          <w:spacing w:val="-1"/>
        </w:rPr>
      </w:pPr>
      <w:r w:rsidRPr="00D97E2B">
        <w:rPr>
          <w:rFonts w:cs="Arial"/>
          <w:color w:val="000000"/>
          <w:spacing w:val="-1"/>
        </w:rPr>
        <w:t>Annual water use and intensity for power generation has declined in New England between 2016 (1,643 billion gallons) and 2018 (1,51</w:t>
      </w:r>
      <w:r w:rsidRPr="00B056E8">
        <w:rPr>
          <w:rFonts w:cs="Arial"/>
          <w:color w:val="000000"/>
          <w:spacing w:val="-1"/>
        </w:rPr>
        <w:t>1 billion gallons) as fo</w:t>
      </w:r>
      <w:r w:rsidRPr="00D97E2B">
        <w:rPr>
          <w:rFonts w:cs="Arial"/>
          <w:color w:val="000000"/>
          <w:spacing w:val="-1"/>
        </w:rPr>
        <w:t>ssil and nuclear thermal electric capacity has either retired or been displaced by less-water-intensive sources of power generation (e.g., solar and wind).</w:t>
      </w:r>
      <w:r w:rsidRPr="00D97E2B">
        <w:rPr>
          <w:color w:val="000000"/>
          <w:spacing w:val="-1"/>
          <w:vertAlign w:val="superscript"/>
        </w:rPr>
        <w:footnoteReference w:id="279"/>
      </w:r>
      <w:r w:rsidRPr="00D97E2B">
        <w:rPr>
          <w:rFonts w:cs="Arial"/>
          <w:color w:val="000000"/>
          <w:spacing w:val="-1"/>
        </w:rPr>
        <w:t xml:space="preserve"> See </w:t>
      </w:r>
      <w:r w:rsidRPr="00D97E2B">
        <w:rPr>
          <w:rFonts w:cs="Arial"/>
          <w:color w:val="000000"/>
          <w:spacing w:val="-1"/>
        </w:rPr>
        <w:fldChar w:fldCharType="begin"/>
      </w:r>
      <w:r w:rsidRPr="00D97E2B">
        <w:rPr>
          <w:rFonts w:cs="Arial"/>
          <w:color w:val="000000"/>
          <w:spacing w:val="-1"/>
        </w:rPr>
        <w:instrText xml:space="preserve"> REF _Ref6474934 \h  \* MERGEFORMAT </w:instrText>
      </w:r>
      <w:r w:rsidRPr="00D97E2B">
        <w:rPr>
          <w:rFonts w:cs="Arial"/>
          <w:color w:val="000000"/>
          <w:spacing w:val="-1"/>
        </w:rPr>
      </w:r>
      <w:r w:rsidRPr="00D97E2B">
        <w:rPr>
          <w:rFonts w:cs="Arial"/>
          <w:color w:val="000000"/>
          <w:spacing w:val="-1"/>
        </w:rPr>
        <w:fldChar w:fldCharType="separate"/>
      </w:r>
      <w:r w:rsidR="005D0B73" w:rsidRPr="005D0B73">
        <w:t xml:space="preserve">Figure </w:t>
      </w:r>
      <w:r w:rsidR="005D0B73" w:rsidRPr="005D0B73">
        <w:rPr>
          <w:noProof/>
        </w:rPr>
        <w:t>8</w:t>
      </w:r>
      <w:r w:rsidR="005D0B73" w:rsidRPr="005D0B73">
        <w:rPr>
          <w:noProof/>
        </w:rPr>
        <w:noBreakHyphen/>
        <w:t>1</w:t>
      </w:r>
      <w:r w:rsidRPr="00D97E2B">
        <w:rPr>
          <w:rFonts w:cs="Arial"/>
          <w:color w:val="000000"/>
          <w:spacing w:val="-1"/>
        </w:rPr>
        <w:fldChar w:fldCharType="end"/>
      </w:r>
      <w:r w:rsidRPr="00D97E2B">
        <w:rPr>
          <w:rFonts w:cs="Arial"/>
          <w:color w:val="000000"/>
          <w:spacing w:val="-1"/>
        </w:rPr>
        <w:t>.</w:t>
      </w:r>
    </w:p>
    <w:p w14:paraId="136D6181" w14:textId="77777777" w:rsidR="00036AF6" w:rsidRDefault="00036AF6" w:rsidP="00036AF6">
      <w:pPr>
        <w:widowControl w:val="0"/>
        <w:autoSpaceDE w:val="0"/>
        <w:autoSpaceDN w:val="0"/>
        <w:adjustRightInd w:val="0"/>
        <w:spacing w:after="0" w:line="240" w:lineRule="auto"/>
        <w:jc w:val="center"/>
        <w:rPr>
          <w:rFonts w:cs="Arial"/>
          <w:color w:val="000000"/>
          <w:spacing w:val="-1"/>
        </w:rPr>
      </w:pPr>
    </w:p>
    <w:p w14:paraId="664257EB" w14:textId="77777777" w:rsidR="00ED2C1A" w:rsidRPr="00D97E2B" w:rsidRDefault="00ED2C1A" w:rsidP="00ED2C1A">
      <w:pPr>
        <w:widowControl w:val="0"/>
        <w:autoSpaceDE w:val="0"/>
        <w:autoSpaceDN w:val="0"/>
        <w:adjustRightInd w:val="0"/>
        <w:spacing w:after="0" w:line="240" w:lineRule="auto"/>
        <w:jc w:val="center"/>
        <w:rPr>
          <w:rFonts w:cs="Arial"/>
          <w:color w:val="000000"/>
          <w:spacing w:val="-1"/>
        </w:rPr>
      </w:pPr>
      <w:r w:rsidRPr="00ED2C1A">
        <w:rPr>
          <w:noProof/>
        </w:rPr>
        <w:lastRenderedPageBreak/>
        <w:drawing>
          <wp:inline distT="0" distB="0" distL="0" distR="0" wp14:anchorId="0EA1662D" wp14:editId="60D97375">
            <wp:extent cx="5527179" cy="2672080"/>
            <wp:effectExtent l="19050" t="19050" r="1651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32258" cy="2674535"/>
                    </a:xfrm>
                    <a:prstGeom prst="rect">
                      <a:avLst/>
                    </a:prstGeom>
                    <a:noFill/>
                    <a:ln w="3175">
                      <a:solidFill>
                        <a:srgbClr val="000000"/>
                      </a:solidFill>
                    </a:ln>
                  </pic:spPr>
                </pic:pic>
              </a:graphicData>
            </a:graphic>
          </wp:inline>
        </w:drawing>
      </w:r>
    </w:p>
    <w:p w14:paraId="1A33CC35" w14:textId="4B6BC9EA" w:rsidR="00D97E2B" w:rsidRPr="00D97E2B" w:rsidRDefault="00D97E2B" w:rsidP="006D76F2">
      <w:pPr>
        <w:keepNext/>
        <w:keepLines/>
        <w:spacing w:before="120" w:after="80" w:line="240" w:lineRule="auto"/>
        <w:ind w:left="180" w:right="180"/>
        <w:rPr>
          <w:rFonts w:asciiTheme="majorHAnsi" w:hAnsiTheme="majorHAnsi"/>
          <w:b/>
          <w:szCs w:val="18"/>
        </w:rPr>
      </w:pPr>
      <w:bookmarkStart w:id="885" w:name="_Ref6474934"/>
      <w:bookmarkStart w:id="886" w:name="_Toc17709764"/>
      <w:r w:rsidRPr="00D97E2B">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8</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1</w:t>
      </w:r>
      <w:r w:rsidR="008E7223">
        <w:rPr>
          <w:rFonts w:ascii="Calibri" w:hAnsi="Calibri"/>
          <w:b/>
          <w:bCs/>
          <w:szCs w:val="18"/>
        </w:rPr>
        <w:fldChar w:fldCharType="end"/>
      </w:r>
      <w:bookmarkEnd w:id="885"/>
      <w:r w:rsidRPr="00D97E2B">
        <w:rPr>
          <w:rFonts w:ascii="Calibri" w:hAnsi="Calibri"/>
          <w:b/>
          <w:szCs w:val="18"/>
        </w:rPr>
        <w:t>:</w:t>
      </w:r>
      <w:r w:rsidRPr="00D97E2B">
        <w:rPr>
          <w:rFonts w:asciiTheme="majorHAnsi" w:hAnsiTheme="majorHAnsi"/>
          <w:b/>
          <w:szCs w:val="18"/>
        </w:rPr>
        <w:t xml:space="preserve"> Estimated systemwide annual water withdrawals by fuel type in New England, 2016</w:t>
      </w:r>
      <w:r w:rsidR="00330F0D">
        <w:rPr>
          <w:rFonts w:asciiTheme="majorHAnsi" w:hAnsiTheme="majorHAnsi"/>
          <w:b/>
          <w:szCs w:val="18"/>
        </w:rPr>
        <w:t xml:space="preserve"> to </w:t>
      </w:r>
      <w:r w:rsidRPr="00D97E2B">
        <w:rPr>
          <w:rFonts w:asciiTheme="majorHAnsi" w:hAnsiTheme="majorHAnsi"/>
          <w:b/>
          <w:szCs w:val="18"/>
        </w:rPr>
        <w:t>2018 (billions of gallons).</w:t>
      </w:r>
      <w:bookmarkEnd w:id="886"/>
    </w:p>
    <w:p w14:paraId="502DCE11" w14:textId="77777777" w:rsidR="00D97E2B" w:rsidRPr="00D97E2B" w:rsidRDefault="00D97E2B" w:rsidP="006D76F2">
      <w:pPr>
        <w:keepNext/>
        <w:keepLines/>
        <w:spacing w:after="80" w:line="240" w:lineRule="auto"/>
        <w:ind w:left="180" w:right="18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Water intensity data (gallons/MWh) from regional generators reporting to DOE’s Energy Information Administration (EIA) are used to develop water-withdrawal factors (gallons/MWh) for each fuel type, multiplied by daily reported generation (MWh). Hydroelectric, solar, wind, and storage facilities were assumed to have zero water-intensity factors for this calculation.</w:t>
      </w:r>
    </w:p>
    <w:p w14:paraId="08474097" w14:textId="77777777" w:rsidR="00D97E2B" w:rsidRPr="00D97E2B" w:rsidRDefault="00D97E2B" w:rsidP="006D76F2">
      <w:pPr>
        <w:keepNext/>
        <w:keepLines/>
        <w:spacing w:line="240" w:lineRule="auto"/>
        <w:ind w:left="180" w:right="18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w:t>
      </w:r>
      <w:r w:rsidR="00ED2C1A">
        <w:rPr>
          <w:rFonts w:asciiTheme="minorHAnsi" w:hAnsiTheme="minorHAnsi"/>
          <w:sz w:val="16"/>
          <w:szCs w:val="16"/>
        </w:rPr>
        <w:t>IA</w:t>
      </w:r>
      <w:r w:rsidRPr="00D97E2B">
        <w:rPr>
          <w:rFonts w:asciiTheme="minorHAnsi" w:hAnsiTheme="minorHAnsi"/>
          <w:sz w:val="16"/>
          <w:szCs w:val="16"/>
        </w:rPr>
        <w:t>, “</w:t>
      </w:r>
      <w:r w:rsidRPr="00D97E2B">
        <w:rPr>
          <w:rFonts w:asciiTheme="minorHAnsi" w:hAnsiTheme="minorHAnsi"/>
          <w:color w:val="000000"/>
          <w:sz w:val="16"/>
          <w:szCs w:val="16"/>
        </w:rPr>
        <w:t xml:space="preserve">Thermoelectric cooling water data,” webpage (November 5, 2018, release date; accessed February 2019), </w:t>
      </w:r>
      <w:hyperlink r:id="rId75"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76"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77"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14:paraId="30858F3D" w14:textId="09E12426" w:rsidR="00D97E2B" w:rsidRDefault="00D97E2B" w:rsidP="00036AF6">
      <w:pPr>
        <w:rPr>
          <w:rFonts w:cs="Arial"/>
          <w:color w:val="000000"/>
          <w:spacing w:val="-1"/>
        </w:rPr>
      </w:pPr>
      <w:r w:rsidRPr="00D97E2B">
        <w:rPr>
          <w:rFonts w:eastAsia="Times New Roman"/>
        </w:rPr>
        <w:t xml:space="preserve">While annual water withdrawals have declined, oil-fired capacity equipped with once-through cooling withdrew more water per unit of electricity than any other fuel type, as reflected in a spike in water withdrawals from regional electric power generators during the </w:t>
      </w:r>
      <w:r w:rsidR="00B75DA3">
        <w:rPr>
          <w:rFonts w:eastAsia="Times New Roman"/>
        </w:rPr>
        <w:t xml:space="preserve">2017/2018 cold spell </w:t>
      </w:r>
      <w:r w:rsidRPr="00D97E2B">
        <w:rPr>
          <w:rFonts w:eastAsia="Times New Roman"/>
        </w:rPr>
        <w:t xml:space="preserve">(see </w:t>
      </w:r>
      <w:r w:rsidRPr="00D97E2B">
        <w:rPr>
          <w:rFonts w:eastAsia="Times New Roman"/>
        </w:rPr>
        <w:fldChar w:fldCharType="begin"/>
      </w:r>
      <w:r w:rsidRPr="00D97E2B">
        <w:rPr>
          <w:rFonts w:eastAsia="Times New Roman"/>
        </w:rPr>
        <w:instrText xml:space="preserve"> REF _Ref6475103 \h  \* MERGEFORMAT </w:instrText>
      </w:r>
      <w:r w:rsidRPr="00D97E2B">
        <w:rPr>
          <w:rFonts w:eastAsia="Times New Roman"/>
        </w:rPr>
      </w:r>
      <w:r w:rsidRPr="00D97E2B">
        <w:rPr>
          <w:rFonts w:eastAsia="Times New Roman"/>
        </w:rPr>
        <w:fldChar w:fldCharType="separate"/>
      </w:r>
      <w:r w:rsidR="005D0B73" w:rsidRPr="005D0B73">
        <w:t xml:space="preserve">Figure </w:t>
      </w:r>
      <w:r w:rsidR="005D0B73" w:rsidRPr="005D0B73">
        <w:rPr>
          <w:noProof/>
        </w:rPr>
        <w:t>8</w:t>
      </w:r>
      <w:r w:rsidR="005D0B73" w:rsidRPr="005D0B73">
        <w:rPr>
          <w:noProof/>
        </w:rPr>
        <w:noBreakHyphen/>
        <w:t>2</w:t>
      </w:r>
      <w:r w:rsidRPr="00D97E2B">
        <w:rPr>
          <w:rFonts w:eastAsia="Times New Roman"/>
        </w:rPr>
        <w:fldChar w:fldCharType="end"/>
      </w:r>
      <w:r w:rsidR="00CC3E65">
        <w:rPr>
          <w:rFonts w:eastAsia="Times New Roman"/>
        </w:rPr>
        <w:t xml:space="preserve"> </w:t>
      </w:r>
      <w:r w:rsidR="00CC3E65" w:rsidRPr="00F57D60">
        <w:rPr>
          <w:rFonts w:eastAsia="Times New Roman"/>
        </w:rPr>
        <w:t xml:space="preserve">and </w:t>
      </w:r>
      <w:r w:rsidR="00CC3E65" w:rsidRPr="00F57D60">
        <w:t xml:space="preserve">Section </w:t>
      </w:r>
      <w:r w:rsidR="00CC3E65" w:rsidRPr="00F57D60">
        <w:fldChar w:fldCharType="begin"/>
      </w:r>
      <w:r w:rsidR="00CC3E65" w:rsidRPr="00F57D60">
        <w:instrText xml:space="preserve"> REF _Ref12026833 \r \h </w:instrText>
      </w:r>
      <w:r w:rsidR="00F57D60">
        <w:instrText xml:space="preserve"> \* MERGEFORMAT </w:instrText>
      </w:r>
      <w:r w:rsidR="00CC3E65" w:rsidRPr="00F57D60">
        <w:fldChar w:fldCharType="separate"/>
      </w:r>
      <w:r w:rsidR="005D0B73">
        <w:t>7.5.2.1</w:t>
      </w:r>
      <w:r w:rsidR="00CC3E65" w:rsidRPr="00F57D60">
        <w:fldChar w:fldCharType="end"/>
      </w:r>
      <w:r w:rsidRPr="00F57D60">
        <w:rPr>
          <w:rFonts w:eastAsia="Times New Roman"/>
        </w:rPr>
        <w:t>).</w:t>
      </w:r>
      <w:r w:rsidRPr="00F57D60">
        <w:rPr>
          <w:rFonts w:eastAsia="Times New Roman"/>
          <w:vertAlign w:val="superscript"/>
        </w:rPr>
        <w:footnoteReference w:id="280"/>
      </w:r>
      <w:r w:rsidRPr="00D97E2B">
        <w:rPr>
          <w:rFonts w:eastAsia="Times New Roman"/>
        </w:rPr>
        <w:t xml:space="preserve"> </w:t>
      </w:r>
    </w:p>
    <w:p w14:paraId="0ED4DB59" w14:textId="77777777" w:rsidR="00036AF6" w:rsidRPr="00D97E2B" w:rsidRDefault="00036AF6" w:rsidP="00036AF6">
      <w:pPr>
        <w:widowControl w:val="0"/>
        <w:autoSpaceDE w:val="0"/>
        <w:autoSpaceDN w:val="0"/>
        <w:adjustRightInd w:val="0"/>
        <w:spacing w:after="0" w:line="240" w:lineRule="auto"/>
        <w:jc w:val="center"/>
        <w:rPr>
          <w:rFonts w:cs="Arial"/>
          <w:color w:val="000000"/>
          <w:spacing w:val="-1"/>
        </w:rPr>
      </w:pPr>
      <w:r w:rsidRPr="00036AF6">
        <w:rPr>
          <w:noProof/>
        </w:rPr>
        <w:lastRenderedPageBreak/>
        <w:drawing>
          <wp:inline distT="0" distB="0" distL="0" distR="0" wp14:anchorId="112F48AB" wp14:editId="5E037095">
            <wp:extent cx="5895688" cy="3063240"/>
            <wp:effectExtent l="19050" t="19050" r="1016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8442" cy="3064671"/>
                    </a:xfrm>
                    <a:prstGeom prst="rect">
                      <a:avLst/>
                    </a:prstGeom>
                    <a:noFill/>
                    <a:ln w="3175">
                      <a:solidFill>
                        <a:srgbClr val="000000"/>
                      </a:solidFill>
                    </a:ln>
                  </pic:spPr>
                </pic:pic>
              </a:graphicData>
            </a:graphic>
          </wp:inline>
        </w:drawing>
      </w:r>
    </w:p>
    <w:p w14:paraId="16EFA40D" w14:textId="1AF4E585" w:rsidR="00D97E2B" w:rsidRPr="00D97E2B" w:rsidRDefault="00D97E2B" w:rsidP="00B056E8">
      <w:pPr>
        <w:spacing w:before="120" w:after="80" w:line="240" w:lineRule="auto"/>
        <w:ind w:left="90"/>
        <w:rPr>
          <w:rFonts w:asciiTheme="majorHAnsi" w:hAnsiTheme="majorHAnsi"/>
          <w:b/>
          <w:szCs w:val="18"/>
        </w:rPr>
      </w:pPr>
      <w:bookmarkStart w:id="887" w:name="_Ref6475103"/>
      <w:bookmarkStart w:id="888" w:name="_Toc17709765"/>
      <w:r w:rsidRPr="00D97E2B">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8</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2</w:t>
      </w:r>
      <w:r w:rsidR="008E7223">
        <w:rPr>
          <w:rFonts w:ascii="Calibri" w:hAnsi="Calibri"/>
          <w:b/>
          <w:bCs/>
          <w:szCs w:val="18"/>
        </w:rPr>
        <w:fldChar w:fldCharType="end"/>
      </w:r>
      <w:bookmarkEnd w:id="887"/>
      <w:r w:rsidRPr="00D97E2B">
        <w:rPr>
          <w:rFonts w:ascii="Calibri" w:hAnsi="Calibri"/>
          <w:b/>
          <w:bCs/>
          <w:szCs w:val="18"/>
        </w:rPr>
        <w:t xml:space="preserve">: </w:t>
      </w:r>
      <w:r w:rsidRPr="00D97E2B">
        <w:rPr>
          <w:rFonts w:asciiTheme="majorHAnsi" w:hAnsiTheme="majorHAnsi"/>
          <w:b/>
          <w:szCs w:val="18"/>
        </w:rPr>
        <w:t>Estimated systemwide daily water withdrawals by fuel type in New England, 2016</w:t>
      </w:r>
      <w:r w:rsidR="00A956A8">
        <w:rPr>
          <w:rFonts w:asciiTheme="majorHAnsi" w:hAnsiTheme="majorHAnsi"/>
          <w:b/>
          <w:szCs w:val="18"/>
        </w:rPr>
        <w:t xml:space="preserve"> to </w:t>
      </w:r>
      <w:r w:rsidRPr="00D97E2B">
        <w:rPr>
          <w:rFonts w:asciiTheme="majorHAnsi" w:hAnsiTheme="majorHAnsi"/>
          <w:b/>
          <w:szCs w:val="18"/>
        </w:rPr>
        <w:t>2018 (billions of gallons).</w:t>
      </w:r>
      <w:bookmarkEnd w:id="888"/>
    </w:p>
    <w:p w14:paraId="02753B7A" w14:textId="77777777" w:rsidR="00D97E2B" w:rsidRPr="00D97E2B" w:rsidRDefault="00D97E2B" w:rsidP="00B056E8">
      <w:pPr>
        <w:keepNext/>
        <w:spacing w:after="80" w:line="240" w:lineRule="auto"/>
        <w:ind w:left="90" w:right="-540"/>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Water intensity data (gallons/MWh) from regional generators reporting to EIA are used to develop water withdrawal factors </w:t>
      </w:r>
      <w:r w:rsidRPr="00B056E8">
        <w:rPr>
          <w:rFonts w:asciiTheme="minorHAnsi" w:hAnsiTheme="minorHAnsi"/>
          <w:sz w:val="16"/>
          <w:szCs w:val="16"/>
        </w:rPr>
        <w:t>(gallons/MWh) for ea</w:t>
      </w:r>
      <w:r w:rsidRPr="00D97E2B">
        <w:rPr>
          <w:rFonts w:asciiTheme="minorHAnsi" w:hAnsiTheme="minorHAnsi"/>
          <w:sz w:val="16"/>
          <w:szCs w:val="16"/>
        </w:rPr>
        <w:t>ch fuel type, multiplied by daily reported generation (MWh). Hydroelectric, solar, wind, and storage facilities were assumed to have zero water-intensity factors for this calculation.</w:t>
      </w:r>
    </w:p>
    <w:p w14:paraId="66776600" w14:textId="77777777" w:rsidR="00D97E2B" w:rsidRPr="00D97E2B" w:rsidRDefault="00D97E2B" w:rsidP="00B056E8">
      <w:pPr>
        <w:spacing w:line="240" w:lineRule="auto"/>
        <w:ind w:left="90" w:right="-540"/>
        <w:rPr>
          <w:rFonts w:asciiTheme="minorHAnsi" w:hAnsiTheme="minorHAnsi"/>
          <w:color w:val="000000"/>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 xml:space="preserve">EIA, “2018 </w:t>
      </w:r>
      <w:r w:rsidRPr="00D97E2B">
        <w:rPr>
          <w:rFonts w:asciiTheme="minorHAnsi" w:hAnsiTheme="minorHAnsi"/>
          <w:color w:val="000000"/>
          <w:sz w:val="16"/>
          <w:szCs w:val="16"/>
        </w:rPr>
        <w:t xml:space="preserve">Thermoelectric Cooling Water Data,” webpage (accessed February 2019), </w:t>
      </w:r>
      <w:hyperlink r:id="rId79"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80"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“Daily Generation by Fuel Type,” webpage (data for 2016–2018), </w:t>
      </w:r>
      <w:hyperlink r:id="rId81" w:history="1">
        <w:r w:rsidRPr="00D97E2B">
          <w:rPr>
            <w:rFonts w:asciiTheme="minorHAnsi" w:hAnsiTheme="minorHAnsi"/>
            <w:color w:val="000000"/>
            <w:sz w:val="16"/>
            <w:szCs w:val="16"/>
          </w:rPr>
          <w:t>https://www.iso-ne.com/isoexpress/web/reports/operations/-/tree/daily-gen-fuel-type</w:t>
        </w:r>
      </w:hyperlink>
      <w:r w:rsidRPr="00D97E2B">
        <w:rPr>
          <w:rFonts w:asciiTheme="minorHAnsi" w:hAnsiTheme="minorHAnsi"/>
          <w:color w:val="000000"/>
          <w:sz w:val="16"/>
          <w:szCs w:val="16"/>
        </w:rPr>
        <w:t>.</w:t>
      </w:r>
    </w:p>
    <w:p w14:paraId="0D90EE10" w14:textId="112DD2CC" w:rsidR="00D97E2B" w:rsidRPr="00D97E2B" w:rsidRDefault="00D97E2B" w:rsidP="00D97E2B">
      <w:r w:rsidRPr="00D97E2B">
        <w:t xml:space="preserve">EPA and </w:t>
      </w:r>
      <w:r w:rsidR="009D3CF0">
        <w:t xml:space="preserve">the </w:t>
      </w:r>
      <w:r w:rsidRPr="00D97E2B">
        <w:t xml:space="preserve">New England states are implementing the final </w:t>
      </w:r>
      <w:r w:rsidRPr="00D97E2B">
        <w:rPr>
          <w:rFonts w:cs="Arial"/>
        </w:rPr>
        <w:t xml:space="preserve">CWA </w:t>
      </w:r>
      <w:r w:rsidRPr="00D97E2B">
        <w:t xml:space="preserve">Section 316(b) </w:t>
      </w:r>
      <w:r w:rsidRPr="00D97E2B">
        <w:rPr>
          <w:rFonts w:cs="Arial"/>
        </w:rPr>
        <w:t>CWIS Rule</w:t>
      </w:r>
      <w:r w:rsidRPr="00D97E2B">
        <w:t xml:space="preserve"> requirements to mitigate the adverse impacts to aquatic life of once-through cooling systems </w:t>
      </w:r>
      <w:r w:rsidRPr="00D97E2B">
        <w:rPr>
          <w:rFonts w:cs="Arial"/>
        </w:rPr>
        <w:t xml:space="preserve">with a design intake flow of at least 2 million gallons/day (MGD). </w:t>
      </w:r>
      <w:r w:rsidRPr="00D97E2B">
        <w:t>As shown in</w:t>
      </w:r>
      <w:r w:rsidR="008C4D6B">
        <w:t xml:space="preserve"> </w:t>
      </w:r>
      <w:r w:rsidR="008C4D6B" w:rsidRPr="008C4D6B">
        <w:fldChar w:fldCharType="begin"/>
      </w:r>
      <w:r w:rsidR="008C4D6B" w:rsidRPr="008C4D6B">
        <w:instrText xml:space="preserve"> REF _Ref491189445 \h  \* MERGEFORMAT </w:instrText>
      </w:r>
      <w:r w:rsidR="008C4D6B" w:rsidRPr="008C4D6B">
        <w:fldChar w:fldCharType="separate"/>
      </w:r>
      <w:r w:rsidR="005D0B73" w:rsidRPr="00CA3468">
        <w:t xml:space="preserve">Figure </w:t>
      </w:r>
      <w:r w:rsidR="005D0B73">
        <w:rPr>
          <w:noProof/>
        </w:rPr>
        <w:t>8</w:t>
      </w:r>
      <w:r w:rsidR="005D0B73">
        <w:rPr>
          <w:noProof/>
        </w:rPr>
        <w:noBreakHyphen/>
        <w:t>3</w:t>
      </w:r>
      <w:r w:rsidR="008C4D6B" w:rsidRPr="008C4D6B">
        <w:fldChar w:fldCharType="end"/>
      </w:r>
      <w:r w:rsidRPr="00D97E2B">
        <w:t>, 12.1 GW of existing</w:t>
      </w:r>
      <w:r w:rsidRPr="00D97E2B">
        <w:rPr>
          <w:rFonts w:cs="Arial"/>
        </w:rPr>
        <w:t xml:space="preserve"> steam electric generators (nuclear, coal, oil, natural gas, and bio/refuse) in New England withdraw cooling water using once-through systems engineered with a design intake flow of 2 MGD or greater.</w:t>
      </w:r>
      <w:r w:rsidRPr="00D97E2B">
        <w:rPr>
          <w:vertAlign w:val="superscript"/>
        </w:rPr>
        <w:footnoteReference w:id="281"/>
      </w:r>
      <w:r w:rsidRPr="00D97E2B">
        <w:rPr>
          <w:rFonts w:cs="Arial"/>
        </w:rPr>
        <w:t xml:space="preserve"> </w:t>
      </w:r>
      <w:r w:rsidRPr="00D97E2B">
        <w:t>While EPA anticipated most retrofits occurring between 2018 and 2022, regional delays with several existing water permit reviews could push this schedule beyond 2022.</w:t>
      </w:r>
    </w:p>
    <w:p w14:paraId="0C09A10D" w14:textId="77777777" w:rsidR="00D97E2B" w:rsidRDefault="00D97E2B" w:rsidP="00D97E2B">
      <w:pPr>
        <w:spacing w:after="0" w:line="240" w:lineRule="auto"/>
        <w:jc w:val="center"/>
        <w:rPr>
          <w:noProof/>
        </w:rPr>
      </w:pPr>
      <w:r w:rsidRPr="00D97E2B">
        <w:rPr>
          <w:noProof/>
        </w:rPr>
        <w:t xml:space="preserve"> </w:t>
      </w:r>
    </w:p>
    <w:p w14:paraId="68741CE7" w14:textId="77777777" w:rsidR="0018596B" w:rsidRPr="00D97E2B" w:rsidRDefault="0018596B" w:rsidP="00D97E2B">
      <w:pPr>
        <w:spacing w:after="0" w:line="240" w:lineRule="auto"/>
        <w:jc w:val="center"/>
        <w:rPr>
          <w:rFonts w:asciiTheme="majorHAnsi" w:eastAsia="Times New Roman" w:hAnsiTheme="majorHAnsi" w:cs="Arial"/>
        </w:rPr>
      </w:pPr>
      <w:r w:rsidRPr="0018596B">
        <w:rPr>
          <w:noProof/>
        </w:rPr>
        <w:lastRenderedPageBreak/>
        <w:drawing>
          <wp:inline distT="0" distB="0" distL="0" distR="0" wp14:anchorId="4502E144" wp14:editId="1A88BF14">
            <wp:extent cx="5759866" cy="2461751"/>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1050" cy="2466531"/>
                    </a:xfrm>
                    <a:prstGeom prst="rect">
                      <a:avLst/>
                    </a:prstGeom>
                    <a:noFill/>
                    <a:ln w="3175">
                      <a:solidFill>
                        <a:srgbClr val="000000"/>
                      </a:solidFill>
                    </a:ln>
                  </pic:spPr>
                </pic:pic>
              </a:graphicData>
            </a:graphic>
          </wp:inline>
        </w:drawing>
      </w:r>
    </w:p>
    <w:p w14:paraId="4985B810" w14:textId="343383B3" w:rsidR="00D97E2B" w:rsidRPr="008C4D6B" w:rsidRDefault="008C4D6B" w:rsidP="006D76F2">
      <w:pPr>
        <w:pStyle w:val="Caption"/>
        <w:spacing w:before="120" w:after="80"/>
        <w:jc w:val="left"/>
        <w:rPr>
          <w:rFonts w:asciiTheme="majorHAnsi" w:hAnsiTheme="majorHAnsi"/>
          <w:bCs w:val="0"/>
        </w:rPr>
      </w:pPr>
      <w:bookmarkStart w:id="889" w:name="_Ref491189445"/>
      <w:bookmarkStart w:id="890" w:name="_Toc486233219"/>
      <w:bookmarkStart w:id="891" w:name="_Toc17709766"/>
      <w:r w:rsidRPr="00CA3468">
        <w:t xml:space="preserve">Figure </w:t>
      </w:r>
      <w:fldSimple w:instr=" STYLEREF 1 \s ">
        <w:r w:rsidR="008E7223">
          <w:rPr>
            <w:noProof/>
          </w:rPr>
          <w:t>8</w:t>
        </w:r>
      </w:fldSimple>
      <w:r w:rsidR="008E7223">
        <w:noBreakHyphen/>
      </w:r>
      <w:fldSimple w:instr=" SEQ Figure \* ARABIC \s 1 ">
        <w:r w:rsidR="008E7223">
          <w:rPr>
            <w:noProof/>
          </w:rPr>
          <w:t>3</w:t>
        </w:r>
      </w:fldSimple>
      <w:bookmarkEnd w:id="889"/>
      <w:r w:rsidR="00D97E2B" w:rsidRPr="00CA3468">
        <w:rPr>
          <w:bCs w:val="0"/>
        </w:rPr>
        <w:t>:</w:t>
      </w:r>
      <w:r w:rsidR="00D97E2B" w:rsidRPr="00CA3468">
        <w:rPr>
          <w:rFonts w:asciiTheme="majorHAnsi" w:hAnsiTheme="majorHAnsi"/>
          <w:bCs w:val="0"/>
        </w:rPr>
        <w:t xml:space="preserve"> Summer claimed capability and cooling technology type in New England, 2018 (MW).</w:t>
      </w:r>
      <w:bookmarkEnd w:id="890"/>
      <w:bookmarkEnd w:id="891"/>
    </w:p>
    <w:p w14:paraId="29F3181A" w14:textId="68743EE8" w:rsidR="00D97E2B" w:rsidRPr="00D97E2B" w:rsidRDefault="00D97E2B" w:rsidP="00D97E2B">
      <w:pPr>
        <w:keepNext/>
        <w:spacing w:after="80" w:line="240" w:lineRule="auto"/>
        <w:rPr>
          <w:rFonts w:asciiTheme="minorHAnsi" w:hAnsiTheme="minorHAnsi"/>
          <w:sz w:val="16"/>
          <w:szCs w:val="16"/>
        </w:rPr>
      </w:pPr>
      <w:r w:rsidRPr="00D97E2B">
        <w:rPr>
          <w:rFonts w:asciiTheme="minorHAnsi" w:hAnsiTheme="minorHAnsi"/>
          <w:b/>
          <w:bCs/>
          <w:sz w:val="16"/>
          <w:szCs w:val="16"/>
        </w:rPr>
        <w:t>Note</w:t>
      </w:r>
      <w:r w:rsidRPr="00D97E2B">
        <w:rPr>
          <w:rFonts w:asciiTheme="minorHAnsi" w:hAnsiTheme="minorHAnsi"/>
          <w:sz w:val="16"/>
          <w:szCs w:val="16"/>
        </w:rPr>
        <w:t xml:space="preserve">: Thermal cooling system data are available for </w:t>
      </w:r>
      <w:r w:rsidRPr="000E6ED0">
        <w:rPr>
          <w:rFonts w:asciiTheme="minorHAnsi" w:hAnsiTheme="minorHAnsi"/>
          <w:sz w:val="16"/>
          <w:szCs w:val="16"/>
        </w:rPr>
        <w:t>2</w:t>
      </w:r>
      <w:r w:rsidR="00414F77">
        <w:rPr>
          <w:rFonts w:asciiTheme="minorHAnsi" w:hAnsiTheme="minorHAnsi"/>
          <w:sz w:val="16"/>
          <w:szCs w:val="16"/>
        </w:rPr>
        <w:t>5.5</w:t>
      </w:r>
      <w:r w:rsidRPr="000E6ED0">
        <w:rPr>
          <w:rFonts w:asciiTheme="minorHAnsi" w:hAnsiTheme="minorHAnsi"/>
          <w:sz w:val="16"/>
          <w:szCs w:val="16"/>
        </w:rPr>
        <w:t xml:space="preserve"> GW of existing system capacity in New</w:t>
      </w:r>
      <w:r w:rsidRPr="00D97E2B">
        <w:rPr>
          <w:rFonts w:asciiTheme="minorHAnsi" w:hAnsiTheme="minorHAnsi"/>
          <w:sz w:val="16"/>
          <w:szCs w:val="16"/>
        </w:rPr>
        <w:t xml:space="preserve"> England (excluding hydro, wind, and photovoltaic)</w:t>
      </w:r>
      <w:r w:rsidR="00B056E8">
        <w:rPr>
          <w:rFonts w:asciiTheme="minorHAnsi" w:hAnsiTheme="minorHAnsi"/>
          <w:sz w:val="16"/>
          <w:szCs w:val="16"/>
        </w:rPr>
        <w:t>;</w:t>
      </w:r>
      <w:r w:rsidRPr="00D97E2B">
        <w:rPr>
          <w:rFonts w:asciiTheme="minorHAnsi" w:hAnsiTheme="minorHAnsi"/>
          <w:sz w:val="16"/>
          <w:szCs w:val="16"/>
        </w:rPr>
        <w:t xml:space="preserve"> 11</w:t>
      </w:r>
      <w:r w:rsidR="005B59D2">
        <w:rPr>
          <w:rFonts w:asciiTheme="minorHAnsi" w:hAnsiTheme="minorHAnsi"/>
          <w:sz w:val="16"/>
          <w:szCs w:val="16"/>
        </w:rPr>
        <w:t>.0</w:t>
      </w:r>
      <w:r w:rsidRPr="00D97E2B">
        <w:rPr>
          <w:rFonts w:asciiTheme="minorHAnsi" w:hAnsiTheme="minorHAnsi"/>
          <w:sz w:val="16"/>
          <w:szCs w:val="16"/>
        </w:rPr>
        <w:t xml:space="preserve"> GW use open once-through thermal cooling systems, 6.2 GW use recirculating (induced draft) cooling systems, 7</w:t>
      </w:r>
      <w:r w:rsidR="005B59D2">
        <w:rPr>
          <w:rFonts w:asciiTheme="minorHAnsi" w:hAnsiTheme="minorHAnsi"/>
          <w:sz w:val="16"/>
          <w:szCs w:val="16"/>
        </w:rPr>
        <w:t>.0</w:t>
      </w:r>
      <w:r w:rsidRPr="00D97E2B">
        <w:rPr>
          <w:rFonts w:asciiTheme="minorHAnsi" w:hAnsiTheme="minorHAnsi"/>
          <w:sz w:val="16"/>
          <w:szCs w:val="16"/>
        </w:rPr>
        <w:t xml:space="preserve"> GW use dry/hybrid cooling systems, and 1.36 GW report no cooling water systems. Cooling system data were unavailable for 1.0 GW. Resources &lt;15 MW and resources retired before 2018 are excluded.</w:t>
      </w:r>
    </w:p>
    <w:p w14:paraId="6DF07290" w14:textId="77777777" w:rsidR="00D97E2B" w:rsidRPr="00D97E2B" w:rsidRDefault="00D97E2B" w:rsidP="00D97E2B">
      <w:pPr>
        <w:spacing w:line="240" w:lineRule="auto"/>
        <w:rPr>
          <w:rFonts w:asciiTheme="minorHAnsi" w:hAnsiTheme="minorHAnsi"/>
          <w:sz w:val="16"/>
          <w:szCs w:val="16"/>
        </w:rPr>
      </w:pPr>
      <w:r w:rsidRPr="00D97E2B">
        <w:rPr>
          <w:rFonts w:asciiTheme="minorHAnsi" w:hAnsiTheme="minorHAnsi"/>
          <w:b/>
          <w:bCs/>
          <w:sz w:val="16"/>
          <w:szCs w:val="16"/>
        </w:rPr>
        <w:t xml:space="preserve">Sources: </w:t>
      </w:r>
      <w:r w:rsidRPr="00D97E2B">
        <w:rPr>
          <w:rFonts w:asciiTheme="minorHAnsi" w:hAnsiTheme="minorHAnsi"/>
          <w:sz w:val="16"/>
          <w:szCs w:val="16"/>
        </w:rPr>
        <w:t>EIA, “</w:t>
      </w:r>
      <w:r w:rsidRPr="00D97E2B">
        <w:rPr>
          <w:rFonts w:asciiTheme="minorHAnsi" w:hAnsiTheme="minorHAnsi"/>
          <w:color w:val="000000"/>
          <w:sz w:val="16"/>
          <w:szCs w:val="16"/>
        </w:rPr>
        <w:t xml:space="preserve">Thermoelectric Cooling Water Data,” webpage (November 5, 2018, release date; accessed February 2019), </w:t>
      </w:r>
      <w:hyperlink r:id="rId83" w:history="1">
        <w:r w:rsidRPr="00D97E2B">
          <w:rPr>
            <w:rFonts w:asciiTheme="minorHAnsi" w:hAnsiTheme="minorHAnsi"/>
            <w:color w:val="000000"/>
            <w:sz w:val="16"/>
            <w:szCs w:val="16"/>
          </w:rPr>
          <w:t>https://www.eia.gov/electricity/data/water/</w:t>
        </w:r>
      </w:hyperlink>
      <w:r w:rsidRPr="00D97E2B">
        <w:rPr>
          <w:rFonts w:asciiTheme="minorHAnsi" w:hAnsiTheme="minorHAnsi"/>
          <w:color w:val="000000"/>
          <w:sz w:val="16"/>
          <w:szCs w:val="16"/>
        </w:rPr>
        <w:t xml:space="preserve">; Form EIA-923, </w:t>
      </w:r>
      <w:r w:rsidRPr="00D97E2B">
        <w:rPr>
          <w:rFonts w:asciiTheme="minorHAnsi" w:hAnsiTheme="minorHAnsi"/>
          <w:i/>
          <w:color w:val="000000"/>
          <w:sz w:val="16"/>
          <w:szCs w:val="16"/>
        </w:rPr>
        <w:t>Power Plant Operations Report</w:t>
      </w:r>
      <w:r w:rsidRPr="00D97E2B">
        <w:rPr>
          <w:rFonts w:asciiTheme="minorHAnsi" w:hAnsiTheme="minorHAnsi"/>
          <w:color w:val="000000"/>
          <w:sz w:val="16"/>
          <w:szCs w:val="16"/>
        </w:rPr>
        <w:t xml:space="preserve"> (data for 2018), </w:t>
      </w:r>
      <w:hyperlink r:id="rId84" w:history="1">
        <w:r w:rsidRPr="00D97E2B">
          <w:rPr>
            <w:rFonts w:asciiTheme="minorHAnsi" w:hAnsiTheme="minorHAnsi"/>
            <w:color w:val="000000"/>
            <w:sz w:val="16"/>
            <w:szCs w:val="16"/>
          </w:rPr>
          <w:t>https://www.eia.gov/electricity/data/eia923/</w:t>
        </w:r>
      </w:hyperlink>
      <w:r w:rsidRPr="00D97E2B">
        <w:rPr>
          <w:rFonts w:asciiTheme="minorHAnsi" w:hAnsiTheme="minorHAnsi"/>
          <w:color w:val="000000"/>
          <w:sz w:val="16"/>
          <w:szCs w:val="16"/>
        </w:rPr>
        <w:t>; and</w:t>
      </w:r>
      <w:r w:rsidRPr="00D97E2B">
        <w:rPr>
          <w:rFonts w:asciiTheme="minorHAnsi" w:hAnsiTheme="minorHAnsi"/>
          <w:sz w:val="16"/>
          <w:szCs w:val="16"/>
        </w:rPr>
        <w:t xml:space="preserve"> ISO New England, 2019 CELT Report (April 30, 2019), </w:t>
      </w:r>
      <w:hyperlink r:id="rId85" w:history="1">
        <w:r w:rsidRPr="00D97E2B">
          <w:rPr>
            <w:rFonts w:asciiTheme="minorHAnsi" w:hAnsiTheme="minorHAnsi"/>
            <w:color w:val="000000"/>
            <w:sz w:val="16"/>
            <w:szCs w:val="16"/>
          </w:rPr>
          <w:t>http://www.iso-ne.com/system-planning/system-plans-studies/celt#</w:t>
        </w:r>
      </w:hyperlink>
      <w:r w:rsidRPr="00D97E2B">
        <w:rPr>
          <w:rFonts w:asciiTheme="minorHAnsi" w:hAnsiTheme="minorHAnsi"/>
          <w:color w:val="000000"/>
          <w:sz w:val="16"/>
          <w:szCs w:val="16"/>
        </w:rPr>
        <w:t>.</w:t>
      </w:r>
    </w:p>
    <w:p w14:paraId="3C67E557" w14:textId="77777777" w:rsidR="00D97E2B" w:rsidRPr="00D97E2B" w:rsidRDefault="00D97E2B" w:rsidP="0003567C">
      <w:pPr>
        <w:pStyle w:val="Heading3"/>
      </w:pPr>
      <w:bookmarkStart w:id="892" w:name="_Toc396807664"/>
      <w:bookmarkStart w:id="893" w:name="_Ref418950758"/>
      <w:bookmarkStart w:id="894" w:name="_Toc429063454"/>
      <w:bookmarkStart w:id="895" w:name="_Ref485734800"/>
      <w:bookmarkStart w:id="896" w:name="_Toc490323085"/>
      <w:bookmarkStart w:id="897" w:name="_Ref6993672"/>
      <w:bookmarkStart w:id="898" w:name="_Toc12795233"/>
      <w:r w:rsidRPr="00D97E2B">
        <w:t xml:space="preserve">US </w:t>
      </w:r>
      <w:r w:rsidRPr="00D97E2B">
        <w:rPr>
          <w:i/>
        </w:rPr>
        <w:t>Clean Air Act</w:t>
      </w:r>
      <w:r w:rsidRPr="00D97E2B">
        <w:t xml:space="preserve"> Requirements and Federal Greenhouse Gas Regulations</w:t>
      </w:r>
      <w:bookmarkEnd w:id="892"/>
      <w:bookmarkEnd w:id="893"/>
      <w:bookmarkEnd w:id="894"/>
      <w:bookmarkEnd w:id="895"/>
      <w:bookmarkEnd w:id="896"/>
      <w:bookmarkEnd w:id="897"/>
      <w:bookmarkEnd w:id="898"/>
    </w:p>
    <w:p w14:paraId="78D60B26" w14:textId="5FFE186D" w:rsidR="00D97E2B" w:rsidRPr="00D97E2B" w:rsidRDefault="00D97E2B" w:rsidP="00D97E2B">
      <w:r w:rsidRPr="00D97E2B">
        <w:t>Air pollution regulations currently require local emission sources and those located upwind to limit ozone</w:t>
      </w:r>
      <w:r w:rsidRPr="00D97E2B">
        <w:rPr>
          <w:rFonts w:eastAsia="Times New Roman"/>
        </w:rPr>
        <w:t xml:space="preserve">, particulate matter, and sulfur dioxide </w:t>
      </w:r>
      <w:r w:rsidRPr="00D97E2B">
        <w:t>and their precursors (NO</w:t>
      </w:r>
      <w:r w:rsidRPr="00D97E2B">
        <w:rPr>
          <w:vertAlign w:val="subscript"/>
        </w:rPr>
        <w:t>X</w:t>
      </w:r>
      <w:r w:rsidRPr="00D97E2B">
        <w:t xml:space="preserve"> and SO</w:t>
      </w:r>
      <w:r w:rsidRPr="00D97E2B">
        <w:rPr>
          <w:vertAlign w:val="subscript"/>
        </w:rPr>
        <w:t>X</w:t>
      </w:r>
      <w:r w:rsidRPr="00D97E2B">
        <w:t>), which assists New England states in meeting various environmental standards</w:t>
      </w:r>
      <w:r w:rsidRPr="00D97E2B">
        <w:rPr>
          <w:rFonts w:eastAsia="Times New Roman"/>
        </w:rPr>
        <w:t xml:space="preserve"> for the upwind pollutants </w:t>
      </w:r>
      <w:r w:rsidRPr="00D97E2B">
        <w:t>found in the region.</w:t>
      </w:r>
      <w:r w:rsidR="00235C93">
        <w:rPr>
          <w:rStyle w:val="FootnoteReference"/>
        </w:rPr>
        <w:footnoteReference w:id="282"/>
      </w:r>
      <w:r w:rsidRPr="00D97E2B">
        <w:t xml:space="preserve"> The upwind air pollution can contribute to degraded air quality near an existing or new fossil generator in New England, possibly requiring New England state regulators to impose local operational constraints on in-region generators.</w:t>
      </w:r>
      <w:r w:rsidRPr="00D97E2B">
        <w:rPr>
          <w:vertAlign w:val="superscript"/>
        </w:rPr>
        <w:footnoteReference w:id="283"/>
      </w:r>
      <w:r w:rsidRPr="00D97E2B">
        <w:t xml:space="preserve"> Additionally, other pollution sources nearby (transportation or industrial) or further upwind could limit the operational flexibility, fuel switching, or retrofits (uprates) at regional generators. Worsening air quality (such as ozone trends in southern New England) could necessitate installing or retrofitting more stringent air pollution controls on new and existing fossil generators.</w:t>
      </w:r>
    </w:p>
    <w:p w14:paraId="4676BB1F" w14:textId="77777777" w:rsidR="00D97E2B" w:rsidRPr="00D97E2B" w:rsidRDefault="00D97E2B" w:rsidP="00D97E2B">
      <w:pPr>
        <w:rPr>
          <w:rFonts w:eastAsiaTheme="majorEastAsia" w:cstheme="majorBidi"/>
          <w:bCs/>
          <w:iCs/>
        </w:rPr>
      </w:pPr>
      <w:r w:rsidRPr="00D97E2B">
        <w:t xml:space="preserve">To the extent federal environmental protections are weakened, upwind air pollution sources could switch to less effective pollution controls or operate pollution controls less frequently or at lower </w:t>
      </w:r>
      <w:r w:rsidRPr="00D97E2B">
        <w:lastRenderedPageBreak/>
        <w:t xml:space="preserve">removal efficiencies. </w:t>
      </w:r>
      <w:r w:rsidRPr="00D97E2B">
        <w:rPr>
          <w:rFonts w:eastAsiaTheme="majorEastAsia" w:cstheme="majorBidi"/>
          <w:bCs/>
          <w:iCs/>
        </w:rPr>
        <w:t>Recent regulatory activities and potential new regulations in adjacent control areas also could affect New England’s native generation, resulting emissions, and compliance obligations.</w:t>
      </w:r>
      <w:r w:rsidRPr="00D97E2B">
        <w:rPr>
          <w:rFonts w:eastAsiaTheme="majorEastAsia"/>
          <w:bCs/>
          <w:iCs/>
          <w:vertAlign w:val="superscript"/>
        </w:rPr>
        <w:footnoteReference w:id="284"/>
      </w:r>
      <w:r w:rsidRPr="00D97E2B">
        <w:rPr>
          <w:rFonts w:eastAsiaTheme="majorEastAsia" w:cstheme="majorBidi"/>
          <w:bCs/>
          <w:iCs/>
        </w:rPr>
        <w:t xml:space="preserve"> </w:t>
      </w:r>
      <w:r w:rsidRPr="00D97E2B">
        <w:t>If not adequately addressed, the upwind air pollution also could complicate siting decisions, forcing developers to accept stricter operating constraints to ensure compliance with more stringent local air-quality protections and creating more uncertainty about whether adequate generating capacity will be available where needed across the region.</w:t>
      </w:r>
    </w:p>
    <w:p w14:paraId="53F57A17" w14:textId="414F8481" w:rsidR="00D97E2B" w:rsidRDefault="00D97E2B" w:rsidP="00F300A2">
      <w:r w:rsidRPr="00D97E2B">
        <w:t xml:space="preserve">As shown in, </w:t>
      </w:r>
      <w:r w:rsidR="00163E4F" w:rsidRPr="00163E4F">
        <w:fldChar w:fldCharType="begin"/>
      </w:r>
      <w:r w:rsidR="00163E4F" w:rsidRPr="00163E4F">
        <w:instrText xml:space="preserve"> REF _Ref10823653 \h  \* MERGEFORMAT </w:instrText>
      </w:r>
      <w:r w:rsidR="00163E4F" w:rsidRPr="00163E4F">
        <w:fldChar w:fldCharType="separate"/>
      </w:r>
      <w:r w:rsidR="005D0B73" w:rsidRPr="00163E4F">
        <w:t xml:space="preserve">Table </w:t>
      </w:r>
      <w:r w:rsidR="005D0B73">
        <w:rPr>
          <w:noProof/>
        </w:rPr>
        <w:t>8</w:t>
      </w:r>
      <w:r w:rsidR="005D0B73">
        <w:rPr>
          <w:noProof/>
        </w:rPr>
        <w:noBreakHyphen/>
        <w:t>2</w:t>
      </w:r>
      <w:r w:rsidR="00163E4F" w:rsidRPr="00163E4F">
        <w:fldChar w:fldCharType="end"/>
      </w:r>
      <w:r w:rsidR="00163E4F">
        <w:t xml:space="preserve"> </w:t>
      </w:r>
      <w:r w:rsidRPr="00D97E2B">
        <w:t>m</w:t>
      </w:r>
      <w:r w:rsidRPr="00D97E2B" w:rsidDel="00F55FB7">
        <w:t xml:space="preserve">any </w:t>
      </w:r>
      <w:r w:rsidRPr="00D97E2B" w:rsidDel="00F55FB7">
        <w:rPr>
          <w:i/>
        </w:rPr>
        <w:t xml:space="preserve">Clean Air Act </w:t>
      </w:r>
      <w:r w:rsidRPr="00D97E2B" w:rsidDel="00F55FB7">
        <w:t xml:space="preserve">(CAA) actions affect New England’s fossil-fuel power generators and the region’s air emissions. </w:t>
      </w:r>
      <w:r w:rsidRPr="00D97E2B">
        <w:t>Regional and federal GHG regulations also present a range of environmental and economic implications.</w:t>
      </w:r>
      <w:bookmarkStart w:id="899" w:name="_Ref6474784"/>
    </w:p>
    <w:p w14:paraId="0B59986E" w14:textId="5A92BE7A" w:rsidR="00D97E2B" w:rsidRPr="00163E4F" w:rsidRDefault="00163E4F" w:rsidP="00163E4F">
      <w:pPr>
        <w:pStyle w:val="Caption"/>
      </w:pPr>
      <w:bookmarkStart w:id="900" w:name="_Ref10823653"/>
      <w:bookmarkStart w:id="901" w:name="_Toc12795351"/>
      <w:r w:rsidRPr="00163E4F">
        <w:t xml:space="preserve">Table </w:t>
      </w:r>
      <w:fldSimple w:instr=" STYLEREF 1 \s ">
        <w:r w:rsidR="005D0B73">
          <w:rPr>
            <w:noProof/>
          </w:rPr>
          <w:t>8</w:t>
        </w:r>
      </w:fldSimple>
      <w:r w:rsidR="0082639A">
        <w:noBreakHyphen/>
      </w:r>
      <w:fldSimple w:instr=" SEQ Table \* ARABIC \s 1 ">
        <w:r w:rsidR="005D0B73">
          <w:rPr>
            <w:noProof/>
          </w:rPr>
          <w:t>2</w:t>
        </w:r>
      </w:fldSimple>
      <w:bookmarkEnd w:id="899"/>
      <w:bookmarkEnd w:id="900"/>
      <w:r>
        <w:br/>
      </w:r>
      <w:r w:rsidR="00D97E2B" w:rsidRPr="00163E4F">
        <w:t xml:space="preserve">Major </w:t>
      </w:r>
      <w:r w:rsidR="00D97E2B" w:rsidRPr="00163E4F">
        <w:rPr>
          <w:i/>
        </w:rPr>
        <w:t>Clean Air Act</w:t>
      </w:r>
      <w:r w:rsidR="00D97E2B" w:rsidRPr="00163E4F">
        <w:t xml:space="preserve"> Rules Impacting Coal, Natural Gas, and Oil-Fired Generation</w:t>
      </w:r>
      <w:bookmarkEnd w:id="901"/>
    </w:p>
    <w:tbl>
      <w:tblPr>
        <w:tblStyle w:val="20122tableformat"/>
        <w:tblW w:w="9267" w:type="dxa"/>
        <w:tblLook w:val="0420" w:firstRow="1" w:lastRow="0" w:firstColumn="0" w:lastColumn="0" w:noHBand="0" w:noVBand="1"/>
      </w:tblPr>
      <w:tblGrid>
        <w:gridCol w:w="1089"/>
        <w:gridCol w:w="995"/>
        <w:gridCol w:w="1492"/>
        <w:gridCol w:w="4521"/>
        <w:gridCol w:w="1170"/>
      </w:tblGrid>
      <w:tr w:rsidR="00C3733B" w:rsidRPr="000C6312" w14:paraId="1AD84F3D" w14:textId="77777777" w:rsidTr="001B7DF7">
        <w:trPr>
          <w:cnfStyle w:val="100000000000" w:firstRow="1" w:lastRow="0" w:firstColumn="0" w:lastColumn="0" w:oddVBand="0" w:evenVBand="0" w:oddHBand="0" w:evenHBand="0" w:firstRowFirstColumn="0" w:firstRowLastColumn="0" w:lastRowFirstColumn="0" w:lastRowLastColumn="0"/>
          <w:trHeight w:val="470"/>
        </w:trPr>
        <w:tc>
          <w:tcPr>
            <w:tcW w:w="0" w:type="auto"/>
            <w:shd w:val="clear" w:color="auto" w:fill="1795D2" w:themeFill="accent1"/>
            <w:hideMark/>
          </w:tcPr>
          <w:p w14:paraId="07395FCC" w14:textId="77777777"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Rule</w:t>
            </w:r>
          </w:p>
        </w:tc>
        <w:tc>
          <w:tcPr>
            <w:tcW w:w="0" w:type="auto"/>
            <w:shd w:val="clear" w:color="auto" w:fill="1795D2" w:themeFill="accent1"/>
            <w:hideMark/>
          </w:tcPr>
          <w:p w14:paraId="3F1CD28D" w14:textId="77777777"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Updates</w:t>
            </w:r>
          </w:p>
        </w:tc>
        <w:tc>
          <w:tcPr>
            <w:tcW w:w="0" w:type="auto"/>
            <w:shd w:val="clear" w:color="auto" w:fill="1795D2" w:themeFill="accent1"/>
            <w:hideMark/>
          </w:tcPr>
          <w:p w14:paraId="4FC642F7" w14:textId="77777777"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Regulatory Activity</w:t>
            </w:r>
          </w:p>
        </w:tc>
        <w:tc>
          <w:tcPr>
            <w:tcW w:w="4521" w:type="dxa"/>
            <w:shd w:val="clear" w:color="auto" w:fill="1795D2" w:themeFill="accent1"/>
            <w:hideMark/>
          </w:tcPr>
          <w:p w14:paraId="0403CC1C" w14:textId="77777777"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Major Provisions</w:t>
            </w:r>
          </w:p>
        </w:tc>
        <w:tc>
          <w:tcPr>
            <w:tcW w:w="1170" w:type="dxa"/>
            <w:shd w:val="clear" w:color="auto" w:fill="1795D2" w:themeFill="accent1"/>
            <w:hideMark/>
          </w:tcPr>
          <w:p w14:paraId="20BA0180" w14:textId="77777777" w:rsidR="00D97E2B" w:rsidRPr="000C6312" w:rsidRDefault="00D97E2B" w:rsidP="00D97E2B">
            <w:pPr>
              <w:spacing w:after="80"/>
              <w:rPr>
                <w:rFonts w:asciiTheme="majorHAnsi" w:eastAsia="Times New Roman" w:hAnsiTheme="majorHAnsi" w:cstheme="majorHAnsi"/>
                <w:color w:val="FFFFFF" w:themeColor="background1"/>
                <w:szCs w:val="18"/>
              </w:rPr>
            </w:pPr>
            <w:r w:rsidRPr="000C6312">
              <w:rPr>
                <w:rFonts w:asciiTheme="majorHAnsi" w:eastAsia="Times New Roman" w:hAnsiTheme="majorHAnsi" w:cstheme="majorHAnsi"/>
                <w:color w:val="FFFFFF" w:themeColor="background1"/>
                <w:kern w:val="24"/>
                <w:szCs w:val="18"/>
              </w:rPr>
              <w:t>Generation Sources Affected</w:t>
            </w:r>
          </w:p>
        </w:tc>
      </w:tr>
      <w:tr w:rsidR="00C3733B" w:rsidRPr="00D97E2B" w14:paraId="281DA880" w14:textId="77777777" w:rsidTr="001B7DF7">
        <w:trPr>
          <w:cnfStyle w:val="000000100000" w:firstRow="0" w:lastRow="0" w:firstColumn="0" w:lastColumn="0" w:oddVBand="0" w:evenVBand="0" w:oddHBand="1" w:evenHBand="0" w:firstRowFirstColumn="0" w:firstRowLastColumn="0" w:lastRowFirstColumn="0" w:lastRowLastColumn="0"/>
          <w:cantSplit w:val="0"/>
          <w:trHeight w:val="584"/>
        </w:trPr>
        <w:tc>
          <w:tcPr>
            <w:tcW w:w="0" w:type="auto"/>
            <w:hideMark/>
          </w:tcPr>
          <w:p w14:paraId="7764926D" w14:textId="77777777" w:rsidR="00D97E2B" w:rsidRPr="00D97E2B" w:rsidRDefault="00D97E2B" w:rsidP="005E0B35">
            <w:pPr>
              <w:spacing w:after="80"/>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New Source Review</w:t>
            </w:r>
          </w:p>
        </w:tc>
        <w:tc>
          <w:tcPr>
            <w:tcW w:w="0" w:type="auto"/>
            <w:hideMark/>
          </w:tcPr>
          <w:p w14:paraId="6852536F"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policy updates in 1996 and 2002</w:t>
            </w:r>
          </w:p>
        </w:tc>
        <w:tc>
          <w:tcPr>
            <w:tcW w:w="0" w:type="auto"/>
            <w:hideMark/>
          </w:tcPr>
          <w:p w14:paraId="3957C2A2"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1980; 2002 updates</w:t>
            </w:r>
          </w:p>
          <w:p w14:paraId="76D29D9C" w14:textId="77777777" w:rsidR="00D97E2B" w:rsidRPr="00D97E2B" w:rsidRDefault="00D97E2B" w:rsidP="00B707AC">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 xml:space="preserve">2018 EPA revises applicability </w:t>
            </w:r>
          </w:p>
        </w:tc>
        <w:tc>
          <w:tcPr>
            <w:tcW w:w="4521" w:type="dxa"/>
            <w:hideMark/>
          </w:tcPr>
          <w:p w14:paraId="08F564EF" w14:textId="77777777"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Affects stationary sources of air pollutants.</w:t>
            </w:r>
          </w:p>
          <w:p w14:paraId="492DD0A8" w14:textId="77777777"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Requires that a new or modified power plant obtain a preconstruction permit to ensure, among other things, that modern pollution control equipment is installed.</w:t>
            </w:r>
          </w:p>
          <w:p w14:paraId="7DAAA0D5"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Requirements differ depending on whether or not the plant is located in an area that meets the requirements under the National Ambient Air Quality Standards.</w:t>
            </w:r>
          </w:p>
        </w:tc>
        <w:tc>
          <w:tcPr>
            <w:tcW w:w="1170" w:type="dxa"/>
            <w:hideMark/>
          </w:tcPr>
          <w:p w14:paraId="15E9097C" w14:textId="34AF4A3D" w:rsidR="00D97E2B" w:rsidRPr="00D97E2B" w:rsidRDefault="00D97E2B" w:rsidP="001B7DF7">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w:t>
            </w:r>
            <w:r w:rsidR="001B7DF7">
              <w:rPr>
                <w:rFonts w:asciiTheme="majorHAnsi" w:eastAsia="Times New Roman" w:hAnsiTheme="majorHAnsi" w:cstheme="majorHAnsi"/>
                <w:color w:val="000000"/>
                <w:kern w:val="24"/>
                <w:szCs w:val="18"/>
              </w:rPr>
              <w:br/>
            </w:r>
            <w:r w:rsidRPr="00D97E2B">
              <w:rPr>
                <w:rFonts w:asciiTheme="majorHAnsi" w:eastAsia="Times New Roman" w:hAnsiTheme="majorHAnsi" w:cstheme="majorHAnsi"/>
                <w:color w:val="000000"/>
                <w:kern w:val="24"/>
                <w:szCs w:val="18"/>
              </w:rPr>
              <w:t>natural gas</w:t>
            </w:r>
          </w:p>
        </w:tc>
      </w:tr>
      <w:tr w:rsidR="00C3733B" w:rsidRPr="00D97E2B" w14:paraId="4842FCEA" w14:textId="77777777" w:rsidTr="001B7DF7">
        <w:trPr>
          <w:cnfStyle w:val="000000010000" w:firstRow="0" w:lastRow="0" w:firstColumn="0" w:lastColumn="0" w:oddVBand="0" w:evenVBand="0" w:oddHBand="0" w:evenHBand="1" w:firstRowFirstColumn="0" w:firstRowLastColumn="0" w:lastRowFirstColumn="0" w:lastRowLastColumn="0"/>
          <w:cantSplit w:val="0"/>
          <w:trHeight w:val="584"/>
        </w:trPr>
        <w:tc>
          <w:tcPr>
            <w:tcW w:w="0" w:type="auto"/>
            <w:shd w:val="clear" w:color="auto" w:fill="CCEAF9" w:themeFill="accent1" w:themeFillTint="33"/>
            <w:hideMark/>
          </w:tcPr>
          <w:p w14:paraId="14D5F0CC" w14:textId="77777777" w:rsidR="00D97E2B" w:rsidRPr="00D97E2B" w:rsidRDefault="00D97E2B" w:rsidP="005E0B35">
            <w:pPr>
              <w:spacing w:after="80"/>
              <w:rPr>
                <w:rFonts w:asciiTheme="majorHAnsi" w:eastAsia="Times New Roman" w:hAnsiTheme="majorHAnsi" w:cstheme="majorHAnsi"/>
                <w:szCs w:val="18"/>
              </w:rPr>
            </w:pPr>
            <w:r w:rsidRPr="00D97E2B">
              <w:rPr>
                <w:rFonts w:asciiTheme="majorHAnsi" w:eastAsia="Times New Roman" w:hAnsiTheme="majorHAnsi" w:cstheme="majorHAnsi"/>
                <w:b/>
                <w:bCs/>
                <w:color w:val="000000"/>
                <w:kern w:val="24"/>
                <w:szCs w:val="18"/>
              </w:rPr>
              <w:t>Mercury and Air Toxics Standards</w:t>
            </w:r>
          </w:p>
        </w:tc>
        <w:tc>
          <w:tcPr>
            <w:tcW w:w="0" w:type="auto"/>
            <w:shd w:val="clear" w:color="auto" w:fill="CCEAF9" w:themeFill="accent1" w:themeFillTint="33"/>
            <w:hideMark/>
          </w:tcPr>
          <w:p w14:paraId="6E8381B9"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2012, 2015, 2018</w:t>
            </w:r>
          </w:p>
        </w:tc>
        <w:tc>
          <w:tcPr>
            <w:tcW w:w="0" w:type="auto"/>
            <w:shd w:val="clear" w:color="auto" w:fill="CCEAF9" w:themeFill="accent1" w:themeFillTint="33"/>
            <w:hideMark/>
          </w:tcPr>
          <w:p w14:paraId="46147837"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2015–2016 took effect</w:t>
            </w:r>
          </w:p>
          <w:p w14:paraId="1A549FF0"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kern w:val="24"/>
                <w:szCs w:val="18"/>
              </w:rPr>
              <w:t>2018 EPA proposes rollback</w:t>
            </w:r>
          </w:p>
        </w:tc>
        <w:tc>
          <w:tcPr>
            <w:tcW w:w="4521" w:type="dxa"/>
            <w:shd w:val="clear" w:color="auto" w:fill="CCEAF9" w:themeFill="accent1" w:themeFillTint="33"/>
            <w:hideMark/>
          </w:tcPr>
          <w:p w14:paraId="3B887861" w14:textId="77777777" w:rsidR="00D97E2B" w:rsidRPr="00D97E2B" w:rsidRDefault="00D97E2B" w:rsidP="00D97E2B">
            <w:pPr>
              <w:spacing w:after="80"/>
              <w:rPr>
                <w:rFonts w:asciiTheme="majorHAnsi" w:eastAsia="Times New Roman" w:hAnsiTheme="majorHAnsi" w:cstheme="majorHAnsi"/>
                <w:color w:val="000000"/>
                <w:kern w:val="24"/>
                <w:szCs w:val="18"/>
              </w:rPr>
            </w:pPr>
            <w:r w:rsidRPr="00D97E2B">
              <w:rPr>
                <w:rFonts w:asciiTheme="majorHAnsi" w:eastAsia="Times New Roman" w:hAnsiTheme="majorHAnsi" w:cstheme="majorHAnsi"/>
                <w:color w:val="000000"/>
                <w:kern w:val="24"/>
                <w:szCs w:val="18"/>
              </w:rPr>
              <w:t>Limited mercury, arsenic, acid gases, and other toxic pollutants emissions from coal- and oil-fired generators</w:t>
            </w:r>
          </w:p>
          <w:p w14:paraId="7D7EF1EF"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Initial compliance due by April 2015; certain generators received multiyear compliance extensions through 2017.</w:t>
            </w:r>
          </w:p>
        </w:tc>
        <w:tc>
          <w:tcPr>
            <w:tcW w:w="1170" w:type="dxa"/>
            <w:shd w:val="clear" w:color="auto" w:fill="CCEAF9" w:themeFill="accent1" w:themeFillTint="33"/>
            <w:hideMark/>
          </w:tcPr>
          <w:p w14:paraId="0A144FB8" w14:textId="77777777" w:rsidR="00D97E2B" w:rsidRPr="00D97E2B" w:rsidRDefault="00D97E2B" w:rsidP="00D97E2B">
            <w:pPr>
              <w:spacing w:after="80"/>
              <w:rPr>
                <w:rFonts w:asciiTheme="majorHAnsi" w:eastAsia="Times New Roman" w:hAnsiTheme="majorHAnsi" w:cstheme="majorHAnsi"/>
                <w:szCs w:val="18"/>
              </w:rPr>
            </w:pPr>
            <w:r w:rsidRPr="00D97E2B">
              <w:rPr>
                <w:rFonts w:asciiTheme="majorHAnsi" w:eastAsia="Times New Roman" w:hAnsiTheme="majorHAnsi" w:cstheme="majorHAnsi"/>
                <w:color w:val="000000"/>
                <w:kern w:val="24"/>
                <w:szCs w:val="18"/>
              </w:rPr>
              <w:t>Coal, oil</w:t>
            </w:r>
          </w:p>
        </w:tc>
      </w:tr>
      <w:tr w:rsidR="00C3733B" w:rsidRPr="00D97E2B" w14:paraId="0F73D74B" w14:textId="77777777" w:rsidTr="001B7DF7">
        <w:trPr>
          <w:cnfStyle w:val="000000100000" w:firstRow="0" w:lastRow="0" w:firstColumn="0" w:lastColumn="0" w:oddVBand="0" w:evenVBand="0" w:oddHBand="1" w:evenHBand="0" w:firstRowFirstColumn="0" w:firstRowLastColumn="0" w:lastRowFirstColumn="0" w:lastRowLastColumn="0"/>
          <w:cantSplit w:val="0"/>
          <w:trHeight w:val="1055"/>
        </w:trPr>
        <w:tc>
          <w:tcPr>
            <w:tcW w:w="0" w:type="auto"/>
          </w:tcPr>
          <w:p w14:paraId="4CED8A41" w14:textId="77777777" w:rsidR="00D97E2B" w:rsidRPr="00D97E2B" w:rsidRDefault="00D97E2B" w:rsidP="005E0B35">
            <w:pPr>
              <w:spacing w:after="80"/>
              <w:rPr>
                <w:rFonts w:asciiTheme="majorHAnsi" w:hAnsiTheme="majorHAnsi" w:cstheme="majorHAnsi"/>
                <w:b/>
                <w:szCs w:val="18"/>
              </w:rPr>
            </w:pPr>
            <w:r w:rsidRPr="00D97E2B">
              <w:rPr>
                <w:rFonts w:asciiTheme="majorHAnsi" w:hAnsiTheme="majorHAnsi" w:cstheme="majorHAnsi"/>
                <w:b/>
                <w:szCs w:val="18"/>
              </w:rPr>
              <w:t>Regional Haze Rule</w:t>
            </w:r>
          </w:p>
        </w:tc>
        <w:tc>
          <w:tcPr>
            <w:tcW w:w="0" w:type="auto"/>
          </w:tcPr>
          <w:p w14:paraId="4FDDB302" w14:textId="77777777"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1999; policy revisions in 2017</w:t>
            </w:r>
          </w:p>
        </w:tc>
        <w:tc>
          <w:tcPr>
            <w:tcW w:w="0" w:type="auto"/>
          </w:tcPr>
          <w:p w14:paraId="072933F0" w14:textId="77777777"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Implemented;</w:t>
            </w:r>
          </w:p>
          <w:p w14:paraId="52BA3A5B" w14:textId="77777777" w:rsidR="00D97E2B" w:rsidRPr="00D97E2B" w:rsidRDefault="00D97E2B" w:rsidP="00687C70">
            <w:pPr>
              <w:spacing w:after="80"/>
              <w:rPr>
                <w:rFonts w:asciiTheme="majorHAnsi" w:hAnsiTheme="majorHAnsi" w:cstheme="majorHAnsi"/>
                <w:szCs w:val="18"/>
              </w:rPr>
            </w:pPr>
            <w:r w:rsidRPr="00D97E2B">
              <w:rPr>
                <w:rFonts w:asciiTheme="majorHAnsi" w:hAnsiTheme="majorHAnsi" w:cstheme="majorHAnsi"/>
                <w:szCs w:val="18"/>
              </w:rPr>
              <w:t>Revised state plans due in 2021</w:t>
            </w:r>
            <w:r w:rsidR="00687C70">
              <w:rPr>
                <w:rFonts w:asciiTheme="majorHAnsi" w:hAnsiTheme="majorHAnsi" w:cstheme="majorHAnsi"/>
                <w:szCs w:val="18"/>
              </w:rPr>
              <w:t>;</w:t>
            </w:r>
            <w:r w:rsidRPr="00D97E2B">
              <w:rPr>
                <w:rFonts w:asciiTheme="majorHAnsi" w:hAnsiTheme="majorHAnsi" w:cstheme="majorHAnsi"/>
                <w:szCs w:val="18"/>
              </w:rPr>
              <w:t xml:space="preserve"> some plans under review</w:t>
            </w:r>
          </w:p>
        </w:tc>
        <w:tc>
          <w:tcPr>
            <w:tcW w:w="4521" w:type="dxa"/>
          </w:tcPr>
          <w:p w14:paraId="4D5D896D" w14:textId="77777777"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Requires states to develop long-term strategies, including enforceable measures to improve visibility in 156 national parks and wilderness areas.</w:t>
            </w:r>
          </w:p>
          <w:p w14:paraId="186E08AC" w14:textId="77777777"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Aims at returning visibility to natural conditions by 2064.</w:t>
            </w:r>
          </w:p>
        </w:tc>
        <w:tc>
          <w:tcPr>
            <w:tcW w:w="1170" w:type="dxa"/>
          </w:tcPr>
          <w:p w14:paraId="504F5B71" w14:textId="20ABE63A" w:rsidR="00D97E2B" w:rsidRPr="00D97E2B" w:rsidRDefault="00D97E2B" w:rsidP="001B7DF7">
            <w:pPr>
              <w:spacing w:after="80"/>
              <w:rPr>
                <w:rFonts w:asciiTheme="majorHAnsi" w:hAnsiTheme="majorHAnsi" w:cstheme="majorHAnsi"/>
                <w:szCs w:val="18"/>
              </w:rPr>
            </w:pPr>
            <w:r w:rsidRPr="00D97E2B">
              <w:rPr>
                <w:rFonts w:asciiTheme="majorHAnsi" w:hAnsiTheme="majorHAnsi" w:cstheme="majorHAnsi"/>
                <w:szCs w:val="18"/>
              </w:rPr>
              <w:t>Coal, oil,</w:t>
            </w:r>
            <w:r w:rsidR="001B7DF7">
              <w:rPr>
                <w:rFonts w:asciiTheme="majorHAnsi" w:hAnsiTheme="majorHAnsi" w:cstheme="majorHAnsi"/>
                <w:szCs w:val="18"/>
              </w:rPr>
              <w:br/>
            </w:r>
            <w:r w:rsidRPr="00D97E2B">
              <w:rPr>
                <w:rFonts w:asciiTheme="majorHAnsi" w:hAnsiTheme="majorHAnsi" w:cstheme="majorHAnsi"/>
                <w:szCs w:val="18"/>
              </w:rPr>
              <w:t>natural gas</w:t>
            </w:r>
          </w:p>
        </w:tc>
      </w:tr>
      <w:tr w:rsidR="00C3733B" w:rsidRPr="00D97E2B" w14:paraId="7B989776" w14:textId="77777777" w:rsidTr="001B7DF7">
        <w:trPr>
          <w:cnfStyle w:val="000000010000" w:firstRow="0" w:lastRow="0" w:firstColumn="0" w:lastColumn="0" w:oddVBand="0" w:evenVBand="0" w:oddHBand="0" w:evenHBand="1" w:firstRowFirstColumn="0" w:firstRowLastColumn="0" w:lastRowFirstColumn="0" w:lastRowLastColumn="0"/>
          <w:cantSplit w:val="0"/>
          <w:trHeight w:val="1127"/>
        </w:trPr>
        <w:tc>
          <w:tcPr>
            <w:tcW w:w="0" w:type="auto"/>
            <w:shd w:val="clear" w:color="auto" w:fill="CCEAF9" w:themeFill="accent1" w:themeFillTint="33"/>
          </w:tcPr>
          <w:p w14:paraId="6A171888" w14:textId="4B608954" w:rsidR="00D97E2B" w:rsidRPr="00D97E2B" w:rsidRDefault="00D97E2B" w:rsidP="005E0B35">
            <w:pPr>
              <w:spacing w:after="80"/>
              <w:rPr>
                <w:rFonts w:asciiTheme="majorHAnsi" w:hAnsiTheme="majorHAnsi" w:cstheme="majorHAnsi"/>
                <w:b/>
                <w:szCs w:val="18"/>
              </w:rPr>
            </w:pPr>
            <w:r w:rsidRPr="00D97E2B">
              <w:rPr>
                <w:rFonts w:asciiTheme="majorHAnsi" w:hAnsiTheme="majorHAnsi" w:cstheme="majorHAnsi"/>
                <w:b/>
                <w:szCs w:val="18"/>
              </w:rPr>
              <w:t>Cross-State Air Pollution Rule</w:t>
            </w:r>
            <w:r w:rsidR="00C3733B">
              <w:rPr>
                <w:rFonts w:asciiTheme="majorHAnsi" w:hAnsiTheme="majorHAnsi" w:cstheme="majorHAnsi"/>
                <w:b/>
                <w:szCs w:val="18"/>
              </w:rPr>
              <w:t xml:space="preserve"> </w:t>
            </w:r>
            <w:r w:rsidR="00C3733B" w:rsidRPr="00235C93">
              <w:rPr>
                <w:rFonts w:asciiTheme="majorHAnsi" w:hAnsiTheme="majorHAnsi" w:cstheme="majorHAnsi"/>
                <w:b/>
                <w:szCs w:val="18"/>
              </w:rPr>
              <w:t>(CSAPR)</w:t>
            </w:r>
          </w:p>
        </w:tc>
        <w:tc>
          <w:tcPr>
            <w:tcW w:w="0" w:type="auto"/>
            <w:shd w:val="clear" w:color="auto" w:fill="CCEAF9" w:themeFill="accent1" w:themeFillTint="33"/>
          </w:tcPr>
          <w:p w14:paraId="131513C4" w14:textId="77777777" w:rsidR="00D97E2B" w:rsidRPr="00D97E2B" w:rsidRDefault="00D97E2B" w:rsidP="00D97E2B">
            <w:pPr>
              <w:spacing w:after="80"/>
              <w:rPr>
                <w:rFonts w:asciiTheme="majorHAnsi" w:hAnsiTheme="majorHAnsi" w:cstheme="majorHAnsi"/>
                <w:szCs w:val="18"/>
              </w:rPr>
            </w:pPr>
            <w:r w:rsidRPr="00D97E2B">
              <w:rPr>
                <w:rFonts w:asciiTheme="majorHAnsi" w:hAnsiTheme="majorHAnsi" w:cstheme="majorHAnsi"/>
                <w:szCs w:val="18"/>
              </w:rPr>
              <w:t>2011</w:t>
            </w:r>
          </w:p>
        </w:tc>
        <w:tc>
          <w:tcPr>
            <w:tcW w:w="0" w:type="auto"/>
            <w:shd w:val="clear" w:color="auto" w:fill="CCEAF9" w:themeFill="accent1" w:themeFillTint="33"/>
          </w:tcPr>
          <w:p w14:paraId="2AA4116F" w14:textId="77777777" w:rsidR="00D97E2B" w:rsidRPr="00235C93" w:rsidRDefault="00D97E2B" w:rsidP="00D97E2B">
            <w:pPr>
              <w:spacing w:after="80"/>
              <w:rPr>
                <w:rFonts w:asciiTheme="majorHAnsi" w:hAnsiTheme="majorHAnsi" w:cstheme="majorHAnsi"/>
                <w:szCs w:val="18"/>
              </w:rPr>
            </w:pPr>
            <w:r w:rsidRPr="00235C93">
              <w:rPr>
                <w:rFonts w:asciiTheme="majorHAnsi" w:hAnsiTheme="majorHAnsi" w:cstheme="majorHAnsi"/>
                <w:szCs w:val="18"/>
              </w:rPr>
              <w:t>Phase 1: 2015</w:t>
            </w:r>
          </w:p>
          <w:p w14:paraId="733D90E2" w14:textId="77777777" w:rsidR="00D97E2B" w:rsidRPr="00235C93" w:rsidRDefault="00D97E2B" w:rsidP="00D97E2B">
            <w:pPr>
              <w:spacing w:after="80"/>
              <w:rPr>
                <w:rFonts w:asciiTheme="majorHAnsi" w:hAnsiTheme="majorHAnsi" w:cstheme="majorHAnsi"/>
                <w:szCs w:val="18"/>
              </w:rPr>
            </w:pPr>
            <w:r w:rsidRPr="00235C93">
              <w:rPr>
                <w:rFonts w:asciiTheme="majorHAnsi" w:hAnsiTheme="majorHAnsi" w:cstheme="majorHAnsi"/>
                <w:szCs w:val="18"/>
              </w:rPr>
              <w:t>Phase 2: 2017</w:t>
            </w:r>
          </w:p>
        </w:tc>
        <w:tc>
          <w:tcPr>
            <w:tcW w:w="4521" w:type="dxa"/>
            <w:shd w:val="clear" w:color="auto" w:fill="CCEAF9" w:themeFill="accent1" w:themeFillTint="33"/>
          </w:tcPr>
          <w:p w14:paraId="1BEC2BD5" w14:textId="6C3F22DB" w:rsidR="00D97E2B" w:rsidRPr="00235C93" w:rsidRDefault="00D97E2B" w:rsidP="00A93B6D">
            <w:pPr>
              <w:spacing w:after="80"/>
              <w:rPr>
                <w:rFonts w:asciiTheme="majorHAnsi" w:hAnsiTheme="majorHAnsi" w:cstheme="majorHAnsi"/>
                <w:szCs w:val="18"/>
              </w:rPr>
            </w:pPr>
            <w:r w:rsidRPr="00235C93">
              <w:rPr>
                <w:rFonts w:asciiTheme="majorHAnsi" w:hAnsiTheme="majorHAnsi" w:cstheme="majorHAnsi"/>
                <w:szCs w:val="18"/>
              </w:rPr>
              <w:t xml:space="preserve">Replaced the Clean Air Interstate Rule starting </w:t>
            </w:r>
            <w:r w:rsidR="00A93B6D" w:rsidRPr="00235C93">
              <w:rPr>
                <w:rFonts w:asciiTheme="majorHAnsi" w:hAnsiTheme="majorHAnsi" w:cstheme="majorHAnsi"/>
                <w:szCs w:val="18"/>
              </w:rPr>
              <w:t>January</w:t>
            </w:r>
            <w:r w:rsidR="00A93B6D">
              <w:rPr>
                <w:rFonts w:asciiTheme="majorHAnsi" w:hAnsiTheme="majorHAnsi" w:cstheme="majorHAnsi"/>
                <w:szCs w:val="18"/>
              </w:rPr>
              <w:t> </w:t>
            </w:r>
            <w:r w:rsidRPr="00235C93">
              <w:rPr>
                <w:rFonts w:asciiTheme="majorHAnsi" w:hAnsiTheme="majorHAnsi" w:cstheme="majorHAnsi"/>
                <w:szCs w:val="18"/>
              </w:rPr>
              <w:t>1, 2015; requires states to reduce power plant emissions of SO</w:t>
            </w:r>
            <w:r w:rsidRPr="00235C93">
              <w:rPr>
                <w:rFonts w:asciiTheme="majorHAnsi" w:hAnsiTheme="majorHAnsi" w:cstheme="majorHAnsi"/>
                <w:szCs w:val="18"/>
                <w:vertAlign w:val="subscript"/>
              </w:rPr>
              <w:t>2</w:t>
            </w:r>
            <w:r w:rsidRPr="00235C93">
              <w:rPr>
                <w:rFonts w:asciiTheme="majorHAnsi" w:hAnsiTheme="majorHAnsi" w:cstheme="majorHAnsi"/>
                <w:szCs w:val="18"/>
              </w:rPr>
              <w:t xml:space="preserve"> and NO</w:t>
            </w:r>
            <w:r w:rsidRPr="00235C93">
              <w:rPr>
                <w:rFonts w:asciiTheme="majorHAnsi" w:hAnsiTheme="majorHAnsi" w:cstheme="majorHAnsi"/>
                <w:szCs w:val="18"/>
                <w:vertAlign w:val="subscript"/>
              </w:rPr>
              <w:t>X</w:t>
            </w:r>
            <w:r w:rsidRPr="00235C93">
              <w:rPr>
                <w:rFonts w:asciiTheme="majorHAnsi" w:hAnsiTheme="majorHAnsi" w:cstheme="majorHAnsi"/>
                <w:szCs w:val="18"/>
              </w:rPr>
              <w:t xml:space="preserve"> that contribute to ozone emissions and fine-particle pollution in other states.</w:t>
            </w:r>
            <w:r w:rsidR="00C3733B" w:rsidRPr="00235C93">
              <w:rPr>
                <w:rFonts w:asciiTheme="majorHAnsi" w:hAnsiTheme="majorHAnsi" w:cstheme="majorHAnsi"/>
                <w:szCs w:val="18"/>
              </w:rPr>
              <w:t xml:space="preserve"> Although none of the New England states are required to reduce their emissions pursuant to phase 2 of CSAPR, the region will benefit from emissions </w:t>
            </w:r>
            <w:r w:rsidR="00AF6B35" w:rsidRPr="00E75E28">
              <w:rPr>
                <w:rFonts w:asciiTheme="majorHAnsi" w:hAnsiTheme="majorHAnsi" w:cstheme="majorHAnsi"/>
                <w:szCs w:val="18"/>
              </w:rPr>
              <w:t>reductions</w:t>
            </w:r>
            <w:r w:rsidR="00C3733B" w:rsidRPr="00235C93">
              <w:rPr>
                <w:rFonts w:asciiTheme="majorHAnsi" w:hAnsiTheme="majorHAnsi" w:cstheme="majorHAnsi"/>
                <w:szCs w:val="18"/>
              </w:rPr>
              <w:t xml:space="preserve"> required of upwind states.</w:t>
            </w:r>
          </w:p>
        </w:tc>
        <w:tc>
          <w:tcPr>
            <w:tcW w:w="1170" w:type="dxa"/>
            <w:shd w:val="clear" w:color="auto" w:fill="CCEAF9" w:themeFill="accent1" w:themeFillTint="33"/>
          </w:tcPr>
          <w:p w14:paraId="4E5A5C6D" w14:textId="43BFC387" w:rsidR="00D97E2B" w:rsidRPr="00D97E2B" w:rsidRDefault="00D97E2B" w:rsidP="001B7DF7">
            <w:pPr>
              <w:spacing w:after="80"/>
              <w:rPr>
                <w:rFonts w:asciiTheme="majorHAnsi" w:hAnsiTheme="majorHAnsi" w:cstheme="majorHAnsi"/>
                <w:szCs w:val="18"/>
              </w:rPr>
            </w:pPr>
            <w:r w:rsidRPr="00D97E2B">
              <w:rPr>
                <w:rFonts w:asciiTheme="majorHAnsi" w:hAnsiTheme="majorHAnsi" w:cstheme="majorHAnsi"/>
                <w:szCs w:val="18"/>
              </w:rPr>
              <w:t>Coal,</w:t>
            </w:r>
            <w:r w:rsidR="001B7DF7">
              <w:rPr>
                <w:rFonts w:asciiTheme="majorHAnsi" w:hAnsiTheme="majorHAnsi" w:cstheme="majorHAnsi"/>
                <w:szCs w:val="18"/>
              </w:rPr>
              <w:br/>
            </w:r>
            <w:r w:rsidRPr="00D97E2B">
              <w:rPr>
                <w:rFonts w:asciiTheme="majorHAnsi" w:hAnsiTheme="majorHAnsi" w:cstheme="majorHAnsi"/>
                <w:szCs w:val="18"/>
              </w:rPr>
              <w:t>natural gas</w:t>
            </w:r>
          </w:p>
        </w:tc>
      </w:tr>
    </w:tbl>
    <w:p w14:paraId="27F79037" w14:textId="2EBCE2D1" w:rsidR="00D97E2B" w:rsidRPr="00D97E2B" w:rsidRDefault="00D97E2B" w:rsidP="001B7DF7">
      <w:pPr>
        <w:widowControl w:val="0"/>
        <w:autoSpaceDE w:val="0"/>
        <w:autoSpaceDN w:val="0"/>
        <w:adjustRightInd w:val="0"/>
        <w:spacing w:before="120" w:after="0" w:line="240" w:lineRule="auto"/>
        <w:ind w:left="-86" w:right="-86"/>
        <w:rPr>
          <w:rFonts w:cs="Arial"/>
          <w:color w:val="000000"/>
          <w:spacing w:val="-1"/>
        </w:rPr>
      </w:pPr>
      <w:r w:rsidRPr="00D97E2B">
        <w:rPr>
          <w:rFonts w:asciiTheme="minorHAnsi" w:hAnsiTheme="minorHAnsi"/>
          <w:b/>
          <w:bCs/>
          <w:sz w:val="16"/>
          <w:szCs w:val="16"/>
        </w:rPr>
        <w:t>Source:</w:t>
      </w:r>
      <w:r w:rsidRPr="00D97E2B">
        <w:rPr>
          <w:rFonts w:asciiTheme="minorHAnsi" w:hAnsiTheme="minorHAnsi"/>
          <w:bCs/>
          <w:sz w:val="16"/>
          <w:szCs w:val="16"/>
        </w:rPr>
        <w:t xml:space="preserve"> US DOE, </w:t>
      </w:r>
      <w:r w:rsidRPr="00D97E2B">
        <w:rPr>
          <w:rFonts w:asciiTheme="minorHAnsi" w:hAnsiTheme="minorHAnsi"/>
          <w:bCs/>
          <w:i/>
          <w:sz w:val="16"/>
          <w:szCs w:val="16"/>
        </w:rPr>
        <w:t>Staff Report to the Secretary on Electricity Markets and Reliability</w:t>
      </w:r>
      <w:r w:rsidRPr="00D97E2B">
        <w:rPr>
          <w:rFonts w:asciiTheme="minorHAnsi" w:hAnsiTheme="minorHAnsi"/>
          <w:bCs/>
          <w:sz w:val="16"/>
          <w:szCs w:val="16"/>
        </w:rPr>
        <w:t xml:space="preserve"> (August 2017), </w:t>
      </w:r>
      <w:hyperlink r:id="rId86" w:history="1">
        <w:r w:rsidRPr="00D97E2B">
          <w:rPr>
            <w:rFonts w:asciiTheme="minorHAnsi" w:hAnsiTheme="minorHAnsi"/>
            <w:bCs/>
            <w:color w:val="000000"/>
            <w:sz w:val="16"/>
            <w:szCs w:val="16"/>
          </w:rPr>
          <w:t>https://www.energy.gov/sites/prod/files/2017/08/f36/Staff%20Report%20on%20Electricity%20Markets%20and%20Reliability_0.pdf</w:t>
        </w:r>
      </w:hyperlink>
      <w:r w:rsidRPr="00D97E2B">
        <w:rPr>
          <w:rFonts w:asciiTheme="minorHAnsi" w:hAnsiTheme="minorHAnsi"/>
          <w:bCs/>
          <w:color w:val="000000"/>
          <w:sz w:val="16"/>
          <w:szCs w:val="16"/>
        </w:rPr>
        <w:t xml:space="preserve"> (</w:t>
      </w:r>
      <w:r w:rsidR="00687C70">
        <w:rPr>
          <w:rFonts w:asciiTheme="minorHAnsi" w:hAnsiTheme="minorHAnsi"/>
          <w:bCs/>
          <w:color w:val="000000"/>
          <w:sz w:val="16"/>
          <w:szCs w:val="16"/>
        </w:rPr>
        <w:t>u</w:t>
      </w:r>
      <w:r w:rsidRPr="00D97E2B">
        <w:rPr>
          <w:rFonts w:asciiTheme="minorHAnsi" w:hAnsiTheme="minorHAnsi"/>
          <w:bCs/>
          <w:sz w:val="16"/>
          <w:szCs w:val="16"/>
        </w:rPr>
        <w:t>pdated by ISO New England</w:t>
      </w:r>
      <w:r w:rsidR="00687C70">
        <w:rPr>
          <w:rFonts w:asciiTheme="minorHAnsi" w:hAnsiTheme="minorHAnsi"/>
          <w:bCs/>
          <w:sz w:val="16"/>
          <w:szCs w:val="16"/>
        </w:rPr>
        <w:t>,</w:t>
      </w:r>
      <w:r w:rsidRPr="00D97E2B">
        <w:rPr>
          <w:rFonts w:asciiTheme="minorHAnsi" w:hAnsiTheme="minorHAnsi"/>
          <w:bCs/>
          <w:sz w:val="16"/>
          <w:szCs w:val="16"/>
        </w:rPr>
        <w:t xml:space="preserve"> May 2019).</w:t>
      </w:r>
    </w:p>
    <w:p w14:paraId="5F645BAE" w14:textId="4EDB5802" w:rsidR="00D97E2B" w:rsidRPr="00D97E2B" w:rsidRDefault="00D97E2B" w:rsidP="00D97E2B">
      <w:pPr>
        <w:rPr>
          <w:rFonts w:eastAsiaTheme="majorEastAsia" w:cstheme="majorBidi"/>
          <w:bCs/>
          <w:i/>
          <w:iCs/>
        </w:rPr>
      </w:pPr>
      <w:r w:rsidRPr="00D97E2B">
        <w:lastRenderedPageBreak/>
        <w:t>In 2018, EPA finalized regulations implementing requirements for the 2015 ozone standard, which may require operational changes and potential pollution control retrofits for fossil capacity across southern New England.</w:t>
      </w:r>
      <w:r w:rsidRPr="00D97E2B">
        <w:rPr>
          <w:vertAlign w:val="superscript"/>
        </w:rPr>
        <w:footnoteReference w:id="285"/>
      </w:r>
      <w:r w:rsidRPr="00D97E2B">
        <w:t xml:space="preserve"> The 2015 ozone standard imposes more stringent technology-based performance standards for new or modified fossil fuel generators. </w:t>
      </w:r>
    </w:p>
    <w:p w14:paraId="281E09EA" w14:textId="77777777" w:rsidR="00D97E2B" w:rsidRPr="00D97E2B" w:rsidRDefault="00D97E2B" w:rsidP="0003567C">
      <w:pPr>
        <w:pStyle w:val="Heading4"/>
      </w:pPr>
      <w:r w:rsidRPr="00D97E2B">
        <w:t xml:space="preserve">Implementation of Mercury and Air Toxics Standards </w:t>
      </w:r>
    </w:p>
    <w:p w14:paraId="236F1879" w14:textId="77777777" w:rsidR="00D97E2B" w:rsidRPr="00D97E2B" w:rsidRDefault="00D97E2B" w:rsidP="00D97E2B">
      <w:r w:rsidRPr="00D97E2B">
        <w:t>Of the 5.61 GW of remaining coal- and oil-fired steam thermal electric generators subject to the Mercury and Air Toxics Standards (MATS), 84% are residual oil-fired and qualify as limited-use units, with limited compliance obligations. Litigation involving the 2016 MATS supplemental finding was suspended indefinitely in April 2017, but affected generators must continue complying with MATS.</w:t>
      </w:r>
      <w:r w:rsidRPr="00D97E2B">
        <w:rPr>
          <w:vertAlign w:val="superscript"/>
        </w:rPr>
        <w:footnoteReference w:id="286"/>
      </w:r>
      <w:r w:rsidRPr="00D97E2B">
        <w:t xml:space="preserve"> In December 2018, EPA proposed reconsideration of the 2016 supplemental finding, limiting consideration of health benefits in the cost-benefit analysis justifying MATS.</w:t>
      </w:r>
      <w:r w:rsidRPr="00D97E2B">
        <w:rPr>
          <w:vertAlign w:val="superscript"/>
        </w:rPr>
        <w:footnoteReference w:id="287"/>
      </w:r>
      <w:r w:rsidRPr="00D97E2B">
        <w:t xml:space="preserve"> However, in New England state air toxics requirements remain as backstops for affected generators. </w:t>
      </w:r>
    </w:p>
    <w:p w14:paraId="780A91DA" w14:textId="77777777" w:rsidR="00D97E2B" w:rsidRPr="00D97E2B" w:rsidRDefault="00D97E2B" w:rsidP="00D97E2B">
      <w:r w:rsidRPr="00D97E2B">
        <w:t>Most of the region’s coal- and residual oil-fired steam generators larger than 25 MW are already complying with the standard’s emissions limits for acid gases, toxic metals, and mercury based on maximum achievable control technologies (MACTs). Or, they are subject to the less-stringent requirements for limited-use units based on low individual-unit capacity factors.</w:t>
      </w:r>
      <w:r w:rsidRPr="00D97E2B">
        <w:rPr>
          <w:vertAlign w:val="superscript"/>
        </w:rPr>
        <w:footnoteReference w:id="288"/>
      </w:r>
      <w:r w:rsidRPr="00D97E2B">
        <w:t xml:space="preserve"> Residual oil-fired capacity is the largest segment of the regional generation mix affected by MATS. The MATS capacity factor exceptions threshold for limited-use units (8%) will likely become more important to system reliability in future years because the affected generators may be required to curtail their output during critical periods.</w:t>
      </w:r>
    </w:p>
    <w:p w14:paraId="488A455E" w14:textId="77777777" w:rsidR="00D97E2B" w:rsidRPr="00D97E2B" w:rsidRDefault="00D97E2B" w:rsidP="0003567C">
      <w:pPr>
        <w:pStyle w:val="Heading4"/>
      </w:pPr>
      <w:r w:rsidRPr="00D97E2B">
        <w:t xml:space="preserve"> CAA Ozone and Fine Particulate Matter Emission Limits</w:t>
      </w:r>
    </w:p>
    <w:p w14:paraId="7B93F3A6" w14:textId="77777777" w:rsidR="00D97E2B" w:rsidRPr="00D97E2B" w:rsidRDefault="00D97E2B" w:rsidP="00D97E2B">
      <w:pPr>
        <w:rPr>
          <w:rFonts w:eastAsia="Times New Roman"/>
        </w:rPr>
      </w:pPr>
      <w:r w:rsidRPr="00D97E2B">
        <w:rPr>
          <w:rFonts w:eastAsia="Times New Roman"/>
        </w:rPr>
        <w:t xml:space="preserve">While New England native electric generator emissions have declined over the past decade (see below), persistent ozone and fine particulate levels remain at unacceptable levels in some portions of the region. Also, the ozone and fine particulate matter generated far upwind of New England has hampered considerable regulatory efforts to improve local air quality. </w:t>
      </w:r>
    </w:p>
    <w:p w14:paraId="75F71299" w14:textId="77777777" w:rsidR="00D97E2B" w:rsidRPr="00D97E2B" w:rsidRDefault="00D97E2B" w:rsidP="00D97E2B">
      <w:pPr>
        <w:rPr>
          <w:rFonts w:eastAsia="Times New Roman"/>
        </w:rPr>
      </w:pPr>
      <w:r w:rsidRPr="00D97E2B">
        <w:rPr>
          <w:rFonts w:eastAsia="Times New Roman"/>
        </w:rPr>
        <w:t xml:space="preserve">Under the </w:t>
      </w:r>
      <w:r w:rsidRPr="00D97E2B">
        <w:rPr>
          <w:rFonts w:eastAsia="Times New Roman"/>
          <w:i/>
        </w:rPr>
        <w:t>Clean Air Act</w:t>
      </w:r>
      <w:r w:rsidRPr="00D97E2B">
        <w:rPr>
          <w:rFonts w:eastAsia="Times New Roman"/>
        </w:rPr>
        <w:t>, state and federal air regulators are required to address deteriorating air-quality trends across southern New England (particularly due to ozone and fine particulate matter), resulting in more stringent emissions limits for native fossil generators.</w:t>
      </w:r>
      <w:r w:rsidRPr="00D97E2B">
        <w:rPr>
          <w:rFonts w:eastAsia="Times New Roman"/>
          <w:vertAlign w:val="superscript"/>
        </w:rPr>
        <w:footnoteReference w:id="289"/>
      </w:r>
      <w:r w:rsidRPr="00D97E2B">
        <w:rPr>
          <w:rFonts w:eastAsia="Times New Roman"/>
        </w:rPr>
        <w:t xml:space="preserve"> To minimize air-quality impacts, permits </w:t>
      </w:r>
      <w:r w:rsidRPr="00D97E2B">
        <w:rPr>
          <w:rFonts w:eastAsia="Times New Roman"/>
        </w:rPr>
        <w:lastRenderedPageBreak/>
        <w:t>for new advanced, highly efficient generators (&lt;4,00</w:t>
      </w:r>
      <w:r w:rsidRPr="00F91604">
        <w:rPr>
          <w:rFonts w:eastAsia="Times New Roman"/>
        </w:rPr>
        <w:t>0 MMBtu/h</w:t>
      </w:r>
      <w:r w:rsidR="000D656B">
        <w:rPr>
          <w:rFonts w:eastAsia="Times New Roman"/>
        </w:rPr>
        <w:t>our</w:t>
      </w:r>
      <w:r w:rsidRPr="00F91604">
        <w:rPr>
          <w:rFonts w:eastAsia="Times New Roman"/>
        </w:rPr>
        <w:t xml:space="preserve"> g</w:t>
      </w:r>
      <w:r w:rsidRPr="00D97E2B">
        <w:rPr>
          <w:rFonts w:eastAsia="Times New Roman"/>
        </w:rPr>
        <w:t>ross heat input) are subject to narrower operating ranges than older less efficient (&gt;8,000 MMBtu/h</w:t>
      </w:r>
      <w:r w:rsidR="000D656B">
        <w:rPr>
          <w:rFonts w:eastAsia="Times New Roman"/>
        </w:rPr>
        <w:t>our</w:t>
      </w:r>
      <w:r w:rsidRPr="00D97E2B">
        <w:rPr>
          <w:rFonts w:eastAsia="Times New Roman"/>
        </w:rPr>
        <w:t xml:space="preserve"> gross heat input).</w:t>
      </w:r>
      <w:r w:rsidRPr="00D97E2B">
        <w:rPr>
          <w:rFonts w:eastAsia="Times New Roman"/>
          <w:vertAlign w:val="superscript"/>
        </w:rPr>
        <w:footnoteReference w:id="290"/>
      </w:r>
      <w:r w:rsidRPr="00D97E2B">
        <w:rPr>
          <w:rFonts w:eastAsia="Times New Roman"/>
        </w:rPr>
        <w:t xml:space="preserve"> </w:t>
      </w:r>
    </w:p>
    <w:p w14:paraId="22917BFC" w14:textId="77777777" w:rsidR="00D97E2B" w:rsidRPr="00D97E2B" w:rsidRDefault="00D97E2B" w:rsidP="0003567C">
      <w:pPr>
        <w:pStyle w:val="Heading4"/>
      </w:pPr>
      <w:r w:rsidRPr="00D97E2B">
        <w:t>US Clean Power Plan</w:t>
      </w:r>
    </w:p>
    <w:p w14:paraId="424E2486" w14:textId="77777777" w:rsidR="00D97E2B" w:rsidRPr="00D97E2B" w:rsidRDefault="00D97E2B" w:rsidP="00D97E2B">
      <w:r w:rsidRPr="00D97E2B">
        <w:t xml:space="preserve">Federal greenhouse gas policy and regulation are in a state of flux, and at the time of publication, the outcomes for generators of pending regulatory actions and litigation remain unclear. </w:t>
      </w:r>
    </w:p>
    <w:p w14:paraId="4ADC0870" w14:textId="77777777" w:rsidR="00D97E2B" w:rsidRPr="00D97E2B" w:rsidRDefault="00D97E2B" w:rsidP="00F864C2">
      <w:r w:rsidRPr="00D97E2B">
        <w:t xml:space="preserve">In August 2015, EPA finalized the Clean Power Plan (CPP), for existing fossil-fuel-fired power plants under Section 111(d) of the </w:t>
      </w:r>
      <w:r w:rsidRPr="00D97E2B">
        <w:rPr>
          <w:i/>
        </w:rPr>
        <w:t>Clean Air Act</w:t>
      </w:r>
      <w:r w:rsidRPr="00D97E2B">
        <w:t>. The CPP would have required affected fossil power plants to reduce CO</w:t>
      </w:r>
      <w:r w:rsidRPr="00D97E2B">
        <w:rPr>
          <w:vertAlign w:val="subscript"/>
        </w:rPr>
        <w:t>2</w:t>
      </w:r>
      <w:r w:rsidRPr="00D97E2B">
        <w:t xml:space="preserve"> emissions 32% nationwide by 2030 from a 2005 baseline, with the initial reductions due by an interim 2022 deadline and additional milestones before the final 2030 deadline.</w:t>
      </w:r>
      <w:r w:rsidRPr="00D97E2B">
        <w:rPr>
          <w:vertAlign w:val="superscript"/>
        </w:rPr>
        <w:footnoteReference w:id="291"/>
      </w:r>
      <w:r w:rsidRPr="00D97E2B">
        <w:rPr>
          <w:vertAlign w:val="superscript"/>
        </w:rPr>
        <w:t xml:space="preserve"> </w:t>
      </w:r>
      <w:r w:rsidRPr="00D97E2B">
        <w:t>In August 2018, EPA proposed a replacement rule, the Affordable Clean Energy (ACE) Rule, limiting applicability to modifications on site at coal-fired generating units.</w:t>
      </w:r>
      <w:r w:rsidRPr="00D97E2B">
        <w:rPr>
          <w:vertAlign w:val="superscript"/>
        </w:rPr>
        <w:footnoteReference w:id="292"/>
      </w:r>
      <w:r w:rsidRPr="00D97E2B">
        <w:t xml:space="preserve"> </w:t>
      </w:r>
      <w:r w:rsidR="00F864C2">
        <w:t>EPA issued the ACE Rule in June 2019, which simultaneously repealed the CPP.</w:t>
      </w:r>
      <w:r w:rsidR="00F864C2">
        <w:rPr>
          <w:rStyle w:val="FootnoteReference"/>
        </w:rPr>
        <w:footnoteReference w:id="293"/>
      </w:r>
      <w:r w:rsidR="00F864C2">
        <w:t xml:space="preserve"> The ACE is expected to have a negligible impact on the New England power system.</w:t>
      </w:r>
    </w:p>
    <w:p w14:paraId="763C8FC5" w14:textId="77777777" w:rsidR="00D97E2B" w:rsidRPr="00D97E2B" w:rsidRDefault="00D97E2B" w:rsidP="0003567C">
      <w:pPr>
        <w:pStyle w:val="Heading2"/>
      </w:pPr>
      <w:bookmarkStart w:id="902" w:name="_Ref388774308"/>
      <w:bookmarkStart w:id="903" w:name="_Ref485720823"/>
      <w:bookmarkStart w:id="904" w:name="_Ref12099577"/>
      <w:bookmarkStart w:id="905" w:name="_Ref12111141"/>
      <w:bookmarkStart w:id="906" w:name="_Toc12795234"/>
      <w:r w:rsidRPr="00D97E2B">
        <w:t>Regional and State Greenhouse Gas Regulations</w:t>
      </w:r>
      <w:bookmarkEnd w:id="902"/>
      <w:bookmarkEnd w:id="903"/>
      <w:r w:rsidRPr="00D97E2B">
        <w:t xml:space="preserve"> and Goals</w:t>
      </w:r>
      <w:bookmarkEnd w:id="904"/>
      <w:bookmarkEnd w:id="905"/>
      <w:bookmarkEnd w:id="906"/>
    </w:p>
    <w:p w14:paraId="0C6465AA" w14:textId="77777777" w:rsidR="007262DF" w:rsidRDefault="00D97E2B" w:rsidP="00D97E2B">
      <w:r w:rsidRPr="00D97E2B">
        <w:t>Regardless of any subsequent EPA actions on greenhouse gas emission</w:t>
      </w:r>
      <w:r w:rsidRPr="00110F51">
        <w:t>s,</w:t>
      </w:r>
      <w:r w:rsidR="00110F51" w:rsidRPr="00407D7F">
        <w:t xml:space="preserve"> the </w:t>
      </w:r>
      <w:r w:rsidR="00110F51" w:rsidRPr="00EB5207">
        <w:t xml:space="preserve">New England states are assessing, developing, and implementing other requirements, initiatives, and incentives to reduce GHGs, directly or indirectly affecting native fossil generators and the regional bulk power system. Thus, </w:t>
      </w:r>
      <w:r w:rsidRPr="00D97E2B">
        <w:t>the states</w:t>
      </w:r>
      <w:r w:rsidR="00F91604">
        <w:t xml:space="preserve">’ </w:t>
      </w:r>
      <w:r w:rsidRPr="00D97E2B">
        <w:t>various GHG-reduction initiatives to reduce CO</w:t>
      </w:r>
      <w:r w:rsidRPr="00D97E2B">
        <w:rPr>
          <w:vertAlign w:val="subscript"/>
        </w:rPr>
        <w:t>2</w:t>
      </w:r>
      <w:r w:rsidRPr="00D97E2B">
        <w:t xml:space="preserve"> and other emission</w:t>
      </w:r>
      <w:r w:rsidRPr="00110F51">
        <w:t>s</w:t>
      </w:r>
      <w:r w:rsidR="00F91604" w:rsidRPr="00407D7F">
        <w:t xml:space="preserve"> are expected to continue</w:t>
      </w:r>
      <w:r w:rsidR="00110F51" w:rsidRPr="00110F51">
        <w:t xml:space="preserve">. </w:t>
      </w:r>
      <w:r w:rsidR="00110F51" w:rsidRPr="00EB5207">
        <w:t>These include the enactment of state-specific generator emissions caps though the Regional Greenhouse Gas Initiative (RGGI)</w:t>
      </w:r>
      <w:r w:rsidR="00110F51">
        <w:t xml:space="preserve"> and </w:t>
      </w:r>
      <w:r w:rsidR="00110F51" w:rsidRPr="00EB5207">
        <w:t>Renewable Portfolio Standards (RPSs)</w:t>
      </w:r>
      <w:r w:rsidR="00E43148">
        <w:t>.</w:t>
      </w:r>
    </w:p>
    <w:p w14:paraId="029CF038" w14:textId="77777777" w:rsidR="00D97E2B" w:rsidRDefault="00D97E2B">
      <w:r w:rsidRPr="00D97E2B">
        <w:t xml:space="preserve">At the regional and state levels, air, water, and </w:t>
      </w:r>
      <w:r w:rsidR="00F91604" w:rsidRPr="00D97E2B">
        <w:t>CO</w:t>
      </w:r>
      <w:r w:rsidR="00F91604" w:rsidRPr="00D97E2B">
        <w:rPr>
          <w:vertAlign w:val="subscript"/>
        </w:rPr>
        <w:t>2</w:t>
      </w:r>
      <w:r w:rsidRPr="00D97E2B">
        <w:t xml:space="preserve"> standards could emerge as more stringent for native fossil generator compliance. In 2018, all New England states, New York, and several other states </w:t>
      </w:r>
      <w:r w:rsidR="00582922">
        <w:lastRenderedPageBreak/>
        <w:t xml:space="preserve">introduced </w:t>
      </w:r>
      <w:r w:rsidR="00582922" w:rsidRPr="00D97E2B">
        <w:t>carbon tax bills</w:t>
      </w:r>
      <w:r w:rsidR="00582922">
        <w:t xml:space="preserve">, </w:t>
      </w:r>
      <w:r w:rsidRPr="00D97E2B">
        <w:t>which would establish economywid</w:t>
      </w:r>
      <w:r w:rsidRPr="00C65CC3">
        <w:t>e charges on the distribution or sale of greenhouse-gas-emitting items, including electricity</w:t>
      </w:r>
      <w:r w:rsidR="00582922">
        <w:t>,</w:t>
      </w:r>
      <w:r w:rsidRPr="00407D7F">
        <w:rPr>
          <w:vertAlign w:val="superscript"/>
        </w:rPr>
        <w:footnoteReference w:id="294"/>
      </w:r>
      <w:r w:rsidRPr="00407D7F">
        <w:t xml:space="preserve"> </w:t>
      </w:r>
      <w:r w:rsidR="00C65CC3" w:rsidRPr="00C65CC3">
        <w:t xml:space="preserve">For example, </w:t>
      </w:r>
      <w:r w:rsidR="00C65CC3" w:rsidRPr="00EB5207">
        <w:t>Massachusetts adopted a declining CO</w:t>
      </w:r>
      <w:r w:rsidR="00C65CC3" w:rsidRPr="00EB5207">
        <w:rPr>
          <w:vertAlign w:val="subscript"/>
        </w:rPr>
        <w:t xml:space="preserve">2 </w:t>
      </w:r>
      <w:r w:rsidR="00C65CC3" w:rsidRPr="00EB5207">
        <w:t>cap beginning in 2018 affecting existing and new fossil generators larger than 25 MW.</w:t>
      </w:r>
      <w:r w:rsidR="00C65CC3" w:rsidRPr="00F864C2">
        <w:rPr>
          <w:vertAlign w:val="superscript"/>
        </w:rPr>
        <w:footnoteReference w:id="295"/>
      </w:r>
      <w:r w:rsidR="00C65CC3" w:rsidRPr="00EB5207">
        <w:t xml:space="preserve"> </w:t>
      </w:r>
      <w:r w:rsidR="00110F51" w:rsidRPr="00EB5207">
        <w:t>New initiatives to electrify the transportation and building sectors are emerging a</w:t>
      </w:r>
      <w:r w:rsidR="00C20020">
        <w:t>s</w:t>
      </w:r>
      <w:r w:rsidR="00110F51" w:rsidRPr="00EB5207">
        <w:t xml:space="preserve"> well</w:t>
      </w:r>
      <w:r w:rsidR="0060618C" w:rsidRPr="00EB5207">
        <w:t>, as discussed below.</w:t>
      </w:r>
    </w:p>
    <w:p w14:paraId="59B8566E" w14:textId="6423C560" w:rsidR="00D97E2B" w:rsidRPr="00D97E2B" w:rsidRDefault="00D97E2B" w:rsidP="00D97E2B">
      <w:r w:rsidRPr="00D97E2B">
        <w:fldChar w:fldCharType="begin"/>
      </w:r>
      <w:r w:rsidRPr="00D97E2B">
        <w:instrText xml:space="preserve"> REF _Ref8740096 \h  \* MERGEFORMAT </w:instrText>
      </w:r>
      <w:r w:rsidRPr="00D97E2B">
        <w:fldChar w:fldCharType="separate"/>
      </w:r>
      <w:r w:rsidR="005D0B73" w:rsidRPr="005D0B73">
        <w:rPr>
          <w:bCs/>
          <w:szCs w:val="18"/>
        </w:rPr>
        <w:t>Figure 8</w:t>
      </w:r>
      <w:r w:rsidR="005D0B73" w:rsidRPr="005D0B73">
        <w:rPr>
          <w:bCs/>
          <w:szCs w:val="18"/>
        </w:rPr>
        <w:noBreakHyphen/>
        <w:t>4</w:t>
      </w:r>
      <w:r w:rsidRPr="00D97E2B">
        <w:fldChar w:fldCharType="end"/>
      </w:r>
      <w:r w:rsidRPr="00D97E2B">
        <w:t xml:space="preserve"> shows the New England states’ goals for reducing GHG emissions.</w:t>
      </w:r>
    </w:p>
    <w:p w14:paraId="0FD89BBF" w14:textId="77777777" w:rsidR="009D7C03" w:rsidRPr="00D97E2B" w:rsidRDefault="009D7C03" w:rsidP="008B55BC">
      <w:pPr>
        <w:keepNext/>
        <w:keepLines/>
        <w:spacing w:after="0" w:line="240" w:lineRule="auto"/>
        <w:jc w:val="center"/>
      </w:pPr>
      <w:r w:rsidRPr="009D7C03">
        <w:rPr>
          <w:noProof/>
        </w:rPr>
        <w:drawing>
          <wp:inline distT="0" distB="0" distL="0" distR="0" wp14:anchorId="0B171FC9" wp14:editId="112B1A5E">
            <wp:extent cx="4432451" cy="3100507"/>
            <wp:effectExtent l="19050" t="19050" r="2540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465501" cy="3123625"/>
                    </a:xfrm>
                    <a:prstGeom prst="rect">
                      <a:avLst/>
                    </a:prstGeom>
                    <a:noFill/>
                    <a:ln w="3175">
                      <a:solidFill>
                        <a:srgbClr val="010507"/>
                      </a:solidFill>
                    </a:ln>
                  </pic:spPr>
                </pic:pic>
              </a:graphicData>
            </a:graphic>
          </wp:inline>
        </w:drawing>
      </w:r>
    </w:p>
    <w:p w14:paraId="03DBBA71" w14:textId="378DD760" w:rsidR="00D97E2B" w:rsidRPr="009D7C03" w:rsidRDefault="009D7C03" w:rsidP="009D7C03">
      <w:pPr>
        <w:pStyle w:val="Caption"/>
        <w:spacing w:before="120" w:after="240"/>
        <w:ind w:left="990" w:right="990"/>
        <w:jc w:val="left"/>
        <w:rPr>
          <w:rStyle w:val="Caption-Figure-Text"/>
          <w:b/>
        </w:rPr>
      </w:pPr>
      <w:bookmarkStart w:id="907" w:name="_Ref8740096"/>
      <w:bookmarkStart w:id="908" w:name="_Toc17709767"/>
      <w:r w:rsidRPr="009D7C03">
        <w:rPr>
          <w:rStyle w:val="Caption-Figure-Text"/>
          <w:b/>
        </w:rPr>
        <w:t xml:space="preserve">Figure </w:t>
      </w:r>
      <w:r w:rsidR="008E7223">
        <w:rPr>
          <w:rStyle w:val="Caption-Figure-Text"/>
          <w:b/>
        </w:rPr>
        <w:fldChar w:fldCharType="begin"/>
      </w:r>
      <w:r w:rsidR="008E7223">
        <w:rPr>
          <w:rStyle w:val="Caption-Figure-Text"/>
          <w:b/>
        </w:rPr>
        <w:instrText xml:space="preserve"> STYLEREF 1 \s </w:instrText>
      </w:r>
      <w:r w:rsidR="008E7223">
        <w:rPr>
          <w:rStyle w:val="Caption-Figure-Text"/>
          <w:b/>
        </w:rPr>
        <w:fldChar w:fldCharType="separate"/>
      </w:r>
      <w:r w:rsidR="008E7223">
        <w:rPr>
          <w:rStyle w:val="Caption-Figure-Text"/>
          <w:b/>
          <w:noProof/>
        </w:rPr>
        <w:t>8</w:t>
      </w:r>
      <w:r w:rsidR="008E7223">
        <w:rPr>
          <w:rStyle w:val="Caption-Figure-Text"/>
          <w:b/>
        </w:rPr>
        <w:fldChar w:fldCharType="end"/>
      </w:r>
      <w:r w:rsidR="008E7223">
        <w:rPr>
          <w:rStyle w:val="Caption-Figure-Text"/>
          <w:b/>
        </w:rPr>
        <w:noBreakHyphen/>
      </w:r>
      <w:r w:rsidR="008E7223">
        <w:rPr>
          <w:rStyle w:val="Caption-Figure-Text"/>
          <w:b/>
        </w:rPr>
        <w:fldChar w:fldCharType="begin"/>
      </w:r>
      <w:r w:rsidR="008E7223">
        <w:rPr>
          <w:rStyle w:val="Caption-Figure-Text"/>
          <w:b/>
        </w:rPr>
        <w:instrText xml:space="preserve"> SEQ Figure \* ARABIC \s 1 </w:instrText>
      </w:r>
      <w:r w:rsidR="008E7223">
        <w:rPr>
          <w:rStyle w:val="Caption-Figure-Text"/>
          <w:b/>
        </w:rPr>
        <w:fldChar w:fldCharType="separate"/>
      </w:r>
      <w:r w:rsidR="008E7223">
        <w:rPr>
          <w:rStyle w:val="Caption-Figure-Text"/>
          <w:b/>
          <w:noProof/>
        </w:rPr>
        <w:t>4</w:t>
      </w:r>
      <w:r w:rsidR="008E7223">
        <w:rPr>
          <w:rStyle w:val="Caption-Figure-Text"/>
          <w:b/>
        </w:rPr>
        <w:fldChar w:fldCharType="end"/>
      </w:r>
      <w:bookmarkEnd w:id="907"/>
      <w:r w:rsidR="00D97E2B" w:rsidRPr="009D7C03">
        <w:rPr>
          <w:rStyle w:val="Caption-Figure-Text"/>
          <w:b/>
        </w:rPr>
        <w:t>: New England state goals for reducing in greenhouse gas emissions</w:t>
      </w:r>
      <w:r w:rsidR="00E91988" w:rsidRPr="009D7C03">
        <w:rPr>
          <w:rStyle w:val="Caption-Figure-Text"/>
          <w:b/>
        </w:rPr>
        <w:t xml:space="preserve"> (percentage reduction in GHGs economywide by 2050)</w:t>
      </w:r>
      <w:r w:rsidR="00D97E2B" w:rsidRPr="009D7C03">
        <w:rPr>
          <w:rStyle w:val="Caption-Figure-Text"/>
          <w:b/>
        </w:rPr>
        <w:t>.</w:t>
      </w:r>
      <w:bookmarkEnd w:id="908"/>
    </w:p>
    <w:p w14:paraId="1F8C428A" w14:textId="77777777" w:rsidR="00D97E2B" w:rsidRPr="00D97E2B" w:rsidRDefault="00D97E2B" w:rsidP="00E91988">
      <w:pPr>
        <w:pStyle w:val="Heading3"/>
      </w:pPr>
      <w:bookmarkStart w:id="909" w:name="_Ref12128900"/>
      <w:bookmarkStart w:id="910" w:name="_Toc12795235"/>
      <w:r w:rsidRPr="00D97E2B">
        <w:lastRenderedPageBreak/>
        <w:t>Regional G</w:t>
      </w:r>
      <w:r w:rsidR="008C36A0">
        <w:t xml:space="preserve">reenhouse Gas </w:t>
      </w:r>
      <w:r w:rsidRPr="00D97E2B">
        <w:t>Initiative</w:t>
      </w:r>
      <w:bookmarkEnd w:id="909"/>
      <w:bookmarkEnd w:id="910"/>
    </w:p>
    <w:p w14:paraId="62E17887" w14:textId="1463FE12" w:rsidR="00D97E2B" w:rsidRPr="00D97E2B" w:rsidRDefault="00D97E2B" w:rsidP="00F300A2">
      <w:pPr>
        <w:keepNext/>
        <w:keepLines/>
      </w:pPr>
      <w:r w:rsidRPr="00D97E2B">
        <w:t>Since 2009, the region’s fossil-fuel generators larger than 25 MW have been subject to a CO</w:t>
      </w:r>
      <w:r w:rsidRPr="00D97E2B">
        <w:rPr>
          <w:vertAlign w:val="subscript"/>
        </w:rPr>
        <w:t>2</w:t>
      </w:r>
      <w:r w:rsidRPr="00D97E2B">
        <w:t xml:space="preserve"> emissions budget cap to comply with the Regional Greenhouse Gas Initiative.</w:t>
      </w:r>
      <w:r w:rsidRPr="00D97E2B">
        <w:rPr>
          <w:vertAlign w:val="superscript"/>
        </w:rPr>
        <w:footnoteReference w:id="296"/>
      </w:r>
      <w:r w:rsidRPr="00D97E2B">
        <w:t xml:space="preserve"> RGGI is a mandatory, market-based cap-and-trade program to reduce CO</w:t>
      </w:r>
      <w:r w:rsidRPr="00D97E2B">
        <w:rPr>
          <w:vertAlign w:val="subscript"/>
        </w:rPr>
        <w:t xml:space="preserve">2 </w:t>
      </w:r>
      <w:r w:rsidRPr="00D97E2B">
        <w:t>emissions across nine New England and Mid-Atlantic states. The New England region also has an economywide climate action goal to reduce GHGs within a range of 35–45% by 2030 and 75–85% by 2050 from a baseline of 1990 emission levels.</w:t>
      </w:r>
      <w:r w:rsidRPr="00D97E2B">
        <w:rPr>
          <w:vertAlign w:val="superscript"/>
        </w:rPr>
        <w:footnoteReference w:id="297"/>
      </w:r>
      <w:r w:rsidRPr="00D97E2B">
        <w:t xml:space="preserve"> This equates to annual emissions of 105 to 124 metric tons of carbon dioxide equivalent (CO</w:t>
      </w:r>
      <w:r w:rsidRPr="00D97E2B">
        <w:rPr>
          <w:vertAlign w:val="subscript"/>
        </w:rPr>
        <w:t>2</w:t>
      </w:r>
      <w:r w:rsidRPr="00D97E2B">
        <w:t>e) by 2030 and 29 to 47 metric tons of CO</w:t>
      </w:r>
      <w:r w:rsidRPr="00D97E2B">
        <w:rPr>
          <w:vertAlign w:val="subscript"/>
        </w:rPr>
        <w:t>2</w:t>
      </w:r>
      <w:r w:rsidRPr="00D97E2B">
        <w:t>e equivalent by 2050, compared with approximately183 million metric tons of CO</w:t>
      </w:r>
      <w:r w:rsidRPr="00D97E2B">
        <w:rPr>
          <w:vertAlign w:val="subscript"/>
        </w:rPr>
        <w:t>2</w:t>
      </w:r>
      <w:r w:rsidRPr="00D97E2B">
        <w:t xml:space="preserve">e emissions from across all economic sectors in New England in 2018. Similar to the regulatory activities in neighboring areas for controlling other air pollutants (see Section </w:t>
      </w:r>
      <w:r w:rsidRPr="00D97E2B">
        <w:fldChar w:fldCharType="begin"/>
      </w:r>
      <w:r w:rsidRPr="00D97E2B">
        <w:instrText xml:space="preserve"> REF _Ref6993672 \n \h  \* MERGEFORMAT </w:instrText>
      </w:r>
      <w:r w:rsidRPr="00D97E2B">
        <w:fldChar w:fldCharType="separate"/>
      </w:r>
      <w:r w:rsidR="005D0B73">
        <w:t>8.1.2</w:t>
      </w:r>
      <w:r w:rsidRPr="00D97E2B">
        <w:fldChar w:fldCharType="end"/>
      </w:r>
      <w:r w:rsidRPr="00D97E2B">
        <w:t>), the GHG control activities may indirectly affect native generation, either increasing or decreasing compliance obligations.</w:t>
      </w:r>
      <w:r w:rsidRPr="00D97E2B">
        <w:rPr>
          <w:vertAlign w:val="superscript"/>
        </w:rPr>
        <w:footnoteReference w:id="298"/>
      </w:r>
      <w:r w:rsidRPr="00D97E2B">
        <w:rPr>
          <w:vertAlign w:val="superscript"/>
        </w:rPr>
        <w:t xml:space="preserve"> </w:t>
      </w:r>
    </w:p>
    <w:p w14:paraId="7ED9CF6C" w14:textId="77777777" w:rsidR="00D97E2B" w:rsidRPr="00D97E2B" w:rsidRDefault="00D97E2B" w:rsidP="004B7400">
      <w:pPr>
        <w:pStyle w:val="Heading4"/>
      </w:pPr>
      <w:r w:rsidRPr="00D97E2B">
        <w:t>CO</w:t>
      </w:r>
      <w:r w:rsidRPr="00D97E2B">
        <w:rPr>
          <w:vertAlign w:val="subscript"/>
        </w:rPr>
        <w:t>2</w:t>
      </w:r>
      <w:r w:rsidRPr="00D97E2B">
        <w:t xml:space="preserve"> Allowances from RGGI-Affected Generators </w:t>
      </w:r>
    </w:p>
    <w:p w14:paraId="04F75028" w14:textId="77777777" w:rsidR="00D97E2B" w:rsidRPr="00D97E2B" w:rsidRDefault="00D97E2B" w:rsidP="00D97E2B">
      <w:r w:rsidRPr="00D97E2B">
        <w:t>Based on the RGGI Model Rule, each participating state's individual CO</w:t>
      </w:r>
      <w:r w:rsidRPr="00D97E2B">
        <w:rPr>
          <w:vertAlign w:val="subscript"/>
        </w:rPr>
        <w:t>2</w:t>
      </w:r>
      <w:r w:rsidRPr="00D97E2B">
        <w:t xml:space="preserve"> Budget Trading Program operates in aggregate to limit CO</w:t>
      </w:r>
      <w:r w:rsidRPr="00D97E2B">
        <w:rPr>
          <w:vertAlign w:val="subscript"/>
        </w:rPr>
        <w:t>2</w:t>
      </w:r>
      <w:r w:rsidRPr="00D97E2B">
        <w:t xml:space="preserve"> emissions from affected generators. RGGI-affected generators within each state must acquire and surrender RGGI CO</w:t>
      </w:r>
      <w:r w:rsidRPr="00D97E2B">
        <w:rPr>
          <w:vertAlign w:val="subscript"/>
        </w:rPr>
        <w:t>2</w:t>
      </w:r>
      <w:r w:rsidRPr="00D97E2B">
        <w:t xml:space="preserve"> allowances equal to their CO</w:t>
      </w:r>
      <w:r w:rsidRPr="00D97E2B">
        <w:rPr>
          <w:vertAlign w:val="subscript"/>
        </w:rPr>
        <w:t>2</w:t>
      </w:r>
      <w:r w:rsidRPr="00D97E2B">
        <w:t xml:space="preserve"> emissions over a three-year control period (the fourth control period runs from January 1, 2018, to December 31, 2020). Any private entity can retain (</w:t>
      </w:r>
      <w:r w:rsidR="008C7EF8">
        <w:t xml:space="preserve">i.e., </w:t>
      </w:r>
      <w:r w:rsidRPr="00D97E2B">
        <w:t>bank) a RGGI CO</w:t>
      </w:r>
      <w:r w:rsidRPr="00D97E2B">
        <w:rPr>
          <w:vertAlign w:val="subscript"/>
        </w:rPr>
        <w:t>2</w:t>
      </w:r>
      <w:r w:rsidRPr="00D97E2B">
        <w:t xml:space="preserve"> allowance indefinitely until it is surrendered to satisfy a compliance obligation in a future year. RGGI states adjust this annual cap to account for banked CO</w:t>
      </w:r>
      <w:r w:rsidRPr="00D97E2B">
        <w:rPr>
          <w:vertAlign w:val="subscript"/>
        </w:rPr>
        <w:t xml:space="preserve">2 </w:t>
      </w:r>
      <w:r w:rsidRPr="00D97E2B">
        <w:t>allowances.</w:t>
      </w:r>
    </w:p>
    <w:p w14:paraId="1ECAD3FE" w14:textId="77777777" w:rsidR="00D97E2B" w:rsidRPr="00D97E2B" w:rsidRDefault="00D97E2B" w:rsidP="00D97E2B">
      <w:r w:rsidRPr="00D97E2B">
        <w:t>In 2019, the RGGI cap is 58.2 million short tons of CO</w:t>
      </w:r>
      <w:r w:rsidRPr="00D97E2B">
        <w:rPr>
          <w:vertAlign w:val="subscript"/>
        </w:rPr>
        <w:t>2</w:t>
      </w:r>
      <w:r w:rsidR="007C26BE">
        <w:rPr>
          <w:vertAlign w:val="subscript"/>
        </w:rPr>
        <w:t xml:space="preserve"> </w:t>
      </w:r>
      <w:r w:rsidR="007C26BE">
        <w:t>per year</w:t>
      </w:r>
      <w:r w:rsidRPr="00D97E2B">
        <w:t>, declining 2.5% through 2020. According to the RGGI market moni</w:t>
      </w:r>
      <w:r w:rsidRPr="008C7EF8">
        <w:t>tor, 99 million RGGI CO</w:t>
      </w:r>
      <w:r w:rsidRPr="008C7EF8">
        <w:rPr>
          <w:vertAlign w:val="subscript"/>
        </w:rPr>
        <w:t>2</w:t>
      </w:r>
      <w:r w:rsidRPr="008C7EF8">
        <w:t xml:space="preserve"> allo</w:t>
      </w:r>
      <w:r w:rsidRPr="00D97E2B">
        <w:t>wances were considered surplus at the end of 2018 and estimates that due to current and planned (after 2020) adjustments to the RGGI cap to reduce this surplus, vintage allowances from 2009–2018 are expected to be exhausted by the end of 2025.</w:t>
      </w:r>
      <w:r w:rsidRPr="00D97E2B">
        <w:rPr>
          <w:vertAlign w:val="superscript"/>
        </w:rPr>
        <w:footnoteReference w:id="299"/>
      </w:r>
    </w:p>
    <w:p w14:paraId="6633795C" w14:textId="77777777" w:rsidR="00D97E2B" w:rsidRPr="00D97E2B" w:rsidRDefault="00D97E2B" w:rsidP="004B7400">
      <w:pPr>
        <w:pStyle w:val="Heading4"/>
      </w:pPr>
      <w:bookmarkStart w:id="911" w:name="_Ref11514082"/>
      <w:r w:rsidRPr="00D97E2B">
        <w:lastRenderedPageBreak/>
        <w:t>RGGI Program Review</w:t>
      </w:r>
      <w:bookmarkEnd w:id="911"/>
    </w:p>
    <w:p w14:paraId="5FC3A034" w14:textId="77777777" w:rsidR="00D97E2B" w:rsidRPr="00D97E2B" w:rsidRDefault="00D97E2B" w:rsidP="00D97E2B">
      <w:r w:rsidRPr="00D97E2B">
        <w:t>The RGGI states completed a periodic comprehensive program review in December 2017, adopting a new 30% regional emissions cap reduction between 2020 and 2030 and design changes, as follows, for the upcoming fifth control period (2021 to 2023) and beyond:</w:t>
      </w:r>
      <w:r w:rsidRPr="00D97E2B">
        <w:rPr>
          <w:vertAlign w:val="superscript"/>
        </w:rPr>
        <w:footnoteReference w:id="300"/>
      </w:r>
      <w:r w:rsidRPr="00D97E2B">
        <w:t xml:space="preserve"> </w:t>
      </w:r>
    </w:p>
    <w:p w14:paraId="6EE5C64D" w14:textId="77777777" w:rsidR="00D97E2B" w:rsidRPr="00D97E2B" w:rsidRDefault="00D97E2B" w:rsidP="00D97E2B">
      <w:pPr>
        <w:numPr>
          <w:ilvl w:val="0"/>
          <w:numId w:val="84"/>
        </w:numPr>
        <w:spacing w:after="120"/>
        <w:rPr>
          <w:rFonts w:eastAsia="Times New Roman"/>
          <w:szCs w:val="24"/>
        </w:rPr>
      </w:pPr>
      <w:r w:rsidRPr="00D97E2B">
        <w:rPr>
          <w:rFonts w:eastAsia="Times New Roman"/>
          <w:szCs w:val="24"/>
        </w:rPr>
        <w:t>Timing of policy implementation—The post-2020 annual reduction targets extend to 2030.</w:t>
      </w:r>
    </w:p>
    <w:p w14:paraId="7FF568E3" w14:textId="77777777"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Adjustment of banked allowances—The program review accounts for banked </w:t>
      </w:r>
      <w:r w:rsidRPr="00D97E2B">
        <w:t>RGGI CO</w:t>
      </w:r>
      <w:r w:rsidRPr="00D97E2B">
        <w:rPr>
          <w:vertAlign w:val="subscript"/>
        </w:rPr>
        <w:t xml:space="preserve">2 </w:t>
      </w:r>
      <w:r w:rsidRPr="00D97E2B">
        <w:rPr>
          <w:rFonts w:eastAsia="Times New Roman"/>
          <w:szCs w:val="24"/>
        </w:rPr>
        <w:t>allowances accrued from 2014 to 2020.</w:t>
      </w:r>
    </w:p>
    <w:p w14:paraId="04C5C27B" w14:textId="77777777" w:rsidR="00D97E2B" w:rsidRPr="00D97E2B" w:rsidRDefault="00D97E2B" w:rsidP="00D97E2B">
      <w:pPr>
        <w:numPr>
          <w:ilvl w:val="0"/>
          <w:numId w:val="84"/>
        </w:numPr>
        <w:spacing w:after="120"/>
        <w:rPr>
          <w:rFonts w:eastAsia="Times New Roman"/>
          <w:szCs w:val="24"/>
        </w:rPr>
      </w:pPr>
      <w:r w:rsidRPr="00D97E2B">
        <w:rPr>
          <w:rFonts w:eastAsia="Times New Roman"/>
          <w:szCs w:val="24"/>
        </w:rPr>
        <w:t>Reserve price—The post-2020 floor auction price was modified.</w:t>
      </w:r>
    </w:p>
    <w:p w14:paraId="31C29F75" w14:textId="77777777" w:rsidR="00D97E2B" w:rsidRPr="00D97E2B" w:rsidRDefault="00D97E2B" w:rsidP="00D97E2B">
      <w:pPr>
        <w:numPr>
          <w:ilvl w:val="0"/>
          <w:numId w:val="84"/>
        </w:numPr>
        <w:spacing w:after="120"/>
        <w:rPr>
          <w:rFonts w:eastAsia="Times New Roman"/>
          <w:szCs w:val="24"/>
          <w:vertAlign w:val="superscript"/>
        </w:rPr>
      </w:pPr>
      <w:r w:rsidRPr="00D97E2B">
        <w:rPr>
          <w:rFonts w:eastAsia="Times New Roman"/>
          <w:szCs w:val="24"/>
        </w:rPr>
        <w:t>Emissions</w:t>
      </w:r>
      <w:r w:rsidR="008C7EF8">
        <w:rPr>
          <w:rFonts w:eastAsia="Times New Roman"/>
          <w:szCs w:val="24"/>
        </w:rPr>
        <w:t>-</w:t>
      </w:r>
      <w:r w:rsidRPr="00D97E2B">
        <w:rPr>
          <w:rFonts w:eastAsia="Times New Roman"/>
          <w:szCs w:val="24"/>
        </w:rPr>
        <w:t xml:space="preserve">containment reserve (ECR)—Beginning in 2021, participating states will permanently withhold 10% of </w:t>
      </w:r>
      <w:r w:rsidRPr="00D97E2B">
        <w:t>RGGI CO</w:t>
      </w:r>
      <w:r w:rsidRPr="00D97E2B">
        <w:rPr>
          <w:vertAlign w:val="subscript"/>
        </w:rPr>
        <w:t>2</w:t>
      </w:r>
      <w:r w:rsidRPr="00D97E2B">
        <w:rPr>
          <w:rFonts w:eastAsia="Times New Roman"/>
          <w:szCs w:val="24"/>
        </w:rPr>
        <w:t xml:space="preserve"> allowances from their base budgets any year a quarterly auction clearing price falls below a trigger price. The ECR trigger price is set at $6.00 per allowance in 2021 and increases 7% per year.</w:t>
      </w:r>
      <w:r w:rsidRPr="00D97E2B">
        <w:rPr>
          <w:rFonts w:eastAsia="Times New Roman"/>
          <w:szCs w:val="24"/>
          <w:vertAlign w:val="superscript"/>
        </w:rPr>
        <w:t xml:space="preserve"> </w:t>
      </w:r>
      <w:r w:rsidRPr="00D97E2B">
        <w:rPr>
          <w:rFonts w:eastAsia="Times New Roman"/>
          <w:szCs w:val="24"/>
          <w:vertAlign w:val="superscript"/>
        </w:rPr>
        <w:footnoteReference w:id="301"/>
      </w:r>
    </w:p>
    <w:p w14:paraId="126C1CE1" w14:textId="77777777" w:rsidR="00D97E2B" w:rsidRPr="00D97E2B" w:rsidRDefault="00D97E2B" w:rsidP="00D97E2B">
      <w:pPr>
        <w:numPr>
          <w:ilvl w:val="0"/>
          <w:numId w:val="84"/>
        </w:numPr>
        <w:spacing w:after="120"/>
        <w:rPr>
          <w:rFonts w:eastAsia="Times New Roman"/>
          <w:szCs w:val="24"/>
        </w:rPr>
      </w:pPr>
      <w:r w:rsidRPr="00D97E2B">
        <w:rPr>
          <w:rFonts w:eastAsia="Times New Roman"/>
          <w:szCs w:val="24"/>
        </w:rPr>
        <w:t xml:space="preserve">Cost-containment reserve (CCR)—A reserved quantity of allowances, currently 10 million allowances, will be offered during quarterly auctions if any auction clears higher than $10.50 per </w:t>
      </w:r>
      <w:r w:rsidRPr="00D97E2B">
        <w:t>RGGI CO</w:t>
      </w:r>
      <w:r w:rsidRPr="00D97E2B">
        <w:rPr>
          <w:vertAlign w:val="subscript"/>
        </w:rPr>
        <w:t>2</w:t>
      </w:r>
      <w:r w:rsidRPr="00D97E2B">
        <w:rPr>
          <w:rFonts w:eastAsia="Times New Roman"/>
          <w:szCs w:val="24"/>
        </w:rPr>
        <w:t xml:space="preserve"> allowance during 2019. Beginning in 2021, the CCR trigger-price threshold increases to $13.00 per </w:t>
      </w:r>
      <w:r w:rsidRPr="00D97E2B">
        <w:t>RGGI CO</w:t>
      </w:r>
      <w:r w:rsidRPr="00D97E2B">
        <w:rPr>
          <w:vertAlign w:val="subscript"/>
        </w:rPr>
        <w:t>2</w:t>
      </w:r>
      <w:r w:rsidRPr="00D97E2B">
        <w:rPr>
          <w:rFonts w:eastAsia="Times New Roman"/>
          <w:szCs w:val="24"/>
        </w:rPr>
        <w:t xml:space="preserve"> allowance. Also in 2021, the CCR will switch from a fixed quantity of 10 million </w:t>
      </w:r>
      <w:r w:rsidRPr="00D97E2B">
        <w:t>RGGI CO</w:t>
      </w:r>
      <w:r w:rsidRPr="00D97E2B">
        <w:rPr>
          <w:vertAlign w:val="subscript"/>
        </w:rPr>
        <w:t>2</w:t>
      </w:r>
      <w:r w:rsidRPr="00D97E2B">
        <w:rPr>
          <w:rFonts w:eastAsia="Times New Roman"/>
          <w:szCs w:val="24"/>
        </w:rPr>
        <w:t xml:space="preserve"> allowances to a fixed percentage (10%) of the total annual RGGI cap. For 2021, the CCR will decline to 7.51 million allowances (10% of the 75.14 million allowance cap in 2021).</w:t>
      </w:r>
      <w:r w:rsidRPr="00D97E2B">
        <w:rPr>
          <w:rFonts w:eastAsia="Times New Roman"/>
          <w:szCs w:val="24"/>
          <w:vertAlign w:val="superscript"/>
        </w:rPr>
        <w:footnoteReference w:id="302"/>
      </w:r>
    </w:p>
    <w:p w14:paraId="589CA141" w14:textId="77777777" w:rsidR="00D97E2B" w:rsidRPr="00D97E2B" w:rsidRDefault="00D97E2B" w:rsidP="00D97E2B">
      <w:pPr>
        <w:numPr>
          <w:ilvl w:val="0"/>
          <w:numId w:val="84"/>
        </w:numPr>
        <w:rPr>
          <w:rFonts w:eastAsia="Times New Roman"/>
          <w:szCs w:val="24"/>
        </w:rPr>
      </w:pPr>
      <w:r w:rsidRPr="00D97E2B">
        <w:rPr>
          <w:rFonts w:eastAsia="Times New Roman"/>
          <w:szCs w:val="24"/>
        </w:rPr>
        <w:t xml:space="preserve">Offsets—The electric power sector’s reduction in sulfur hexafluoride </w:t>
      </w:r>
      <w:r w:rsidR="007C26BE">
        <w:rPr>
          <w:rFonts w:eastAsia="Times New Roman"/>
          <w:szCs w:val="24"/>
        </w:rPr>
        <w:t>(</w:t>
      </w:r>
      <w:r w:rsidRPr="00D97E2B">
        <w:rPr>
          <w:rFonts w:eastAsia="Times New Roman"/>
          <w:szCs w:val="24"/>
        </w:rPr>
        <w:t>SF</w:t>
      </w:r>
      <w:r w:rsidRPr="00D97E2B">
        <w:rPr>
          <w:rFonts w:eastAsia="Times New Roman"/>
          <w:szCs w:val="24"/>
          <w:vertAlign w:val="subscript"/>
        </w:rPr>
        <w:t>6</w:t>
      </w:r>
      <w:r w:rsidR="007C26BE">
        <w:rPr>
          <w:rFonts w:eastAsia="Times New Roman"/>
          <w:szCs w:val="24"/>
        </w:rPr>
        <w:t>)</w:t>
      </w:r>
      <w:r w:rsidRPr="00D97E2B">
        <w:rPr>
          <w:rFonts w:eastAsia="Times New Roman"/>
          <w:szCs w:val="24"/>
        </w:rPr>
        <w:t xml:space="preserve"> emissions and end-use energy efficiency in the building sector have been eliminated as eligible offset projects that can generate RGGI allowances. Other verification requirements for remaining offset categories were also updated.</w:t>
      </w:r>
    </w:p>
    <w:p w14:paraId="0BE31953" w14:textId="77777777" w:rsidR="00D97E2B" w:rsidRDefault="00D97E2B" w:rsidP="00D97E2B">
      <w:r w:rsidRPr="00D97E2B">
        <w:t>Each RGGI state or any jurisdiction joining the program must include the principal design elements of the 2017 RGGI Model Rule before the next control period begins on January 1, 2021.</w:t>
      </w:r>
      <w:bookmarkStart w:id="912" w:name="_Toc396807665"/>
    </w:p>
    <w:p w14:paraId="224F4F69" w14:textId="77777777" w:rsidR="008C36A0" w:rsidRDefault="008C36A0" w:rsidP="004B7400">
      <w:pPr>
        <w:pStyle w:val="Heading3"/>
      </w:pPr>
      <w:bookmarkStart w:id="913" w:name="_Ref12125800"/>
      <w:bookmarkStart w:id="914" w:name="_Toc12795236"/>
      <w:r>
        <w:t>Electrification</w:t>
      </w:r>
      <w:bookmarkEnd w:id="913"/>
      <w:bookmarkEnd w:id="914"/>
      <w:r w:rsidR="00A02E24">
        <w:t xml:space="preserve"> </w:t>
      </w:r>
    </w:p>
    <w:p w14:paraId="57A622D8" w14:textId="313E37C8" w:rsidR="00822DC8" w:rsidRDefault="008C36A0" w:rsidP="008C36A0">
      <w:r>
        <w:t xml:space="preserve">A further means of reducing greenhouse gas emissions calls for electrifying transportation vehicles and increasing the use of electricity to provide heat, particularly through applications of efficient heat pumps. </w:t>
      </w:r>
      <w:r>
        <w:lastRenderedPageBreak/>
        <w:t xml:space="preserve">Once supplied by renewable generation, the conversion of these loads would further reduce overall carbon emissions. </w:t>
      </w:r>
    </w:p>
    <w:p w14:paraId="1B939F0C" w14:textId="77777777" w:rsidR="000D1744" w:rsidRDefault="0060618C" w:rsidP="008C36A0">
      <w:r w:rsidRPr="00D10561">
        <w:t xml:space="preserve">Several New England states are actively exploring </w:t>
      </w:r>
      <w:r w:rsidR="00822DC8" w:rsidRPr="00D10561">
        <w:t xml:space="preserve">the </w:t>
      </w:r>
      <w:r w:rsidRPr="00D10561">
        <w:t>expan</w:t>
      </w:r>
      <w:r w:rsidR="00822DC8" w:rsidRPr="00D10561">
        <w:t xml:space="preserve">sion of </w:t>
      </w:r>
      <w:r w:rsidRPr="00D10561">
        <w:t>carbon-reduction initiatives through the multistate Transportation and Climate Initiative (TCI).</w:t>
      </w:r>
      <w:r w:rsidRPr="00D10561">
        <w:rPr>
          <w:vertAlign w:val="superscript"/>
        </w:rPr>
        <w:footnoteReference w:id="303"/>
      </w:r>
      <w:r w:rsidRPr="00407D7F">
        <w:t xml:space="preserve"> </w:t>
      </w:r>
      <w:r w:rsidR="00822DC8" w:rsidRPr="00F84353">
        <w:t xml:space="preserve">The TCI states </w:t>
      </w:r>
      <w:r w:rsidR="00822DC8" w:rsidRPr="00407D7F">
        <w:t>a</w:t>
      </w:r>
      <w:r w:rsidR="00822DC8" w:rsidRPr="00816BA6">
        <w:t xml:space="preserve">re exploring </w:t>
      </w:r>
      <w:r w:rsidR="00822DC8" w:rsidRPr="00D66853">
        <w:t xml:space="preserve">the </w:t>
      </w:r>
      <w:r w:rsidR="00822DC8" w:rsidRPr="00816BA6">
        <w:t xml:space="preserve">design of a regional low-carbon transportation policy proposal that would cap and reduce carbon emissions from the combustion of transportation fuels through a cap-and-invest program or other pricing mechanism, after which each </w:t>
      </w:r>
      <w:r w:rsidR="00822DC8" w:rsidRPr="0081696B">
        <w:t>jurisdiction will decide whether to adopt and implement the policy.</w:t>
      </w:r>
      <w:r w:rsidR="00F84353" w:rsidRPr="00F84353">
        <w:t xml:space="preserve"> </w:t>
      </w:r>
      <w:r w:rsidR="00F84353">
        <w:t xml:space="preserve">Massachusetts has a goal to have 300,000 electric vehicles </w:t>
      </w:r>
      <w:r w:rsidR="005E30CF">
        <w:t xml:space="preserve">registered </w:t>
      </w:r>
      <w:r w:rsidR="00F84353">
        <w:t xml:space="preserve">by 2025, and </w:t>
      </w:r>
      <w:r w:rsidR="000D1744">
        <w:t>Maine</w:t>
      </w:r>
      <w:r w:rsidR="00F51EF1">
        <w:t xml:space="preserve"> has a goal to have</w:t>
      </w:r>
      <w:r w:rsidR="000D1744">
        <w:t xml:space="preserve"> </w:t>
      </w:r>
      <w:r w:rsidR="008C36A0">
        <w:t xml:space="preserve">100,000 heat pumps </w:t>
      </w:r>
      <w:r w:rsidR="00F51EF1">
        <w:t xml:space="preserve">in the state </w:t>
      </w:r>
      <w:r w:rsidR="008C36A0">
        <w:t>by 2025</w:t>
      </w:r>
      <w:r w:rsidR="00F84353">
        <w:t>.</w:t>
      </w:r>
      <w:r w:rsidR="008C36A0">
        <w:t xml:space="preserve"> </w:t>
      </w:r>
    </w:p>
    <w:p w14:paraId="09495C64" w14:textId="77777777" w:rsidR="00A02E24" w:rsidRPr="00482E99" w:rsidRDefault="008C36A0" w:rsidP="008C36A0">
      <w:r w:rsidRPr="00482E99">
        <w:t xml:space="preserve">The nature of </w:t>
      </w:r>
      <w:r w:rsidR="000D1744" w:rsidRPr="00482E99">
        <w:t xml:space="preserve">this type of </w:t>
      </w:r>
      <w:r w:rsidRPr="00482E99">
        <w:t>demand</w:t>
      </w:r>
      <w:r w:rsidR="000D1744" w:rsidRPr="00482E99">
        <w:t xml:space="preserve"> </w:t>
      </w:r>
      <w:r w:rsidRPr="00482E99">
        <w:t xml:space="preserve">will likely become increasingly managed by </w:t>
      </w:r>
      <w:r w:rsidR="000D1744" w:rsidRPr="00482E99">
        <w:t>“</w:t>
      </w:r>
      <w:r w:rsidRPr="00482E99">
        <w:t>prosumers,</w:t>
      </w:r>
      <w:r w:rsidR="000D1744" w:rsidRPr="00482E99">
        <w:t>”</w:t>
      </w:r>
      <w:r w:rsidRPr="00482E99">
        <w:t xml:space="preserve"> who</w:t>
      </w:r>
      <w:r w:rsidR="00C935D8" w:rsidRPr="00482E99">
        <w:t xml:space="preserve"> </w:t>
      </w:r>
      <w:r w:rsidR="00482E99" w:rsidRPr="00D10561">
        <w:t xml:space="preserve">may choose to not </w:t>
      </w:r>
      <w:r w:rsidR="00C935D8" w:rsidRPr="00482E99">
        <w:t>participate in the wholesale energy markets but</w:t>
      </w:r>
      <w:r w:rsidRPr="00482E99">
        <w:t xml:space="preserve">—if given the opportunity—will respond to price signals </w:t>
      </w:r>
      <w:r w:rsidR="000D1744" w:rsidRPr="00D10561">
        <w:t xml:space="preserve">at the retail level </w:t>
      </w:r>
      <w:r w:rsidRPr="00482E99">
        <w:t>and other triggers that vary consumption</w:t>
      </w:r>
      <w:r w:rsidR="000D1744" w:rsidRPr="00D10561">
        <w:t xml:space="preserve">, which </w:t>
      </w:r>
      <w:r w:rsidRPr="00482E99">
        <w:t xml:space="preserve">will depend on state policy preferences and decisions. </w:t>
      </w:r>
    </w:p>
    <w:p w14:paraId="5E6A1150" w14:textId="7175D1A1" w:rsidR="008C36A0" w:rsidRPr="00D97E2B" w:rsidRDefault="008C36A0" w:rsidP="008C36A0">
      <w:pPr>
        <w:rPr>
          <w:rFonts w:ascii="Calibri" w:hAnsi="Calibri"/>
          <w:bCs/>
          <w:sz w:val="24"/>
          <w:szCs w:val="26"/>
        </w:rPr>
      </w:pPr>
      <w:r w:rsidRPr="00482E99">
        <w:t xml:space="preserve">The ISO continues to monitor electrification and anticipates additional </w:t>
      </w:r>
      <w:r w:rsidR="000D1744" w:rsidRPr="00482E99">
        <w:t xml:space="preserve">growth of demand by midcentury </w:t>
      </w:r>
      <w:r w:rsidR="000D1744" w:rsidRPr="00D10561">
        <w:t>(s</w:t>
      </w:r>
      <w:r w:rsidRPr="00D10561">
        <w:t xml:space="preserve">ee </w:t>
      </w:r>
      <w:r w:rsidR="00F84353" w:rsidRPr="00D10561">
        <w:t xml:space="preserve">Section </w:t>
      </w:r>
      <w:r w:rsidR="00F84353" w:rsidRPr="00D10561">
        <w:fldChar w:fldCharType="begin"/>
      </w:r>
      <w:r w:rsidR="00F84353" w:rsidRPr="00D10561">
        <w:instrText xml:space="preserve"> REF _Ref12108126 \r \h </w:instrText>
      </w:r>
      <w:r w:rsidR="00482E99">
        <w:instrText xml:space="preserve"> \* MERGEFORMAT </w:instrText>
      </w:r>
      <w:r w:rsidR="00F84353" w:rsidRPr="00D10561">
        <w:fldChar w:fldCharType="separate"/>
      </w:r>
      <w:r w:rsidR="005D0B73">
        <w:t>3.5</w:t>
      </w:r>
      <w:r w:rsidR="00F84353" w:rsidRPr="00D10561">
        <w:fldChar w:fldCharType="end"/>
      </w:r>
      <w:r w:rsidR="000D1744" w:rsidRPr="00D10561">
        <w:t>)</w:t>
      </w:r>
      <w:r w:rsidRPr="00D10561">
        <w:t xml:space="preserve"> and </w:t>
      </w:r>
      <w:r w:rsidR="000D1744" w:rsidRPr="00D10561">
        <w:t>potentia</w:t>
      </w:r>
      <w:r w:rsidR="00A02E24" w:rsidRPr="00D10561">
        <w:t>l issues with the increased use</w:t>
      </w:r>
      <w:r w:rsidR="000D1744" w:rsidRPr="00D10561">
        <w:t xml:space="preserve"> of inverted-based </w:t>
      </w:r>
      <w:r w:rsidR="00F84353" w:rsidRPr="00D10561">
        <w:t>technologies</w:t>
      </w:r>
      <w:r w:rsidR="000D1744" w:rsidRPr="00D10561">
        <w:t xml:space="preserve"> </w:t>
      </w:r>
      <w:r w:rsidR="00A02E24" w:rsidRPr="00D10561">
        <w:t xml:space="preserve">and distributed energy resources </w:t>
      </w:r>
      <w:r w:rsidR="000D1744" w:rsidRPr="00D10561">
        <w:t xml:space="preserve">to fuel this </w:t>
      </w:r>
      <w:r w:rsidR="00F84353" w:rsidRPr="00D10561">
        <w:t xml:space="preserve">new </w:t>
      </w:r>
      <w:r w:rsidR="000D1744" w:rsidRPr="00D10561">
        <w:t xml:space="preserve">demand (see Section </w:t>
      </w:r>
      <w:r w:rsidR="00F84353" w:rsidRPr="00D10561">
        <w:fldChar w:fldCharType="begin"/>
      </w:r>
      <w:r w:rsidR="00F84353" w:rsidRPr="00D10561">
        <w:instrText xml:space="preserve"> REF _Ref12108148 \r \h </w:instrText>
      </w:r>
      <w:r w:rsidR="00482E99">
        <w:instrText xml:space="preserve"> \* MERGEFORMAT </w:instrText>
      </w:r>
      <w:r w:rsidR="00F84353" w:rsidRPr="00D10561">
        <w:fldChar w:fldCharType="separate"/>
      </w:r>
      <w:r w:rsidR="005D0B73">
        <w:t>9.2</w:t>
      </w:r>
      <w:r w:rsidR="00F84353" w:rsidRPr="00D10561">
        <w:fldChar w:fldCharType="end"/>
      </w:r>
      <w:r w:rsidRPr="00D10561">
        <w:t>)</w:t>
      </w:r>
      <w:r w:rsidR="00F84353" w:rsidRPr="00482E99">
        <w:t>.</w:t>
      </w:r>
    </w:p>
    <w:p w14:paraId="2627119E" w14:textId="77777777" w:rsidR="00D97E2B" w:rsidRPr="00D97E2B" w:rsidRDefault="00D97E2B" w:rsidP="0003567C">
      <w:pPr>
        <w:pStyle w:val="Heading2"/>
      </w:pPr>
      <w:bookmarkStart w:id="915" w:name="_Ref11050681"/>
      <w:bookmarkStart w:id="916" w:name="_Ref12114424"/>
      <w:bookmarkStart w:id="917" w:name="_Toc12795237"/>
      <w:r w:rsidRPr="00D97E2B">
        <w:t>Renewable Portfolio Standards</w:t>
      </w:r>
      <w:bookmarkEnd w:id="915"/>
      <w:bookmarkEnd w:id="916"/>
      <w:bookmarkEnd w:id="917"/>
    </w:p>
    <w:p w14:paraId="43DB8EEC" w14:textId="77777777" w:rsidR="00E92307" w:rsidRDefault="00163E4F" w:rsidP="00D97E2B">
      <w:pPr>
        <w:rPr>
          <w:szCs w:val="18"/>
        </w:rPr>
      </w:pPr>
      <w:r>
        <w:t xml:space="preserve">The New England states continue to pursue a range of policies to increase the deployment of renewable energy and distributed resources. </w:t>
      </w:r>
      <w:r w:rsidR="00D97E2B" w:rsidRPr="00D97E2B">
        <w:rPr>
          <w:i/>
        </w:rPr>
        <w:t>Renewable Portfolio St</w:t>
      </w:r>
      <w:r w:rsidR="00D97E2B" w:rsidRPr="00E43148">
        <w:rPr>
          <w:i/>
        </w:rPr>
        <w:t>andards</w:t>
      </w:r>
      <w:r w:rsidR="00D97E2B" w:rsidRPr="00E43148">
        <w:t xml:space="preserve"> are</w:t>
      </w:r>
      <w:r w:rsidR="00D97E2B" w:rsidRPr="00D97E2B">
        <w:t xml:space="preserve"> stat</w:t>
      </w:r>
      <w:r w:rsidR="00D97E2B" w:rsidRPr="00D97E2B">
        <w:rPr>
          <w:szCs w:val="18"/>
        </w:rPr>
        <w:t xml:space="preserve">e policy targets for LSEs in that state to meet the future demand for electric energy using renewable energy resources. </w:t>
      </w:r>
      <w:r w:rsidR="00D97E2B" w:rsidRPr="00D97E2B">
        <w:t xml:space="preserve">All six New England states have Renewable Portfolio Standard targets for the proportion of electric energy that load-serving entities must provide using renewable resources. </w:t>
      </w:r>
      <w:r w:rsidR="00D97E2B" w:rsidRPr="00D97E2B">
        <w:rPr>
          <w:szCs w:val="18"/>
        </w:rPr>
        <w:t xml:space="preserve">LSEs can satisfy or exceed their RPS obligations </w:t>
      </w:r>
      <w:r w:rsidR="00E92307">
        <w:rPr>
          <w:szCs w:val="18"/>
        </w:rPr>
        <w:t>in a number of ways:</w:t>
      </w:r>
    </w:p>
    <w:p w14:paraId="5906DA3C" w14:textId="77777777" w:rsidR="00E92307" w:rsidRDefault="00E92307" w:rsidP="00223560">
      <w:pPr>
        <w:pStyle w:val="ListParagraph"/>
        <w:numPr>
          <w:ilvl w:val="0"/>
          <w:numId w:val="766"/>
        </w:numPr>
      </w:pPr>
      <w:r>
        <w:rPr>
          <w:szCs w:val="18"/>
        </w:rPr>
        <w:t>D</w:t>
      </w:r>
      <w:r w:rsidR="00D97E2B" w:rsidRPr="00D97E2B">
        <w:t>eveloping the renewable resources in the ISO’s Interconnection Request Queue</w:t>
      </w:r>
    </w:p>
    <w:p w14:paraId="76EF1C37" w14:textId="77777777" w:rsidR="00E92307" w:rsidRDefault="00E92307" w:rsidP="00223560">
      <w:pPr>
        <w:pStyle w:val="ListParagraph"/>
        <w:numPr>
          <w:ilvl w:val="0"/>
          <w:numId w:val="766"/>
        </w:numPr>
      </w:pPr>
      <w:r>
        <w:t>I</w:t>
      </w:r>
      <w:r w:rsidR="00D97E2B" w:rsidRPr="00D97E2B">
        <w:t>mporting qualifying renewable resource energy from adjacent balancing authority areas</w:t>
      </w:r>
    </w:p>
    <w:p w14:paraId="4E1A63D0" w14:textId="77777777" w:rsidR="00E92307" w:rsidRDefault="00E92307" w:rsidP="00223560">
      <w:pPr>
        <w:pStyle w:val="ListParagraph"/>
        <w:numPr>
          <w:ilvl w:val="0"/>
          <w:numId w:val="766"/>
        </w:numPr>
      </w:pPr>
      <w:r>
        <w:t>B</w:t>
      </w:r>
      <w:r w:rsidR="00D97E2B" w:rsidRPr="00D97E2B">
        <w:t>uilding new renewable resources in New England not yet in the queue</w:t>
      </w:r>
    </w:p>
    <w:p w14:paraId="657409E3" w14:textId="77777777" w:rsidR="00E43148" w:rsidRPr="00E43148" w:rsidRDefault="00E92307" w:rsidP="00223560">
      <w:pPr>
        <w:pStyle w:val="ListParagraph"/>
        <w:numPr>
          <w:ilvl w:val="0"/>
          <w:numId w:val="766"/>
        </w:numPr>
        <w:rPr>
          <w:szCs w:val="18"/>
        </w:rPr>
      </w:pPr>
      <w:r>
        <w:t>D</w:t>
      </w:r>
      <w:r w:rsidR="00D97E2B" w:rsidRPr="00D97E2B">
        <w:t>eveloping behind-the-meter projects</w:t>
      </w:r>
    </w:p>
    <w:p w14:paraId="2FAC35D0" w14:textId="77777777" w:rsidR="00E92307" w:rsidRPr="009B0B26" w:rsidRDefault="00E43148" w:rsidP="00223560">
      <w:pPr>
        <w:pStyle w:val="ListParagraph"/>
        <w:numPr>
          <w:ilvl w:val="0"/>
          <w:numId w:val="766"/>
        </w:numPr>
        <w:rPr>
          <w:szCs w:val="18"/>
        </w:rPr>
      </w:pPr>
      <w:r>
        <w:t>A</w:t>
      </w:r>
      <w:r w:rsidR="00D97E2B" w:rsidRPr="00407D7F">
        <w:rPr>
          <w:szCs w:val="18"/>
        </w:rPr>
        <w:t>cquiring Renewable Energy Certificates (RECs) from eligible renewable resources qualified by each state</w:t>
      </w:r>
    </w:p>
    <w:p w14:paraId="7C993910" w14:textId="77777777" w:rsidR="00E92307" w:rsidRDefault="00E92307" w:rsidP="00223560">
      <w:pPr>
        <w:pStyle w:val="ListParagraph"/>
        <w:numPr>
          <w:ilvl w:val="0"/>
          <w:numId w:val="766"/>
        </w:numPr>
      </w:pPr>
      <w:r>
        <w:rPr>
          <w:szCs w:val="18"/>
        </w:rPr>
        <w:t>U</w:t>
      </w:r>
      <w:r w:rsidR="00D97E2B" w:rsidRPr="00D97E2B">
        <w:t>sing renewable fuels in existing generators, as specified in each state’s standards</w:t>
      </w:r>
    </w:p>
    <w:p w14:paraId="1D2F061D" w14:textId="77777777" w:rsidR="00D97E2B" w:rsidRPr="00407D7F" w:rsidRDefault="00E92307" w:rsidP="00223560">
      <w:pPr>
        <w:pStyle w:val="ListParagraph"/>
        <w:numPr>
          <w:ilvl w:val="0"/>
          <w:numId w:val="766"/>
        </w:numPr>
        <w:spacing w:after="240"/>
        <w:rPr>
          <w:color w:val="000000"/>
        </w:rPr>
      </w:pPr>
      <w:r w:rsidRPr="00223560">
        <w:rPr>
          <w:color w:val="000000"/>
        </w:rPr>
        <w:t>Ma</w:t>
      </w:r>
      <w:r w:rsidR="00D97E2B" w:rsidRPr="00223560">
        <w:rPr>
          <w:color w:val="000000"/>
        </w:rPr>
        <w:t>k</w:t>
      </w:r>
      <w:r w:rsidRPr="00223560">
        <w:rPr>
          <w:color w:val="000000"/>
        </w:rPr>
        <w:t>ing</w:t>
      </w:r>
      <w:r w:rsidR="00D97E2B" w:rsidRPr="00223560">
        <w:rPr>
          <w:color w:val="000000"/>
        </w:rPr>
        <w:t xml:space="preserve"> state-established </w:t>
      </w:r>
      <w:r w:rsidR="00D97E2B" w:rsidRPr="00223560">
        <w:rPr>
          <w:i/>
          <w:color w:val="000000"/>
        </w:rPr>
        <w:t>alternative compliance payments</w:t>
      </w:r>
      <w:r w:rsidR="00D97E2B" w:rsidRPr="00223560">
        <w:rPr>
          <w:color w:val="000000"/>
        </w:rPr>
        <w:t xml:space="preserve"> (ACPs) if their qualified renewable resources fall short of providing sufficient renewable energy credits to meet the RPSs</w:t>
      </w:r>
    </w:p>
    <w:p w14:paraId="300A3E35" w14:textId="77777777" w:rsidR="0028133C" w:rsidRPr="00D10561" w:rsidRDefault="0028133C" w:rsidP="00407D7F">
      <w:pPr>
        <w:rPr>
          <w:color w:val="000000"/>
        </w:rPr>
      </w:pPr>
      <w:r w:rsidRPr="00D10561">
        <w:t>State RPS policies typically include resource classes for new and existing resources. The targets for existing resources increase the overall requirements over the resource classes or requirements for new resources only.</w:t>
      </w:r>
    </w:p>
    <w:p w14:paraId="14014F86" w14:textId="3EB87044" w:rsidR="0046253D" w:rsidRDefault="00163E4F" w:rsidP="00D10561">
      <w:r w:rsidRPr="00163E4F">
        <w:lastRenderedPageBreak/>
        <w:fldChar w:fldCharType="begin"/>
      </w:r>
      <w:r w:rsidRPr="00163E4F">
        <w:instrText xml:space="preserve"> REF _Ref10823996 \h  \* MERGEFORMAT </w:instrText>
      </w:r>
      <w:r w:rsidRPr="00163E4F">
        <w:fldChar w:fldCharType="separate"/>
      </w:r>
      <w:r w:rsidR="005D0B73" w:rsidRPr="005D0B73">
        <w:rPr>
          <w:bCs/>
          <w:szCs w:val="18"/>
        </w:rPr>
        <w:t xml:space="preserve">Figure </w:t>
      </w:r>
      <w:r w:rsidR="005D0B73" w:rsidRPr="005D0B73">
        <w:rPr>
          <w:bCs/>
          <w:noProof/>
          <w:szCs w:val="18"/>
        </w:rPr>
        <w:t>8</w:t>
      </w:r>
      <w:r w:rsidR="005D0B73" w:rsidRPr="005D0B73">
        <w:rPr>
          <w:bCs/>
          <w:noProof/>
          <w:szCs w:val="18"/>
        </w:rPr>
        <w:noBreakHyphen/>
        <w:t>5</w:t>
      </w:r>
      <w:r w:rsidRPr="00163E4F">
        <w:fldChar w:fldCharType="end"/>
      </w:r>
      <w:r w:rsidR="00D97E2B" w:rsidRPr="00D97E2B">
        <w:t xml:space="preserve"> shows the Renewable Portfolio Standards for each New England state for new renewable energy. Individual state RPS targets for 2020 range from requiring 10% to 59% of the energy LSEs procure </w:t>
      </w:r>
      <w:r w:rsidR="00E92307">
        <w:t xml:space="preserve">to be </w:t>
      </w:r>
      <w:r w:rsidR="00D97E2B" w:rsidRPr="00D97E2B">
        <w:t>from renewable resources, which has driven new proposals for renewable energy. This trend is expected to continue as state targets increase incrementally to the middle of the century; all states have, or are considering, RPS targets that extend to 20</w:t>
      </w:r>
      <w:r w:rsidR="00C41EB7">
        <w:t>25</w:t>
      </w:r>
      <w:r w:rsidR="00D97E2B" w:rsidRPr="00D97E2B">
        <w:t xml:space="preserve"> and </w:t>
      </w:r>
      <w:r w:rsidR="00D97E2B" w:rsidRPr="0028133C">
        <w:t xml:space="preserve">beyond. </w:t>
      </w:r>
      <w:r w:rsidR="00C41EB7" w:rsidRPr="00407D7F">
        <w:t xml:space="preserve">Some states are considering </w:t>
      </w:r>
      <w:r w:rsidR="00C41EB7" w:rsidRPr="00F300A2">
        <w:t xml:space="preserve">either or both </w:t>
      </w:r>
      <w:r w:rsidR="00C41EB7" w:rsidRPr="00407D7F">
        <w:t xml:space="preserve">raising their requirements </w:t>
      </w:r>
      <w:r w:rsidR="00C41EB7" w:rsidRPr="00F300A2">
        <w:t>or accel</w:t>
      </w:r>
      <w:r w:rsidR="00C41EB7" w:rsidRPr="00D10561">
        <w:t xml:space="preserve">erating them </w:t>
      </w:r>
      <w:r w:rsidR="00C41EB7" w:rsidRPr="00407D7F">
        <w:t xml:space="preserve">further, with Massachusetts </w:t>
      </w:r>
      <w:r w:rsidR="00C41EB7" w:rsidRPr="0028133C">
        <w:t xml:space="preserve">implementing a Clean Peak </w:t>
      </w:r>
      <w:r w:rsidR="0028133C">
        <w:t xml:space="preserve">Energy </w:t>
      </w:r>
      <w:r w:rsidR="00C41EB7" w:rsidRPr="0028133C">
        <w:t>Standard</w:t>
      </w:r>
      <w:r w:rsidR="00C65CC3">
        <w:t xml:space="preserve"> that requires local LSEs to obtain electric energy during seasonal peak periods from qualified new renewable, energy-storage, or demand-response re</w:t>
      </w:r>
      <w:r w:rsidR="00C65CC3" w:rsidRPr="00D10561">
        <w:t>sources</w:t>
      </w:r>
      <w:r w:rsidR="00482E99" w:rsidRPr="00D10561">
        <w:t>, and Maine enacting a new RPS goal to increase Class 1 to 50% by 2030</w:t>
      </w:r>
      <w:r w:rsidR="00C41EB7" w:rsidRPr="00D10561">
        <w:t>.</w:t>
      </w:r>
      <w:r w:rsidR="00C65CC3" w:rsidRPr="00D10561">
        <w:rPr>
          <w:vertAlign w:val="superscript"/>
        </w:rPr>
        <w:footnoteReference w:id="304"/>
      </w:r>
      <w:r w:rsidR="006A01EE" w:rsidRPr="00D10561" w:rsidDel="006A01EE">
        <w:rPr>
          <w:rStyle w:val="FootnoteReference"/>
        </w:rPr>
        <w:t xml:space="preserve"> </w:t>
      </w:r>
      <w:r w:rsidR="00D97E2B" w:rsidRPr="00D10561">
        <w:t>The wide range of RPS percentage targets results from the varying definitions of renewable resources by each New Englan</w:t>
      </w:r>
      <w:r w:rsidR="00D97E2B" w:rsidRPr="00D97E2B">
        <w:t>d state.</w:t>
      </w:r>
    </w:p>
    <w:p w14:paraId="11547A1C" w14:textId="77777777" w:rsidR="0046253D" w:rsidRDefault="00742F3B" w:rsidP="00F300A2">
      <w:pPr>
        <w:keepNext/>
        <w:keepLines/>
        <w:spacing w:after="0" w:line="240" w:lineRule="auto"/>
        <w:jc w:val="center"/>
      </w:pPr>
      <w:r w:rsidRPr="00742F3B">
        <w:rPr>
          <w:noProof/>
        </w:rPr>
        <w:drawing>
          <wp:inline distT="0" distB="0" distL="0" distR="0" wp14:anchorId="3D9F5267" wp14:editId="2429137C">
            <wp:extent cx="5709920" cy="2286000"/>
            <wp:effectExtent l="19050" t="19050" r="241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9920" cy="2286000"/>
                    </a:xfrm>
                    <a:prstGeom prst="rect">
                      <a:avLst/>
                    </a:prstGeom>
                    <a:noFill/>
                    <a:ln w="3175">
                      <a:solidFill>
                        <a:srgbClr val="000000"/>
                      </a:solidFill>
                    </a:ln>
                  </pic:spPr>
                </pic:pic>
              </a:graphicData>
            </a:graphic>
          </wp:inline>
        </w:drawing>
      </w:r>
    </w:p>
    <w:p w14:paraId="70DD4103" w14:textId="0D51C104" w:rsidR="00DD39C4" w:rsidRDefault="005706A0" w:rsidP="006D76F2">
      <w:pPr>
        <w:pStyle w:val="Caption"/>
        <w:keepNext/>
        <w:keepLines/>
        <w:spacing w:before="120" w:after="80"/>
        <w:jc w:val="left"/>
        <w:rPr>
          <w:bCs w:val="0"/>
        </w:rPr>
      </w:pPr>
      <w:bookmarkStart w:id="918" w:name="_Ref10823996"/>
      <w:bookmarkStart w:id="919" w:name="_Toc17709768"/>
      <w:r>
        <w:t xml:space="preserve">Figure </w:t>
      </w:r>
      <w:fldSimple w:instr=" STYLEREF 1 \s ">
        <w:r w:rsidR="008E7223">
          <w:rPr>
            <w:noProof/>
          </w:rPr>
          <w:t>8</w:t>
        </w:r>
      </w:fldSimple>
      <w:r w:rsidR="008E7223">
        <w:noBreakHyphen/>
      </w:r>
      <w:fldSimple w:instr=" SEQ Figure \* ARABIC \s 1 ">
        <w:r w:rsidR="008E7223">
          <w:rPr>
            <w:noProof/>
          </w:rPr>
          <w:t>5</w:t>
        </w:r>
      </w:fldSimple>
      <w:bookmarkEnd w:id="918"/>
      <w:r w:rsidR="00D97E2B" w:rsidRPr="005706A0">
        <w:rPr>
          <w:bCs w:val="0"/>
        </w:rPr>
        <w:t xml:space="preserve">: </w:t>
      </w:r>
      <w:r w:rsidR="00DD39C4" w:rsidRPr="005706A0">
        <w:rPr>
          <w:bCs w:val="0"/>
        </w:rPr>
        <w:t>P</w:t>
      </w:r>
      <w:r w:rsidR="00DD39C4" w:rsidRPr="00F300A2">
        <w:rPr>
          <w:bCs w:val="0"/>
        </w:rPr>
        <w:t>erce</w:t>
      </w:r>
      <w:r w:rsidR="00DD39C4" w:rsidRPr="00D81BDE">
        <w:rPr>
          <w:bCs w:val="0"/>
        </w:rPr>
        <w:t xml:space="preserve">ntage of Class I (new renewable energy resources) required for the New England states’ Renewable Portfolio Standards, </w:t>
      </w:r>
      <w:r w:rsidR="00D97E2B" w:rsidRPr="00407D7F">
        <w:rPr>
          <w:bCs w:val="0"/>
        </w:rPr>
        <w:t>201</w:t>
      </w:r>
      <w:r w:rsidR="00D97E2B" w:rsidRPr="0028133C">
        <w:rPr>
          <w:bCs w:val="0"/>
        </w:rPr>
        <w:t>8 to 2040.</w:t>
      </w:r>
      <w:bookmarkEnd w:id="919"/>
      <w:r w:rsidR="00DD39C4">
        <w:rPr>
          <w:bCs w:val="0"/>
        </w:rPr>
        <w:t xml:space="preserve"> </w:t>
      </w:r>
    </w:p>
    <w:p w14:paraId="7313FCCF" w14:textId="77777777" w:rsidR="0046253D" w:rsidRDefault="0046253D" w:rsidP="00F300A2">
      <w:pPr>
        <w:pStyle w:val="NormalWeb"/>
        <w:spacing w:before="0" w:beforeAutospacing="0" w:after="240" w:afterAutospacing="0"/>
      </w:pPr>
      <w:r w:rsidRPr="00F300A2">
        <w:rPr>
          <w:rFonts w:ascii="Calibri" w:eastAsiaTheme="minorEastAsia" w:hAnsi="Calibri" w:cstheme="minorBidi"/>
          <w:b/>
          <w:color w:val="000000"/>
          <w:kern w:val="24"/>
          <w:sz w:val="18"/>
          <w:szCs w:val="18"/>
        </w:rPr>
        <w:t>Notes:</w:t>
      </w:r>
      <w:r w:rsidR="00742F3B" w:rsidRPr="00F300A2">
        <w:rPr>
          <w:rFonts w:ascii="Calibri" w:eastAsiaTheme="minorEastAsia" w:hAnsi="Calibri" w:cstheme="minorBidi"/>
          <w:b/>
          <w:color w:val="000000"/>
          <w:kern w:val="24"/>
          <w:sz w:val="18"/>
          <w:szCs w:val="18"/>
        </w:rPr>
        <w:t xml:space="preserve"> </w:t>
      </w:r>
      <w:r w:rsidRPr="00D10561">
        <w:rPr>
          <w:rFonts w:ascii="Calibri" w:eastAsiaTheme="minorEastAsia" w:hAnsi="Calibri" w:cstheme="minorBidi"/>
          <w:color w:val="000000"/>
          <w:kern w:val="24"/>
          <w:sz w:val="18"/>
          <w:szCs w:val="18"/>
        </w:rPr>
        <w:t>Connecticut’s Class I RPS requirement plateaus at 40% in 2030. Maine’s Class I RPS requirement increases to 50% in 2030 and remains at that level each year thereafter. Massachusetts’ Class I RPS requirement incr</w:t>
      </w:r>
      <w:r w:rsidRPr="001F4447">
        <w:rPr>
          <w:rFonts w:ascii="Calibri" w:eastAsiaTheme="minorEastAsia" w:hAnsi="Calibri" w:cstheme="minorBidi"/>
          <w:color w:val="000000"/>
          <w:kern w:val="24"/>
          <w:sz w:val="18"/>
          <w:szCs w:val="18"/>
        </w:rPr>
        <w:t xml:space="preserve">eases by 2% each year between 2020 and 2030, reverting back to 1% each year thereafter, with no stated expiration date. New Hampshire’s percentages include the requirements for both Class I and Class II resources (Class II resources are new solar technologies beginning operation after January 1, 2006). New Hampshire’s Class I and Class II RPS requirements plateau at 15.7% in 2025. Rhode Island’s requirement for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new</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renewable energy plateaus at 36.5% in 2035. Vermont’s </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total renewable energy</w:t>
      </w:r>
      <w:r w:rsidR="00350084">
        <w:rPr>
          <w:rFonts w:ascii="Calibri" w:eastAsiaTheme="minorEastAsia" w:hAnsi="Calibri" w:cstheme="minorBidi"/>
          <w:color w:val="000000"/>
          <w:kern w:val="24"/>
          <w:sz w:val="18"/>
          <w:szCs w:val="18"/>
        </w:rPr>
        <w:t>”</w:t>
      </w:r>
      <w:r w:rsidRPr="001F4447">
        <w:rPr>
          <w:rFonts w:ascii="Calibri" w:eastAsiaTheme="minorEastAsia" w:hAnsi="Calibri" w:cstheme="minorBidi"/>
          <w:color w:val="000000"/>
          <w:kern w:val="24"/>
          <w:sz w:val="18"/>
          <w:szCs w:val="18"/>
        </w:rPr>
        <w:t xml:space="preserve"> requirement plateaus at 75% in 2032; it recognizes all forms of new and existing renewable energy and is unique in classifying large-scale hydropower as re</w:t>
      </w:r>
      <w:r w:rsidRPr="00D10561">
        <w:rPr>
          <w:rFonts w:ascii="Calibri" w:eastAsiaTheme="minorEastAsia" w:hAnsi="Calibri" w:cstheme="minorBidi"/>
          <w:color w:val="000000"/>
          <w:kern w:val="24"/>
          <w:sz w:val="18"/>
          <w:szCs w:val="18"/>
        </w:rPr>
        <w:t>newable.</w:t>
      </w:r>
      <w:r>
        <w:rPr>
          <w:rFonts w:ascii="Calibri" w:eastAsiaTheme="minorEastAsia" w:hAnsi="Calibri" w:cstheme="minorBidi"/>
          <w:color w:val="000000"/>
          <w:kern w:val="24"/>
          <w:sz w:val="18"/>
          <w:szCs w:val="18"/>
        </w:rPr>
        <w:t xml:space="preserve"> </w:t>
      </w:r>
    </w:p>
    <w:p w14:paraId="60D6809E" w14:textId="77777777" w:rsidR="00D97E2B" w:rsidRPr="00F300A2" w:rsidRDefault="00D97E2B" w:rsidP="0003567C">
      <w:pPr>
        <w:pStyle w:val="Heading2"/>
        <w:rPr>
          <w:rFonts w:eastAsia="Times New Roman"/>
        </w:rPr>
      </w:pPr>
      <w:bookmarkStart w:id="920" w:name="_Ref11050683"/>
      <w:bookmarkStart w:id="921" w:name="_Ref11823404"/>
      <w:bookmarkStart w:id="922" w:name="_Ref11945617"/>
      <w:bookmarkStart w:id="923" w:name="_Ref12114634"/>
      <w:bookmarkStart w:id="924" w:name="_Toc12795238"/>
      <w:r w:rsidRPr="00F300A2">
        <w:rPr>
          <w:rFonts w:eastAsia="Times New Roman"/>
        </w:rPr>
        <w:t>State Requests for Proposals to Procure Renewables</w:t>
      </w:r>
      <w:bookmarkEnd w:id="920"/>
      <w:bookmarkEnd w:id="921"/>
      <w:bookmarkEnd w:id="922"/>
      <w:bookmarkEnd w:id="923"/>
      <w:bookmarkEnd w:id="924"/>
    </w:p>
    <w:p w14:paraId="20110B23" w14:textId="58DAE864" w:rsidR="00D97E2B" w:rsidRPr="001F4447" w:rsidRDefault="00D97E2B" w:rsidP="00D97E2B">
      <w:r w:rsidRPr="00D97E2B">
        <w:t>Beginning in 20</w:t>
      </w:r>
      <w:r w:rsidRPr="00D10561">
        <w:t>15, the southern New England states b</w:t>
      </w:r>
      <w:r w:rsidRPr="001F4447">
        <w:t xml:space="preserve">egan issuing requests for proposals (RFPs) to procure renewable and other clean energy resources to achieve their public policy goals. In one instance, the states issued an RFP jointly to improve the economies of scale. </w:t>
      </w:r>
      <w:r w:rsidRPr="00D10561">
        <w:t>Th</w:t>
      </w:r>
      <w:r w:rsidRPr="001F4447">
        <w:t xml:space="preserve">rough these procurement efforts, </w:t>
      </w:r>
      <w:r w:rsidR="004E29DA">
        <w:t xml:space="preserve">which range from 20 MW </w:t>
      </w:r>
      <w:r w:rsidR="004E29DA" w:rsidRPr="00B55A05">
        <w:t xml:space="preserve">to 2,000 MW, </w:t>
      </w:r>
      <w:r w:rsidRPr="00B55A05">
        <w:t>the</w:t>
      </w:r>
      <w:r w:rsidRPr="001F4447">
        <w:t xml:space="preserve"> states seek long-term contracts for the development (or </w:t>
      </w:r>
      <w:r w:rsidRPr="001F4447">
        <w:lastRenderedPageBreak/>
        <w:t xml:space="preserve">retention) of more than </w:t>
      </w:r>
      <w:r w:rsidRPr="004E29DA">
        <w:t>5,000 MW</w:t>
      </w:r>
      <w:r w:rsidRPr="001F4447">
        <w:t xml:space="preserve"> of c</w:t>
      </w:r>
      <w:r w:rsidRPr="00D97E2B">
        <w:t>lean energy resources.</w:t>
      </w:r>
      <w:r w:rsidR="00D10561">
        <w:rPr>
          <w:rStyle w:val="FootnoteReference"/>
        </w:rPr>
        <w:footnoteReference w:id="305"/>
      </w:r>
      <w:r w:rsidRPr="00D97E2B">
        <w:t xml:space="preserve"> </w:t>
      </w:r>
      <w:r w:rsidRPr="001F4447">
        <w:t xml:space="preserve">The states are targeting most of the resources to be on line in the </w:t>
      </w:r>
      <w:r w:rsidRPr="003824A7">
        <w:t>2020 to 2024</w:t>
      </w:r>
      <w:r w:rsidRPr="001F4447">
        <w:t xml:space="preserve"> timeframe. Some of the states’ activities are as follows</w:t>
      </w:r>
      <w:r w:rsidR="00B45E60">
        <w:t xml:space="preserve"> (also see Section </w:t>
      </w:r>
      <w:r w:rsidR="00B45E60">
        <w:fldChar w:fldCharType="begin"/>
      </w:r>
      <w:r w:rsidR="00B45E60">
        <w:instrText xml:space="preserve"> REF _Ref12735810 \r \h </w:instrText>
      </w:r>
      <w:r w:rsidR="00B45E60">
        <w:fldChar w:fldCharType="separate"/>
      </w:r>
      <w:r w:rsidR="005D0B73">
        <w:t>10.2</w:t>
      </w:r>
      <w:r w:rsidR="00B45E60">
        <w:fldChar w:fldCharType="end"/>
      </w:r>
      <w:r w:rsidR="006612C1">
        <w:t xml:space="preserve"> for more details</w:t>
      </w:r>
      <w:r w:rsidR="00B45E60">
        <w:t>)</w:t>
      </w:r>
      <w:r w:rsidRPr="001F4447">
        <w:t>:</w:t>
      </w:r>
    </w:p>
    <w:p w14:paraId="48E4FA1B" w14:textId="77777777" w:rsidR="0071254C" w:rsidRDefault="00954428" w:rsidP="00D97E2B">
      <w:pPr>
        <w:numPr>
          <w:ilvl w:val="0"/>
          <w:numId w:val="725"/>
        </w:numPr>
        <w:spacing w:after="120"/>
        <w:rPr>
          <w:rFonts w:eastAsia="Times New Roman"/>
          <w:szCs w:val="24"/>
        </w:rPr>
      </w:pPr>
      <w:r>
        <w:rPr>
          <w:rFonts w:eastAsia="Times New Roman"/>
          <w:szCs w:val="24"/>
        </w:rPr>
        <w:t xml:space="preserve">In 2015, </w:t>
      </w:r>
      <w:r w:rsidR="00D97E2B" w:rsidRPr="001F4447">
        <w:rPr>
          <w:rFonts w:eastAsia="Times New Roman"/>
          <w:szCs w:val="24"/>
        </w:rPr>
        <w:t>Connecticut, Massachusetts, an</w:t>
      </w:r>
      <w:r w:rsidR="00D97E2B" w:rsidRPr="00D97E2B">
        <w:rPr>
          <w:rFonts w:eastAsia="Times New Roman"/>
          <w:szCs w:val="24"/>
        </w:rPr>
        <w:t>d Rhode Island jointly issued a request for proposal</w:t>
      </w:r>
      <w:r>
        <w:rPr>
          <w:rFonts w:eastAsia="Times New Roman"/>
          <w:szCs w:val="24"/>
        </w:rPr>
        <w:t>s for clean energy and transmission, which resulted in a selection of approximately 390 MW of solar and wind resources</w:t>
      </w:r>
      <w:r w:rsidR="00D97E2B" w:rsidRPr="00D97E2B">
        <w:rPr>
          <w:rFonts w:eastAsia="Times New Roman"/>
          <w:szCs w:val="24"/>
        </w:rPr>
        <w:t>.</w:t>
      </w:r>
      <w:r w:rsidR="00D97E2B" w:rsidRPr="00D97E2B">
        <w:rPr>
          <w:rFonts w:eastAsia="Times New Roman"/>
          <w:szCs w:val="24"/>
          <w:vertAlign w:val="superscript"/>
        </w:rPr>
        <w:footnoteReference w:id="306"/>
      </w:r>
      <w:r w:rsidR="00D97E2B" w:rsidRPr="00D97E2B">
        <w:rPr>
          <w:rFonts w:eastAsia="Times New Roman"/>
          <w:szCs w:val="24"/>
        </w:rPr>
        <w:t xml:space="preserve"> </w:t>
      </w:r>
    </w:p>
    <w:p w14:paraId="135BC716" w14:textId="77777777" w:rsidR="00970CDC" w:rsidRPr="00970CDC" w:rsidRDefault="00970CDC" w:rsidP="003B4C49">
      <w:pPr>
        <w:numPr>
          <w:ilvl w:val="0"/>
          <w:numId w:val="725"/>
        </w:numPr>
        <w:spacing w:after="120"/>
        <w:rPr>
          <w:rFonts w:eastAsia="Times New Roman"/>
          <w:szCs w:val="24"/>
        </w:rPr>
      </w:pPr>
      <w:r w:rsidRPr="00970CDC">
        <w:rPr>
          <w:rFonts w:eastAsia="Times New Roman"/>
          <w:szCs w:val="24"/>
        </w:rPr>
        <w:t>In May 2018, Rhode Island selected 400 MW from Deepwater Wind’s Revolution Wind project through a competitive procurement process in collaboration with Massachusetts.</w:t>
      </w:r>
      <w:r w:rsidRPr="00970CDC">
        <w:rPr>
          <w:rFonts w:eastAsia="Times New Roman"/>
          <w:szCs w:val="24"/>
          <w:vertAlign w:val="superscript"/>
        </w:rPr>
        <w:footnoteReference w:id="307"/>
      </w:r>
      <w:r w:rsidRPr="00970CDC">
        <w:rPr>
          <w:rFonts w:eastAsia="Times New Roman"/>
          <w:szCs w:val="24"/>
        </w:rPr>
        <w:t xml:space="preserve"> A separate procurement in 2019 may procure an additional 400 MW of newly developed renewable energy resources.</w:t>
      </w:r>
    </w:p>
    <w:p w14:paraId="42F15256" w14:textId="77777777" w:rsidR="00D97E2B" w:rsidRPr="00D97E2B" w:rsidRDefault="00D97E2B" w:rsidP="00B55A05">
      <w:pPr>
        <w:keepNext/>
        <w:keepLines/>
        <w:numPr>
          <w:ilvl w:val="0"/>
          <w:numId w:val="725"/>
        </w:numPr>
        <w:spacing w:after="120"/>
        <w:rPr>
          <w:rFonts w:eastAsia="Times New Roman"/>
          <w:szCs w:val="24"/>
        </w:rPr>
      </w:pPr>
      <w:r w:rsidRPr="00D97E2B">
        <w:rPr>
          <w:rFonts w:eastAsia="Times New Roman"/>
          <w:szCs w:val="24"/>
        </w:rPr>
        <w:t>Connecticut</w:t>
      </w:r>
    </w:p>
    <w:p w14:paraId="3EF081B0" w14:textId="77777777" w:rsidR="00D97E2B" w:rsidRPr="00D97E2B" w:rsidRDefault="00D97E2B" w:rsidP="00F5735D">
      <w:pPr>
        <w:keepNext/>
        <w:keepLines/>
        <w:numPr>
          <w:ilvl w:val="1"/>
          <w:numId w:val="725"/>
        </w:numPr>
        <w:spacing w:after="120"/>
        <w:rPr>
          <w:rFonts w:eastAsia="Times New Roman"/>
          <w:szCs w:val="24"/>
        </w:rPr>
      </w:pPr>
      <w:r w:rsidRPr="00D97E2B">
        <w:rPr>
          <w:rFonts w:eastAsia="Times New Roman"/>
          <w:szCs w:val="24"/>
        </w:rPr>
        <w:t xml:space="preserve">In January 2018, the Connecticut Department of Energy and Environmental Protection </w:t>
      </w:r>
      <w:r w:rsidR="000B56BD">
        <w:rPr>
          <w:rFonts w:eastAsia="Times New Roman"/>
          <w:szCs w:val="24"/>
        </w:rPr>
        <w:t xml:space="preserve">(CT DEEP) </w:t>
      </w:r>
      <w:r w:rsidRPr="00D97E2B">
        <w:rPr>
          <w:rFonts w:eastAsia="Times New Roman"/>
          <w:szCs w:val="24"/>
        </w:rPr>
        <w:t>issued a generation-based RFP for renewable energy, including offshore wind.</w:t>
      </w:r>
      <w:r w:rsidR="00F5735D">
        <w:rPr>
          <w:rStyle w:val="FootnoteReference"/>
          <w:rFonts w:eastAsia="Times New Roman"/>
          <w:szCs w:val="24"/>
        </w:rPr>
        <w:footnoteReference w:id="308"/>
      </w:r>
    </w:p>
    <w:p w14:paraId="2BAC0B9D" w14:textId="77777777" w:rsidR="00C41EB7" w:rsidRDefault="002820AE" w:rsidP="00C41EB7">
      <w:pPr>
        <w:pStyle w:val="ListParagraph"/>
        <w:numPr>
          <w:ilvl w:val="1"/>
          <w:numId w:val="725"/>
        </w:numPr>
      </w:pPr>
      <w:r>
        <w:t>In June 2018, t</w:t>
      </w:r>
      <w:r w:rsidR="00D97E2B" w:rsidRPr="00C41EB7">
        <w:t>he state selected 200 MW from Deepwater Wind’s Revolution Wind project as a winner</w:t>
      </w:r>
      <w:r>
        <w:t>,</w:t>
      </w:r>
      <w:r w:rsidR="00C41EB7" w:rsidRPr="00C41EB7">
        <w:t xml:space="preserve"> as well as 52 MW from four fuel cell projects</w:t>
      </w:r>
      <w:r w:rsidR="00D97E2B" w:rsidRPr="00C41EB7">
        <w:t>.</w:t>
      </w:r>
      <w:r w:rsidR="00F5735D">
        <w:rPr>
          <w:rStyle w:val="FootnoteReference"/>
        </w:rPr>
        <w:footnoteReference w:id="309"/>
      </w:r>
      <w:r w:rsidR="00C41EB7" w:rsidRPr="00C41EB7">
        <w:t xml:space="preserve"> </w:t>
      </w:r>
      <w:r>
        <w:t xml:space="preserve">The </w:t>
      </w:r>
      <w:r w:rsidRPr="00A22EB7">
        <w:t>Public Utilities Regulatory Authorit</w:t>
      </w:r>
      <w:r w:rsidRPr="00407D7F">
        <w:t>y (</w:t>
      </w:r>
      <w:r w:rsidR="00C41EB7" w:rsidRPr="002820AE">
        <w:t>PURA</w:t>
      </w:r>
      <w:r w:rsidRPr="002820AE">
        <w:t>)</w:t>
      </w:r>
      <w:r w:rsidR="00C41EB7" w:rsidRPr="00C41EB7">
        <w:t xml:space="preserve"> is still reviewing contracts from </w:t>
      </w:r>
      <w:r w:rsidR="00C41EB7" w:rsidRPr="00F5735D">
        <w:t>the zero-carbon RFP,</w:t>
      </w:r>
      <w:r w:rsidR="00C41EB7" w:rsidRPr="00C41EB7">
        <w:t xml:space="preserve"> which are equivalent to 45% of the state’s load and include a 10-year contract with Millstone Nuclear Facility for 50% of its output</w:t>
      </w:r>
      <w:r w:rsidR="00C41EB7">
        <w:t>;</w:t>
      </w:r>
      <w:r w:rsidR="00C41EB7" w:rsidRPr="00C41EB7">
        <w:t xml:space="preserve"> an 8-year contract with Seabrook Station for 1.9 million MWh</w:t>
      </w:r>
      <w:r w:rsidR="00C41EB7">
        <w:t>;</w:t>
      </w:r>
      <w:r w:rsidR="00C41EB7" w:rsidRPr="00C41EB7">
        <w:t xml:space="preserve"> an additional 100 MW of offshore wind</w:t>
      </w:r>
      <w:r w:rsidR="00C41EB7">
        <w:t>;</w:t>
      </w:r>
      <w:r w:rsidR="00C41EB7" w:rsidRPr="00C41EB7">
        <w:t xml:space="preserve"> and </w:t>
      </w:r>
      <w:r w:rsidRPr="00C41EB7">
        <w:t>165</w:t>
      </w:r>
      <w:r>
        <w:t> </w:t>
      </w:r>
      <w:r w:rsidR="00C41EB7" w:rsidRPr="00C41EB7">
        <w:t xml:space="preserve">MW of solar from </w:t>
      </w:r>
      <w:r w:rsidR="00C41EB7">
        <w:t>nine</w:t>
      </w:r>
      <w:r w:rsidR="00C41EB7" w:rsidRPr="00C41EB7">
        <w:t xml:space="preserve"> projects (one paired with storage).</w:t>
      </w:r>
    </w:p>
    <w:p w14:paraId="0246553D" w14:textId="0E6FB10E" w:rsidR="00482E99" w:rsidRDefault="00E43148" w:rsidP="00482E99">
      <w:pPr>
        <w:pStyle w:val="ListParagraph"/>
        <w:numPr>
          <w:ilvl w:val="1"/>
          <w:numId w:val="725"/>
        </w:numPr>
      </w:pPr>
      <w:r>
        <w:t xml:space="preserve">Legislation passed in </w:t>
      </w:r>
      <w:r w:rsidR="00482E99">
        <w:t>2019 authorizes another procurement of 2,000 MW of offshore wind by 2030, with the first phase of procurements occurring through 2019</w:t>
      </w:r>
      <w:r w:rsidR="000B56BD">
        <w:t xml:space="preserve"> (see </w:t>
      </w:r>
      <w:r w:rsidR="00970CDC">
        <w:t>Section </w:t>
      </w:r>
      <w:r w:rsidR="000B56BD">
        <w:fldChar w:fldCharType="begin"/>
      </w:r>
      <w:r w:rsidR="000B56BD">
        <w:instrText xml:space="preserve"> REF _Ref12737639 \r \h </w:instrText>
      </w:r>
      <w:r w:rsidR="000B56BD">
        <w:fldChar w:fldCharType="separate"/>
      </w:r>
      <w:r w:rsidR="005D0B73">
        <w:t>10.2.1</w:t>
      </w:r>
      <w:r w:rsidR="000B56BD">
        <w:fldChar w:fldCharType="end"/>
      </w:r>
      <w:r w:rsidR="000B56BD">
        <w:t>)</w:t>
      </w:r>
      <w:r w:rsidR="00D50B14">
        <w:t>.</w:t>
      </w:r>
    </w:p>
    <w:p w14:paraId="5F40B869" w14:textId="77777777" w:rsidR="00D97E2B" w:rsidRPr="00D97E2B" w:rsidRDefault="00D97E2B" w:rsidP="00D97E2B">
      <w:pPr>
        <w:numPr>
          <w:ilvl w:val="0"/>
          <w:numId w:val="725"/>
        </w:numPr>
        <w:spacing w:after="120"/>
        <w:rPr>
          <w:rFonts w:eastAsia="Times New Roman"/>
          <w:szCs w:val="24"/>
        </w:rPr>
      </w:pPr>
      <w:r w:rsidRPr="00D97E2B">
        <w:rPr>
          <w:rFonts w:eastAsia="Times New Roman"/>
          <w:szCs w:val="24"/>
        </w:rPr>
        <w:t>Massachusetts</w:t>
      </w:r>
    </w:p>
    <w:p w14:paraId="50EF7747" w14:textId="77777777" w:rsidR="00970CDC" w:rsidRPr="00970CDC" w:rsidRDefault="00970CDC" w:rsidP="00970CDC">
      <w:pPr>
        <w:pStyle w:val="ListParagraph"/>
        <w:numPr>
          <w:ilvl w:val="1"/>
          <w:numId w:val="725"/>
        </w:numPr>
      </w:pPr>
      <w:r w:rsidRPr="00970CDC">
        <w:t>In a 2017 solicitation, Massachusetts selected a transmission project for an HVDC tie with Québec—Central Maine Power’s New England Clean Energy Connect Project—which received contract approval from the Massachusetts DPU in 2019 and is still under siting review in Maine.</w:t>
      </w:r>
    </w:p>
    <w:p w14:paraId="0DBFB530" w14:textId="7EA79E45" w:rsidR="00C41EB7" w:rsidRPr="00C41EB7" w:rsidRDefault="00C41EB7" w:rsidP="003B4C49">
      <w:pPr>
        <w:pStyle w:val="ListParagraph"/>
        <w:numPr>
          <w:ilvl w:val="1"/>
          <w:numId w:val="725"/>
        </w:numPr>
        <w:spacing w:after="240"/>
      </w:pPr>
      <w:r w:rsidRPr="00C41EB7">
        <w:lastRenderedPageBreak/>
        <w:t xml:space="preserve">Massachusetts passed new legislation in July </w:t>
      </w:r>
      <w:r w:rsidRPr="00407D7F">
        <w:t xml:space="preserve">2018 that directs the Massachusetts Department of Energy Resources </w:t>
      </w:r>
      <w:r w:rsidR="00D75B83" w:rsidRPr="00D75B83">
        <w:t xml:space="preserve">(DOER) </w:t>
      </w:r>
      <w:r w:rsidRPr="00D75B83">
        <w:t>t</w:t>
      </w:r>
      <w:r w:rsidRPr="00C41EB7">
        <w:t>o study the procurement of an additional 1,600 MW of offshore wind, above and beyond the 1,600 MW authorized by legislation passed in 2016. In 2019, DOER determined the additional 1,600 MW procurement should proce</w:t>
      </w:r>
      <w:r w:rsidRPr="000B56BD">
        <w:t>ed</w:t>
      </w:r>
      <w:r w:rsidR="00F84EA9">
        <w:t>. S</w:t>
      </w:r>
      <w:r w:rsidR="00657F3F" w:rsidRPr="000B56BD">
        <w:t xml:space="preserve">ee Section </w:t>
      </w:r>
      <w:r w:rsidR="00657F3F" w:rsidRPr="000B56BD">
        <w:fldChar w:fldCharType="begin"/>
      </w:r>
      <w:r w:rsidR="00657F3F" w:rsidRPr="000B56BD">
        <w:instrText xml:space="preserve"> REF _Ref12734244 \r \h  \* MERGEFORMAT </w:instrText>
      </w:r>
      <w:r w:rsidR="00657F3F" w:rsidRPr="000B56BD">
        <w:fldChar w:fldCharType="separate"/>
      </w:r>
      <w:r w:rsidR="005D0B73">
        <w:t>10.2.3</w:t>
      </w:r>
      <w:r w:rsidR="00657F3F" w:rsidRPr="000B56BD">
        <w:fldChar w:fldCharType="end"/>
      </w:r>
      <w:r w:rsidRPr="000B56BD">
        <w:t>.</w:t>
      </w:r>
    </w:p>
    <w:p w14:paraId="0E96B67A" w14:textId="77777777" w:rsidR="002D0870" w:rsidRPr="00853C94" w:rsidRDefault="002D0870" w:rsidP="00853C94">
      <w:r>
        <w:t>While Massachusetts, Connecticut and Rhode Island are leading the region in terms of procuring long-</w:t>
      </w:r>
      <w:r w:rsidRPr="00853C94">
        <w:t xml:space="preserve">term renewable energy contracts, other key developments highlight the strong upward trend toward renewable energy deployment in the region: </w:t>
      </w:r>
    </w:p>
    <w:p w14:paraId="46E31719" w14:textId="77777777" w:rsidR="002D0870" w:rsidRPr="00853C94" w:rsidRDefault="002D0870" w:rsidP="002D0870">
      <w:pPr>
        <w:pStyle w:val="ListParagraph"/>
        <w:numPr>
          <w:ilvl w:val="0"/>
          <w:numId w:val="753"/>
        </w:numPr>
      </w:pPr>
      <w:r w:rsidRPr="00FA4E97">
        <w:rPr>
          <w:rFonts w:eastAsiaTheme="minorHAnsi"/>
          <w:szCs w:val="20"/>
        </w:rPr>
        <w:t xml:space="preserve">The New Hampshire legislature </w:t>
      </w:r>
      <w:r w:rsidR="00482E99">
        <w:rPr>
          <w:rFonts w:eastAsiaTheme="minorHAnsi"/>
          <w:szCs w:val="20"/>
        </w:rPr>
        <w:t>passe</w:t>
      </w:r>
      <w:r w:rsidR="00FA4E97">
        <w:rPr>
          <w:rFonts w:eastAsiaTheme="minorHAnsi"/>
          <w:szCs w:val="20"/>
        </w:rPr>
        <w:t>d</w:t>
      </w:r>
      <w:r w:rsidR="00482E99">
        <w:rPr>
          <w:rFonts w:eastAsiaTheme="minorHAnsi"/>
          <w:szCs w:val="20"/>
        </w:rPr>
        <w:t xml:space="preserve"> </w:t>
      </w:r>
      <w:r w:rsidRPr="00FA4E97">
        <w:rPr>
          <w:rFonts w:eastAsiaTheme="minorHAnsi"/>
          <w:szCs w:val="20"/>
        </w:rPr>
        <w:t xml:space="preserve">legislation that would set up a </w:t>
      </w:r>
      <w:r w:rsidRPr="00B55A05">
        <w:rPr>
          <w:rFonts w:eastAsiaTheme="minorHAnsi"/>
          <w:szCs w:val="20"/>
        </w:rPr>
        <w:t>commission to study whether to pursue long-term energy contracting for clean energy resourc</w:t>
      </w:r>
      <w:r w:rsidRPr="00853C94">
        <w:rPr>
          <w:rFonts w:eastAsiaTheme="minorHAnsi"/>
          <w:szCs w:val="20"/>
        </w:rPr>
        <w:t>es</w:t>
      </w:r>
      <w:r w:rsidRPr="00407D7F">
        <w:rPr>
          <w:rFonts w:eastAsiaTheme="minorHAnsi"/>
          <w:szCs w:val="20"/>
        </w:rPr>
        <w:t>.</w:t>
      </w:r>
    </w:p>
    <w:p w14:paraId="10F9FD71" w14:textId="77777777" w:rsidR="002D0870" w:rsidRDefault="002D0870" w:rsidP="002D0870">
      <w:pPr>
        <w:pStyle w:val="ListParagraph"/>
        <w:numPr>
          <w:ilvl w:val="0"/>
          <w:numId w:val="753"/>
        </w:numPr>
      </w:pPr>
      <w:r w:rsidRPr="00407D7F">
        <w:t>In 2018, Maine issued an RFP for capacity resources that resulted in a contract f</w:t>
      </w:r>
      <w:r w:rsidRPr="00853C94">
        <w:t xml:space="preserve">or </w:t>
      </w:r>
      <w:r w:rsidR="00853C94" w:rsidRPr="00853C94">
        <w:t>100</w:t>
      </w:r>
      <w:r w:rsidR="00853C94">
        <w:t> </w:t>
      </w:r>
      <w:r w:rsidRPr="00853C94">
        <w:t>MW of solar.</w:t>
      </w:r>
      <w:r w:rsidR="002C70A8">
        <w:rPr>
          <w:rStyle w:val="FootnoteReference"/>
        </w:rPr>
        <w:footnoteReference w:id="310"/>
      </w:r>
      <w:r>
        <w:t xml:space="preserve"> The legislature is also reviewing multiple bills to increase the state’s </w:t>
      </w:r>
      <w:r w:rsidR="00853C94">
        <w:t>R</w:t>
      </w:r>
      <w:r>
        <w:t xml:space="preserve">enewable </w:t>
      </w:r>
      <w:r w:rsidR="00853C94">
        <w:t>P</w:t>
      </w:r>
      <w:r>
        <w:t xml:space="preserve">ortfolio </w:t>
      </w:r>
      <w:r w:rsidR="00853C94">
        <w:t>S</w:t>
      </w:r>
      <w:r>
        <w:t xml:space="preserve">tandard and establish new statewide </w:t>
      </w:r>
      <w:r w:rsidR="00853C94">
        <w:t xml:space="preserve">goals for reducing </w:t>
      </w:r>
      <w:r>
        <w:t>greenhouse gas emissions</w:t>
      </w:r>
      <w:r w:rsidR="002B396B">
        <w:t xml:space="preserve">. </w:t>
      </w:r>
    </w:p>
    <w:p w14:paraId="617C85FB" w14:textId="7D8BC880" w:rsidR="00853C94" w:rsidRPr="00B55A05" w:rsidRDefault="00747907" w:rsidP="002D0870">
      <w:r w:rsidRPr="00B55A05">
        <w:t>O</w:t>
      </w:r>
      <w:r w:rsidR="00853C94" w:rsidRPr="00407D7F">
        <w:t xml:space="preserve">ther </w:t>
      </w:r>
      <w:r w:rsidRPr="00B55A05">
        <w:t xml:space="preserve">statewide </w:t>
      </w:r>
      <w:r w:rsidR="00853C94" w:rsidRPr="00407D7F">
        <w:t>policy mechanisms</w:t>
      </w:r>
      <w:r w:rsidRPr="00B55A05">
        <w:t>,</w:t>
      </w:r>
      <w:r w:rsidR="00853C94" w:rsidRPr="00407D7F">
        <w:t xml:space="preserve"> such as financial incentives and net</w:t>
      </w:r>
      <w:r w:rsidR="008B4C47">
        <w:t>-</w:t>
      </w:r>
      <w:r w:rsidR="00853C94" w:rsidRPr="00407D7F">
        <w:t>metering</w:t>
      </w:r>
      <w:r w:rsidRPr="00B55A05">
        <w:t>,</w:t>
      </w:r>
      <w:r w:rsidR="00853C94" w:rsidRPr="00407D7F">
        <w:t xml:space="preserve"> are significant drivers of renewable energy deployment across the region</w:t>
      </w:r>
      <w:r w:rsidRPr="00B55A05">
        <w:t xml:space="preserve">, as summarized in </w:t>
      </w:r>
      <w:r w:rsidR="00853C94" w:rsidRPr="00407D7F">
        <w:t xml:space="preserve">Section </w:t>
      </w:r>
      <w:r w:rsidRPr="00B55A05">
        <w:fldChar w:fldCharType="begin"/>
      </w:r>
      <w:r w:rsidRPr="00B55A05">
        <w:instrText xml:space="preserve"> REF _Ref12103183 \r \h </w:instrText>
      </w:r>
      <w:r w:rsidR="005706A0">
        <w:instrText xml:space="preserve"> \* MERGEFORMAT </w:instrText>
      </w:r>
      <w:r w:rsidRPr="00B55A05">
        <w:fldChar w:fldCharType="separate"/>
      </w:r>
      <w:r w:rsidR="005D0B73">
        <w:t>10.2</w:t>
      </w:r>
      <w:r w:rsidRPr="00B55A05">
        <w:fldChar w:fldCharType="end"/>
      </w:r>
      <w:r w:rsidR="00853C94" w:rsidRPr="00407D7F">
        <w:t xml:space="preserve">). </w:t>
      </w:r>
    </w:p>
    <w:p w14:paraId="012CD54A" w14:textId="77777777" w:rsidR="00D97E2B" w:rsidRPr="00D97E2B" w:rsidRDefault="00D97E2B" w:rsidP="0003567C">
      <w:pPr>
        <w:pStyle w:val="Heading2"/>
      </w:pPr>
      <w:bookmarkStart w:id="925" w:name="_Ref10721434"/>
      <w:bookmarkStart w:id="926" w:name="_Ref11945552"/>
      <w:bookmarkStart w:id="927" w:name="_Toc12795239"/>
      <w:r w:rsidRPr="00D97E2B">
        <w:t>Regional Emissions Trends and Compliance Costs</w:t>
      </w:r>
      <w:bookmarkEnd w:id="925"/>
      <w:bookmarkEnd w:id="926"/>
      <w:bookmarkEnd w:id="927"/>
    </w:p>
    <w:p w14:paraId="2FFF28F6" w14:textId="77777777" w:rsidR="00D97E2B" w:rsidRPr="00D97E2B" w:rsidRDefault="00D97E2B" w:rsidP="00D97E2B">
      <w:r w:rsidRPr="00D97E2B">
        <w:t>New England emissions of carbon dioxide, nitrogen oxides, and sulfur dioxide from the region’s generators and the cost of compliance with environmental regulations are presented below.</w:t>
      </w:r>
    </w:p>
    <w:p w14:paraId="6AD33E3B" w14:textId="77777777" w:rsidR="00D97E2B" w:rsidRPr="00D97E2B" w:rsidRDefault="00D97E2B" w:rsidP="0003567C">
      <w:pPr>
        <w:pStyle w:val="Heading3"/>
      </w:pPr>
      <w:bookmarkStart w:id="928" w:name="_Toc12795240"/>
      <w:r w:rsidRPr="00D97E2B">
        <w:t>CO</w:t>
      </w:r>
      <w:r w:rsidRPr="00D97E2B">
        <w:rPr>
          <w:vertAlign w:val="subscript"/>
        </w:rPr>
        <w:t>2</w:t>
      </w:r>
      <w:r w:rsidRPr="00D97E2B">
        <w:t xml:space="preserve"> Emissions from New England States’ Electricity Generating Sector</w:t>
      </w:r>
      <w:bookmarkEnd w:id="928"/>
    </w:p>
    <w:p w14:paraId="4507531C" w14:textId="2E9648D6" w:rsidR="00D97E2B" w:rsidRDefault="00D97E2B" w:rsidP="00D97E2B">
      <w:r w:rsidRPr="00D97E2B">
        <w:t>The New England states’ electricity generating sector CO</w:t>
      </w:r>
      <w:r w:rsidRPr="00D97E2B">
        <w:rPr>
          <w:vertAlign w:val="subscript"/>
        </w:rPr>
        <w:t>2</w:t>
      </w:r>
      <w:r w:rsidRPr="00D97E2B">
        <w:t xml:space="preserve"> emissions in 2018 </w:t>
      </w:r>
      <w:r w:rsidRPr="00970CDC">
        <w:t>(24.5 million short tons)</w:t>
      </w:r>
      <w:r w:rsidRPr="00D97E2B">
        <w:t xml:space="preserve"> are already below all the aggregate regional 2022–2030 US Clean Power Plan caps of 32.3 to 28.6 million short tons. CO</w:t>
      </w:r>
      <w:r w:rsidRPr="00D97E2B">
        <w:rPr>
          <w:vertAlign w:val="subscript"/>
        </w:rPr>
        <w:t>2</w:t>
      </w:r>
      <w:r w:rsidRPr="00D97E2B">
        <w:t xml:space="preserve"> emissions from RGGI-affected generators in the entire nine-state RGGI program declined between 2009 (123.8 million short tons) and 2017 (66.2 million short tons). In 2018, emissions from RGGI generators increased (73.3 million short tons) by 11% above 2017 emissions (66.2 million short tons), although the New England RGGI states’ emissions declined to 24.5 million short tons in 2018, a slight decline from 24.7 million short tons in 2017.</w:t>
      </w:r>
      <w:r w:rsidRPr="00D97E2B">
        <w:rPr>
          <w:vertAlign w:val="superscript"/>
        </w:rPr>
        <w:footnoteReference w:id="311"/>
      </w:r>
      <w:r w:rsidRPr="00D97E2B">
        <w:t xml:space="preserve"> </w:t>
      </w:r>
      <w:r w:rsidR="005706A0">
        <w:fldChar w:fldCharType="begin"/>
      </w:r>
      <w:r w:rsidR="005706A0">
        <w:instrText xml:space="preserve"> REF _Ref12110361 \h </w:instrText>
      </w:r>
      <w:r w:rsidR="005706A0">
        <w:fldChar w:fldCharType="separate"/>
      </w:r>
      <w:r w:rsidR="005D0B73" w:rsidRPr="005706A0">
        <w:t xml:space="preserve">Figure </w:t>
      </w:r>
      <w:r w:rsidR="005D0B73">
        <w:rPr>
          <w:noProof/>
        </w:rPr>
        <w:t>8</w:t>
      </w:r>
      <w:r w:rsidR="005D0B73">
        <w:noBreakHyphen/>
      </w:r>
      <w:r w:rsidR="005D0B73">
        <w:rPr>
          <w:noProof/>
        </w:rPr>
        <w:t>6</w:t>
      </w:r>
      <w:r w:rsidR="005706A0">
        <w:fldChar w:fldCharType="end"/>
      </w:r>
      <w:r w:rsidRPr="00D97E2B">
        <w:t xml:space="preserve"> shows the total RGGI emissions for each compliance year compared with the RGGI cap.</w:t>
      </w:r>
    </w:p>
    <w:p w14:paraId="450C2A2B" w14:textId="404AD69A" w:rsidR="005706A0" w:rsidRPr="00C9571B" w:rsidRDefault="005706A0" w:rsidP="00755054">
      <w:pPr>
        <w:spacing w:after="0" w:line="240" w:lineRule="auto"/>
        <w:jc w:val="center"/>
      </w:pPr>
      <w:r w:rsidRPr="00C9571B">
        <w:rPr>
          <w:noProof/>
        </w:rPr>
        <w:lastRenderedPageBreak/>
        <w:drawing>
          <wp:inline distT="0" distB="0" distL="0" distR="0" wp14:anchorId="56DD3C42" wp14:editId="1217B946">
            <wp:extent cx="5197511" cy="3610428"/>
            <wp:effectExtent l="19050" t="19050" r="222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99511" cy="3611817"/>
                    </a:xfrm>
                    <a:prstGeom prst="rect">
                      <a:avLst/>
                    </a:prstGeom>
                    <a:noFill/>
                    <a:ln w="3175">
                      <a:solidFill>
                        <a:srgbClr val="000000"/>
                      </a:solidFill>
                    </a:ln>
                  </pic:spPr>
                </pic:pic>
              </a:graphicData>
            </a:graphic>
          </wp:inline>
        </w:drawing>
      </w:r>
    </w:p>
    <w:p w14:paraId="7EBA9B05" w14:textId="2EC737B4" w:rsidR="00D97E2B" w:rsidRPr="00D97E2B" w:rsidRDefault="0018596B" w:rsidP="003B4C49">
      <w:pPr>
        <w:pStyle w:val="Caption-Figure"/>
        <w:spacing w:after="80"/>
        <w:ind w:left="450" w:right="274"/>
        <w:rPr>
          <w:bCs/>
        </w:rPr>
      </w:pPr>
      <w:bookmarkStart w:id="929" w:name="_Ref12110361"/>
      <w:bookmarkStart w:id="930" w:name="_Toc17709769"/>
      <w:r w:rsidRPr="005706A0">
        <w:t xml:space="preserve">Figure </w:t>
      </w:r>
      <w:fldSimple w:instr=" STYLEREF 1 \s ">
        <w:r w:rsidR="008E7223">
          <w:rPr>
            <w:noProof/>
          </w:rPr>
          <w:t>8</w:t>
        </w:r>
      </w:fldSimple>
      <w:r w:rsidR="008E7223">
        <w:noBreakHyphen/>
      </w:r>
      <w:fldSimple w:instr=" SEQ Figure \* ARABIC \s 1 ">
        <w:r w:rsidR="008E7223">
          <w:rPr>
            <w:noProof/>
          </w:rPr>
          <w:t>6</w:t>
        </w:r>
      </w:fldSimple>
      <w:bookmarkEnd w:id="929"/>
      <w:r w:rsidR="00D97E2B" w:rsidRPr="005706A0">
        <w:t>: R</w:t>
      </w:r>
      <w:r w:rsidR="00D97E2B" w:rsidRPr="00FC739C">
        <w:t>GGI annual emissions by state compared with the annual CO</w:t>
      </w:r>
      <w:r w:rsidR="00D97E2B" w:rsidRPr="00FC739C">
        <w:rPr>
          <w:vertAlign w:val="subscript"/>
        </w:rPr>
        <w:t>2</w:t>
      </w:r>
      <w:r w:rsidR="00D97E2B" w:rsidRPr="00FC739C">
        <w:t xml:space="preserve"> emissions cap, 2009 to 2018</w:t>
      </w:r>
      <w:r w:rsidR="00FC739C">
        <w:t xml:space="preserve"> </w:t>
      </w:r>
      <w:r w:rsidR="00D97E2B" w:rsidRPr="00D97E2B">
        <w:rPr>
          <w:bCs/>
        </w:rPr>
        <w:t>(million short tons).</w:t>
      </w:r>
      <w:bookmarkEnd w:id="930"/>
    </w:p>
    <w:p w14:paraId="57DA0221" w14:textId="77777777" w:rsidR="00D97E2B" w:rsidRPr="00D97E2B" w:rsidRDefault="00D97E2B" w:rsidP="003B4C49">
      <w:pPr>
        <w:keepNext/>
        <w:keepLines/>
        <w:spacing w:after="80" w:line="240" w:lineRule="auto"/>
        <w:ind w:left="450" w:right="274"/>
        <w:rPr>
          <w:rFonts w:asciiTheme="minorHAnsi" w:hAnsiTheme="minorHAnsi"/>
          <w:b/>
          <w:bCs/>
          <w:sz w:val="16"/>
          <w:szCs w:val="16"/>
        </w:rPr>
      </w:pPr>
      <w:r w:rsidRPr="00D97E2B">
        <w:rPr>
          <w:rFonts w:asciiTheme="majorHAnsi" w:hAnsiTheme="majorHAnsi"/>
          <w:b/>
          <w:sz w:val="18"/>
          <w:szCs w:val="18"/>
        </w:rPr>
        <w:t>Note:</w:t>
      </w:r>
      <w:r w:rsidRPr="00D97E2B">
        <w:rPr>
          <w:rFonts w:asciiTheme="majorHAnsi" w:hAnsiTheme="majorHAnsi"/>
          <w:sz w:val="18"/>
          <w:szCs w:val="18"/>
        </w:rPr>
        <w:t xml:space="preserve"> </w:t>
      </w:r>
      <w:r w:rsidRPr="00D97E2B">
        <w:rPr>
          <w:rFonts w:asciiTheme="minorHAnsi" w:hAnsiTheme="minorHAnsi"/>
          <w:sz w:val="16"/>
          <w:szCs w:val="16"/>
        </w:rPr>
        <w:t xml:space="preserve">New England states are shown in solid bars; other RGGI states are shown in shaded bars. </w:t>
      </w:r>
    </w:p>
    <w:p w14:paraId="61909ACE" w14:textId="77777777" w:rsidR="00D97E2B" w:rsidRPr="003A1975" w:rsidRDefault="00D97E2B" w:rsidP="003B4C49">
      <w:pPr>
        <w:spacing w:line="240" w:lineRule="auto"/>
        <w:ind w:left="450" w:right="274"/>
        <w:rPr>
          <w:rFonts w:asciiTheme="majorHAnsi" w:hAnsiTheme="majorHAnsi"/>
          <w:bCs/>
          <w:sz w:val="16"/>
          <w:szCs w:val="16"/>
        </w:rPr>
      </w:pPr>
      <w:r w:rsidRPr="00D97E2B">
        <w:rPr>
          <w:rFonts w:asciiTheme="majorHAnsi" w:hAnsiTheme="majorHAnsi"/>
          <w:b/>
          <w:bCs/>
          <w:sz w:val="16"/>
          <w:szCs w:val="16"/>
        </w:rPr>
        <w:t xml:space="preserve">Sources: </w:t>
      </w:r>
      <w:r w:rsidRPr="00D97E2B">
        <w:rPr>
          <w:rFonts w:asciiTheme="majorHAnsi" w:hAnsiTheme="majorHAnsi"/>
          <w:bCs/>
          <w:sz w:val="16"/>
          <w:szCs w:val="16"/>
        </w:rPr>
        <w:t>RGGI, Program Overview and Design (</w:t>
      </w:r>
      <w:r w:rsidR="005706A0">
        <w:rPr>
          <w:rFonts w:asciiTheme="majorHAnsi" w:hAnsiTheme="majorHAnsi"/>
          <w:bCs/>
          <w:sz w:val="16"/>
          <w:szCs w:val="16"/>
        </w:rPr>
        <w:t>a</w:t>
      </w:r>
      <w:r w:rsidRPr="00D97E2B">
        <w:rPr>
          <w:rFonts w:asciiTheme="majorHAnsi" w:hAnsiTheme="majorHAnsi"/>
          <w:bCs/>
          <w:sz w:val="16"/>
          <w:szCs w:val="16"/>
        </w:rPr>
        <w:t>nnual c</w:t>
      </w:r>
      <w:r w:rsidRPr="002C70A8">
        <w:rPr>
          <w:rFonts w:asciiTheme="majorHAnsi" w:hAnsiTheme="majorHAnsi"/>
          <w:bCs/>
          <w:sz w:val="16"/>
          <w:szCs w:val="16"/>
        </w:rPr>
        <w:t>aps)</w:t>
      </w:r>
      <w:r w:rsidR="005706A0" w:rsidRPr="002C70A8">
        <w:rPr>
          <w:rFonts w:asciiTheme="majorHAnsi" w:hAnsiTheme="majorHAnsi"/>
          <w:bCs/>
          <w:sz w:val="16"/>
          <w:szCs w:val="16"/>
        </w:rPr>
        <w:t xml:space="preserve"> (</w:t>
      </w:r>
      <w:r w:rsidR="002C70A8" w:rsidRPr="002C70A8">
        <w:rPr>
          <w:rFonts w:asciiTheme="majorHAnsi" w:hAnsiTheme="majorHAnsi"/>
          <w:bCs/>
          <w:sz w:val="16"/>
          <w:szCs w:val="16"/>
        </w:rPr>
        <w:t>2019</w:t>
      </w:r>
      <w:r w:rsidR="005706A0" w:rsidRPr="002C70A8">
        <w:rPr>
          <w:rFonts w:asciiTheme="majorHAnsi" w:hAnsiTheme="majorHAnsi"/>
          <w:bCs/>
          <w:sz w:val="16"/>
          <w:szCs w:val="16"/>
        </w:rPr>
        <w:t>)</w:t>
      </w:r>
      <w:r w:rsidRPr="002C70A8">
        <w:rPr>
          <w:rFonts w:asciiTheme="majorHAnsi" w:hAnsiTheme="majorHAnsi"/>
          <w:bCs/>
          <w:sz w:val="16"/>
          <w:szCs w:val="16"/>
        </w:rPr>
        <w:t>,</w:t>
      </w:r>
      <w:r w:rsidRPr="002C70A8">
        <w:rPr>
          <w:rFonts w:asciiTheme="majorHAnsi" w:hAnsiTheme="majorHAnsi"/>
          <w:sz w:val="16"/>
          <w:szCs w:val="16"/>
        </w:rPr>
        <w:t xml:space="preserve"> </w:t>
      </w:r>
      <w:hyperlink r:id="rId90" w:history="1">
        <w:r w:rsidRPr="002C70A8">
          <w:rPr>
            <w:rFonts w:asciiTheme="majorHAnsi" w:hAnsiTheme="majorHAnsi"/>
            <w:bCs/>
            <w:color w:val="000000"/>
            <w:sz w:val="16"/>
            <w:szCs w:val="16"/>
          </w:rPr>
          <w:t>https://www.rggi.org/program-overview-and-design/elements</w:t>
        </w:r>
      </w:hyperlink>
      <w:r w:rsidRPr="00D97E2B">
        <w:rPr>
          <w:rFonts w:asciiTheme="majorHAnsi" w:hAnsiTheme="majorHAnsi"/>
          <w:bCs/>
          <w:color w:val="000000"/>
          <w:sz w:val="16"/>
          <w:szCs w:val="16"/>
        </w:rPr>
        <w:t>; RGGI CO</w:t>
      </w:r>
      <w:r w:rsidRPr="00D97E2B">
        <w:rPr>
          <w:rFonts w:asciiTheme="majorHAnsi" w:hAnsiTheme="majorHAnsi"/>
          <w:bCs/>
          <w:color w:val="000000"/>
          <w:sz w:val="16"/>
          <w:szCs w:val="16"/>
          <w:vertAlign w:val="subscript"/>
        </w:rPr>
        <w:t>2</w:t>
      </w:r>
      <w:r w:rsidRPr="00D97E2B">
        <w:rPr>
          <w:rFonts w:asciiTheme="majorHAnsi" w:hAnsiTheme="majorHAnsi"/>
          <w:bCs/>
          <w:color w:val="000000"/>
          <w:sz w:val="16"/>
          <w:szCs w:val="16"/>
        </w:rPr>
        <w:t xml:space="preserve"> Allowance Tracking System (</w:t>
      </w:r>
      <w:r w:rsidR="005706A0">
        <w:rPr>
          <w:rFonts w:asciiTheme="majorHAnsi" w:hAnsiTheme="majorHAnsi"/>
          <w:bCs/>
          <w:color w:val="000000"/>
          <w:sz w:val="16"/>
          <w:szCs w:val="16"/>
        </w:rPr>
        <w:t>a</w:t>
      </w:r>
      <w:r w:rsidRPr="00D97E2B">
        <w:rPr>
          <w:rFonts w:asciiTheme="majorHAnsi" w:hAnsiTheme="majorHAnsi"/>
          <w:bCs/>
          <w:color w:val="000000"/>
          <w:sz w:val="16"/>
          <w:szCs w:val="16"/>
        </w:rPr>
        <w:t xml:space="preserve">nnual </w:t>
      </w:r>
      <w:r w:rsidR="005706A0">
        <w:rPr>
          <w:rFonts w:asciiTheme="majorHAnsi" w:hAnsiTheme="majorHAnsi"/>
          <w:bCs/>
          <w:color w:val="000000"/>
          <w:sz w:val="16"/>
          <w:szCs w:val="16"/>
        </w:rPr>
        <w:t>s</w:t>
      </w:r>
      <w:r w:rsidRPr="00D97E2B">
        <w:rPr>
          <w:rFonts w:asciiTheme="majorHAnsi" w:hAnsiTheme="majorHAnsi"/>
          <w:bCs/>
          <w:color w:val="000000"/>
          <w:sz w:val="16"/>
          <w:szCs w:val="16"/>
        </w:rPr>
        <w:t xml:space="preserve">tate RGGI emissions), </w:t>
      </w:r>
      <w:hyperlink r:id="rId91" w:history="1">
        <w:r w:rsidRPr="003824A7">
          <w:rPr>
            <w:rFonts w:asciiTheme="majorHAnsi" w:hAnsiTheme="majorHAnsi"/>
            <w:sz w:val="16"/>
            <w:szCs w:val="16"/>
          </w:rPr>
          <w:t>https://rggi-coats.org/eats/rggi/</w:t>
        </w:r>
      </w:hyperlink>
      <w:r w:rsidRPr="003824A7">
        <w:rPr>
          <w:rFonts w:asciiTheme="majorHAnsi" w:hAnsiTheme="majorHAnsi"/>
          <w:bCs/>
          <w:sz w:val="16"/>
          <w:szCs w:val="16"/>
        </w:rPr>
        <w:t xml:space="preserve"> </w:t>
      </w:r>
      <w:r w:rsidRPr="00D97E2B">
        <w:rPr>
          <w:rFonts w:asciiTheme="majorHAnsi" w:hAnsiTheme="majorHAnsi"/>
          <w:bCs/>
          <w:color w:val="000000"/>
          <w:sz w:val="16"/>
          <w:szCs w:val="16"/>
        </w:rPr>
        <w:t>and at the EPA, Air Markets Program da</w:t>
      </w:r>
      <w:r w:rsidRPr="005706A0">
        <w:rPr>
          <w:rFonts w:asciiTheme="majorHAnsi" w:hAnsiTheme="majorHAnsi"/>
          <w:bCs/>
          <w:color w:val="000000"/>
          <w:sz w:val="16"/>
          <w:szCs w:val="16"/>
        </w:rPr>
        <w:t xml:space="preserve">ta </w:t>
      </w:r>
      <w:r w:rsidRPr="00F300A2">
        <w:rPr>
          <w:rFonts w:asciiTheme="majorHAnsi" w:hAnsiTheme="majorHAnsi"/>
          <w:bCs/>
          <w:color w:val="000000"/>
          <w:sz w:val="16"/>
          <w:szCs w:val="16"/>
        </w:rPr>
        <w:t xml:space="preserve">website (RGGI emissions data), </w:t>
      </w:r>
      <w:hyperlink r:id="rId92" w:history="1">
        <w:r w:rsidRPr="00F300A2">
          <w:rPr>
            <w:rFonts w:asciiTheme="majorHAnsi" w:hAnsiTheme="majorHAnsi"/>
            <w:bCs/>
            <w:color w:val="000000"/>
            <w:sz w:val="16"/>
            <w:szCs w:val="16"/>
          </w:rPr>
          <w:t>https://ampd.epa.gov/ampd/</w:t>
        </w:r>
      </w:hyperlink>
      <w:r w:rsidRPr="00F300A2">
        <w:rPr>
          <w:rFonts w:asciiTheme="majorHAnsi" w:hAnsiTheme="majorHAnsi"/>
          <w:bCs/>
          <w:sz w:val="16"/>
          <w:szCs w:val="16"/>
        </w:rPr>
        <w:t>.</w:t>
      </w:r>
    </w:p>
    <w:p w14:paraId="038FC37B" w14:textId="77777777" w:rsidR="00D97E2B" w:rsidRPr="00D97E2B" w:rsidRDefault="00D97E2B" w:rsidP="00633049">
      <w:pPr>
        <w:rPr>
          <w:rFonts w:asciiTheme="majorHAnsi" w:hAnsiTheme="majorHAnsi"/>
          <w:b/>
          <w:bCs/>
          <w:sz w:val="16"/>
          <w:szCs w:val="16"/>
        </w:rPr>
      </w:pPr>
      <w:r w:rsidRPr="00F300A2">
        <w:t>The greater use of lower-emitting fuels, energy efficiency, wind and photovoltaic resources, and imports from neighboring systems and added environmental controls could decrease regional power sector emissions further.</w:t>
      </w:r>
    </w:p>
    <w:p w14:paraId="3D4AF5B7" w14:textId="3ACE7973" w:rsidR="00D97E2B" w:rsidRPr="00816973" w:rsidRDefault="00D97E2B" w:rsidP="0003567C">
      <w:pPr>
        <w:pStyle w:val="Heading3"/>
      </w:pPr>
      <w:bookmarkStart w:id="931" w:name="_Toc12795241"/>
      <w:r w:rsidRPr="00816973">
        <w:t>ISO Tracking of Emissions Trends</w:t>
      </w:r>
      <w:bookmarkEnd w:id="931"/>
    </w:p>
    <w:p w14:paraId="7FC13183" w14:textId="77777777" w:rsidR="00D97E2B" w:rsidRPr="00D97E2B" w:rsidRDefault="00D97E2B" w:rsidP="00D97E2B">
      <w:pPr>
        <w:spacing w:after="200" w:line="276" w:lineRule="auto"/>
        <w:rPr>
          <w:szCs w:val="36"/>
        </w:rPr>
      </w:pPr>
      <w:r w:rsidRPr="00D97E2B">
        <w:rPr>
          <w:szCs w:val="36"/>
        </w:rPr>
        <w:t>The ISO tracks the system emissions, rates, and trends for NO</w:t>
      </w:r>
      <w:r w:rsidRPr="00D97E2B">
        <w:rPr>
          <w:szCs w:val="36"/>
          <w:vertAlign w:val="subscript"/>
        </w:rPr>
        <w:t>X</w:t>
      </w:r>
      <w:r w:rsidRPr="00D97E2B">
        <w:rPr>
          <w:szCs w:val="36"/>
        </w:rPr>
        <w:t>, SO</w:t>
      </w:r>
      <w:r w:rsidRPr="00D97E2B">
        <w:rPr>
          <w:szCs w:val="36"/>
          <w:vertAlign w:val="subscript"/>
        </w:rPr>
        <w:t>X</w:t>
      </w:r>
      <w:r w:rsidRPr="00D97E2B">
        <w:rPr>
          <w:szCs w:val="36"/>
        </w:rPr>
        <w:t>, and CO</w:t>
      </w:r>
      <w:r w:rsidRPr="00D97E2B">
        <w:rPr>
          <w:szCs w:val="36"/>
          <w:vertAlign w:val="subscript"/>
        </w:rPr>
        <w:t>2</w:t>
      </w:r>
      <w:r w:rsidRPr="00D97E2B">
        <w:rPr>
          <w:szCs w:val="36"/>
        </w:rPr>
        <w:t xml:space="preserve"> to help gauge the potential effects of future environmental regulations on the system and in response to requests from the states for emissions data. The ISO’s most recent air emissions report, the </w:t>
      </w:r>
      <w:r w:rsidRPr="00D97E2B">
        <w:rPr>
          <w:i/>
          <w:szCs w:val="36"/>
        </w:rPr>
        <w:t>2017 ISO New England Electric Generator Air Emissions Report</w:t>
      </w:r>
      <w:r w:rsidRPr="00D97E2B">
        <w:rPr>
          <w:szCs w:val="36"/>
        </w:rPr>
        <w:t>, provides detailed historical trends and emissions rate data using methodologies developed with input from stakeholders.</w:t>
      </w:r>
      <w:r w:rsidRPr="00D97E2B">
        <w:rPr>
          <w:szCs w:val="36"/>
          <w:vertAlign w:val="superscript"/>
        </w:rPr>
        <w:footnoteReference w:id="312"/>
      </w:r>
      <w:r w:rsidRPr="00D97E2B">
        <w:rPr>
          <w:szCs w:val="36"/>
        </w:rPr>
        <w:t xml:space="preserve"> </w:t>
      </w:r>
    </w:p>
    <w:p w14:paraId="31956C19" w14:textId="6232A72E" w:rsidR="00D97E2B" w:rsidRPr="00D97E2B" w:rsidRDefault="00D97E2B" w:rsidP="00D97E2B">
      <w:pPr>
        <w:spacing w:after="200" w:line="276" w:lineRule="auto"/>
      </w:pPr>
      <w:r w:rsidRPr="00D97E2B">
        <w:t>Air emissions from power generators are sensitive to changes in weather, economic activity, energy prices, and the fuel mix</w:t>
      </w:r>
      <w:r w:rsidR="002B396B">
        <w:t xml:space="preserve">. </w:t>
      </w:r>
      <w:r w:rsidRPr="00D97E2B">
        <w:t xml:space="preserve">Over the past decade, a shift in generation production, lower demand, the implementation of increasingly stringent </w:t>
      </w:r>
      <w:r w:rsidRPr="00D97E2B">
        <w:rPr>
          <w:rFonts w:eastAsiaTheme="majorEastAsia" w:cstheme="majorBidi"/>
          <w:bCs/>
          <w:iCs/>
        </w:rPr>
        <w:t xml:space="preserve">air-quality rules within and upwind of New England, and new incentives for lower-emitting resources have all </w:t>
      </w:r>
      <w:r w:rsidRPr="00D97E2B">
        <w:t>contributed to declines in New England power sector emissions. From 2007 through 2017, total system emissions decreased: NO</w:t>
      </w:r>
      <w:r w:rsidRPr="00D97E2B">
        <w:rPr>
          <w:vertAlign w:val="subscript"/>
        </w:rPr>
        <w:t>X</w:t>
      </w:r>
      <w:r w:rsidRPr="00D97E2B">
        <w:t xml:space="preserve"> by 56%, SO</w:t>
      </w:r>
      <w:r w:rsidRPr="00D97E2B">
        <w:rPr>
          <w:vertAlign w:val="subscript"/>
        </w:rPr>
        <w:t>2</w:t>
      </w:r>
      <w:r w:rsidRPr="00D97E2B">
        <w:t xml:space="preserve"> by 96%, and CO</w:t>
      </w:r>
      <w:r w:rsidRPr="00D97E2B">
        <w:rPr>
          <w:vertAlign w:val="subscript"/>
        </w:rPr>
        <w:t xml:space="preserve">2 </w:t>
      </w:r>
      <w:r w:rsidRPr="00D97E2B">
        <w:t>by 41%. The current emissions trends result from the regional shift away from older oil- and coal-</w:t>
      </w:r>
      <w:r w:rsidRPr="00D97E2B">
        <w:lastRenderedPageBreak/>
        <w:t xml:space="preserve">fired generation toward more efficient natural-gas-fired, nonemitting native renewable generation, and increasing the reliance on imports from adjacent control areas (see Section </w:t>
      </w:r>
      <w:r w:rsidR="00F94803">
        <w:fldChar w:fldCharType="begin"/>
      </w:r>
      <w:r w:rsidR="00F94803">
        <w:instrText xml:space="preserve"> REF _Ref12110739 \r \h </w:instrText>
      </w:r>
      <w:r w:rsidR="00F94803">
        <w:fldChar w:fldCharType="separate"/>
      </w:r>
      <w:r w:rsidR="005D0B73">
        <w:t>6.7.2</w:t>
      </w:r>
      <w:r w:rsidR="00F94803">
        <w:fldChar w:fldCharType="end"/>
      </w:r>
      <w:r w:rsidRPr="00D97E2B">
        <w:t>). Other factors that lowered emissions include the following:</w:t>
      </w:r>
    </w:p>
    <w:p w14:paraId="4C60B826" w14:textId="77777777"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High capacity factors achieved by nuclear generators</w:t>
      </w:r>
    </w:p>
    <w:p w14:paraId="35856511" w14:textId="57DE6134"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Growth of energy efficiency and renewable resources (i.e., wind and solar; see Section</w:t>
      </w:r>
      <w:r w:rsidR="00F94803">
        <w:rPr>
          <w:rFonts w:eastAsia="Times New Roman"/>
          <w:szCs w:val="24"/>
        </w:rPr>
        <w:t xml:space="preserve">s </w:t>
      </w:r>
      <w:r w:rsidR="00F94803">
        <w:rPr>
          <w:rFonts w:eastAsia="Times New Roman"/>
          <w:szCs w:val="24"/>
        </w:rPr>
        <w:fldChar w:fldCharType="begin"/>
      </w:r>
      <w:r w:rsidR="00F94803">
        <w:rPr>
          <w:rFonts w:eastAsia="Times New Roman"/>
          <w:szCs w:val="24"/>
        </w:rPr>
        <w:instrText xml:space="preserve"> REF _Ref387327848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3.2</w:t>
      </w:r>
      <w:r w:rsidR="00F94803">
        <w:rPr>
          <w:rFonts w:eastAsia="Times New Roman"/>
          <w:szCs w:val="24"/>
        </w:rPr>
        <w:fldChar w:fldCharType="end"/>
      </w:r>
      <w:r w:rsidR="00F94803">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_Ref12110983 \r \h </w:instrText>
      </w:r>
      <w:r w:rsidR="00F94803">
        <w:rPr>
          <w:rFonts w:eastAsia="Times New Roman"/>
          <w:szCs w:val="24"/>
        </w:rPr>
      </w:r>
      <w:r w:rsidR="00F94803">
        <w:rPr>
          <w:rFonts w:eastAsia="Times New Roman"/>
          <w:szCs w:val="24"/>
        </w:rPr>
        <w:fldChar w:fldCharType="separate"/>
      </w:r>
      <w:r w:rsidR="005D0B73">
        <w:rPr>
          <w:rFonts w:eastAsia="Times New Roman"/>
          <w:szCs w:val="24"/>
        </w:rPr>
        <w:t>3.3</w:t>
      </w:r>
      <w:r w:rsidR="00F94803">
        <w:rPr>
          <w:rFonts w:eastAsia="Times New Roman"/>
          <w:szCs w:val="24"/>
        </w:rPr>
        <w:fldChar w:fldCharType="end"/>
      </w:r>
      <w:r w:rsidR="00F94803">
        <w:rPr>
          <w:rFonts w:eastAsia="Times New Roman"/>
          <w:szCs w:val="24"/>
        </w:rPr>
        <w:t>, and</w:t>
      </w:r>
      <w:r w:rsidRPr="00D97E2B">
        <w:rPr>
          <w:rFonts w:eastAsia="Times New Roman"/>
          <w:szCs w:val="24"/>
        </w:rPr>
        <w:t xml:space="preserve"> </w:t>
      </w:r>
      <w:r w:rsidR="00F94803">
        <w:rPr>
          <w:rFonts w:eastAsia="Times New Roman"/>
          <w:szCs w:val="24"/>
        </w:rPr>
        <w:fldChar w:fldCharType="begin"/>
      </w:r>
      <w:r w:rsidR="00F94803">
        <w:rPr>
          <w:rFonts w:eastAsia="Times New Roman"/>
          <w:szCs w:val="24"/>
        </w:rPr>
        <w:instrText xml:space="preserve"> REF _Ref12110918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4.5.3.1</w:t>
      </w:r>
      <w:r w:rsidR="00F94803">
        <w:rPr>
          <w:rFonts w:eastAsia="Times New Roman"/>
          <w:szCs w:val="24"/>
        </w:rPr>
        <w:fldChar w:fldCharType="end"/>
      </w:r>
      <w:r w:rsidRPr="00D97E2B">
        <w:rPr>
          <w:rFonts w:eastAsia="Times New Roman"/>
          <w:szCs w:val="24"/>
        </w:rPr>
        <w:t>) with low or zero emissions</w:t>
      </w:r>
    </w:p>
    <w:p w14:paraId="59832028" w14:textId="53C05A51" w:rsidR="00D97E2B" w:rsidRPr="00D97E2B" w:rsidRDefault="00D97E2B" w:rsidP="00D97E2B">
      <w:pPr>
        <w:numPr>
          <w:ilvl w:val="0"/>
          <w:numId w:val="724"/>
        </w:numPr>
        <w:spacing w:after="120" w:line="240" w:lineRule="auto"/>
        <w:rPr>
          <w:rFonts w:eastAsia="Times New Roman"/>
          <w:szCs w:val="24"/>
        </w:rPr>
      </w:pPr>
      <w:r w:rsidRPr="00D97E2B">
        <w:rPr>
          <w:rFonts w:eastAsia="Times New Roman"/>
          <w:szCs w:val="24"/>
        </w:rPr>
        <w:t>More stringent environmental control requirements on new or modified fossil generators, all of which reduce the production of pollutants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_Ref12111111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8.1</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_Ref12111141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8.2</w:t>
      </w:r>
      <w:r w:rsidR="00F94803">
        <w:rPr>
          <w:rFonts w:eastAsia="Times New Roman"/>
          <w:szCs w:val="24"/>
        </w:rPr>
        <w:fldChar w:fldCharType="end"/>
      </w:r>
      <w:r w:rsidR="00F94803">
        <w:rPr>
          <w:rFonts w:eastAsia="Times New Roman"/>
          <w:szCs w:val="24"/>
        </w:rPr>
        <w:t>)</w:t>
      </w:r>
    </w:p>
    <w:p w14:paraId="1675765A" w14:textId="423D7624" w:rsidR="00D97E2B" w:rsidRPr="00D97E2B" w:rsidRDefault="00D97E2B" w:rsidP="00D97E2B">
      <w:pPr>
        <w:numPr>
          <w:ilvl w:val="0"/>
          <w:numId w:val="724"/>
        </w:numPr>
        <w:spacing w:line="240" w:lineRule="auto"/>
        <w:rPr>
          <w:rFonts w:eastAsia="Times New Roman"/>
          <w:szCs w:val="24"/>
        </w:rPr>
      </w:pPr>
      <w:r w:rsidRPr="00D97E2B">
        <w:rPr>
          <w:rFonts w:eastAsia="Times New Roman"/>
          <w:szCs w:val="24"/>
        </w:rPr>
        <w:t>Transmission improvements, which decrease the dispatch and commitment of high-polluting generators</w:t>
      </w:r>
      <w:r w:rsidR="00F94803">
        <w:rPr>
          <w:rFonts w:eastAsia="Times New Roman"/>
          <w:szCs w:val="24"/>
        </w:rPr>
        <w:t xml:space="preserve"> (Sections </w:t>
      </w:r>
      <w:r w:rsidR="00F94803">
        <w:rPr>
          <w:rFonts w:eastAsia="Times New Roman"/>
          <w:szCs w:val="24"/>
        </w:rPr>
        <w:fldChar w:fldCharType="begin"/>
      </w:r>
      <w:r w:rsidR="00F94803">
        <w:rPr>
          <w:rFonts w:eastAsia="Times New Roman"/>
          <w:szCs w:val="24"/>
        </w:rPr>
        <w:instrText xml:space="preserve"> REF _Ref485738258 \r \h </w:instrText>
      </w:r>
      <w:r w:rsidR="00F94803">
        <w:rPr>
          <w:rFonts w:eastAsia="Times New Roman"/>
          <w:szCs w:val="24"/>
        </w:rPr>
      </w:r>
      <w:r w:rsidR="00F94803">
        <w:rPr>
          <w:rFonts w:eastAsia="Times New Roman"/>
          <w:szCs w:val="24"/>
        </w:rPr>
        <w:fldChar w:fldCharType="separate"/>
      </w:r>
      <w:r w:rsidR="005D0B73">
        <w:rPr>
          <w:rFonts w:eastAsia="Times New Roman"/>
          <w:szCs w:val="24"/>
        </w:rPr>
        <w:t>5.4</w:t>
      </w:r>
      <w:r w:rsidR="00F94803">
        <w:rPr>
          <w:rFonts w:eastAsia="Times New Roman"/>
          <w:szCs w:val="24"/>
        </w:rPr>
        <w:fldChar w:fldCharType="end"/>
      </w:r>
      <w:r w:rsidR="00F94803">
        <w:rPr>
          <w:rFonts w:eastAsia="Times New Roman"/>
          <w:szCs w:val="24"/>
        </w:rPr>
        <w:t xml:space="preserve"> and </w:t>
      </w:r>
      <w:r w:rsidR="00F94803">
        <w:rPr>
          <w:rFonts w:eastAsia="Times New Roman"/>
          <w:szCs w:val="24"/>
        </w:rPr>
        <w:fldChar w:fldCharType="begin"/>
      </w:r>
      <w:r w:rsidR="00F94803">
        <w:rPr>
          <w:rFonts w:eastAsia="Times New Roman"/>
          <w:szCs w:val="24"/>
        </w:rPr>
        <w:instrText xml:space="preserve"> REF _Ref12111201 \r \h </w:instrText>
      </w:r>
      <w:r w:rsidR="00F94803">
        <w:rPr>
          <w:rFonts w:eastAsia="Times New Roman"/>
          <w:szCs w:val="24"/>
        </w:rPr>
      </w:r>
      <w:r w:rsidR="00F94803">
        <w:rPr>
          <w:rFonts w:eastAsia="Times New Roman"/>
          <w:szCs w:val="24"/>
        </w:rPr>
        <w:fldChar w:fldCharType="separate"/>
      </w:r>
      <w:r w:rsidR="005D0B73">
        <w:rPr>
          <w:rFonts w:eastAsia="Times New Roman"/>
          <w:szCs w:val="24"/>
        </w:rPr>
        <w:t>5.5</w:t>
      </w:r>
      <w:r w:rsidR="00F94803">
        <w:rPr>
          <w:rFonts w:eastAsia="Times New Roman"/>
          <w:szCs w:val="24"/>
        </w:rPr>
        <w:fldChar w:fldCharType="end"/>
      </w:r>
      <w:r w:rsidR="00F94803">
        <w:rPr>
          <w:rFonts w:eastAsia="Times New Roman"/>
          <w:szCs w:val="24"/>
        </w:rPr>
        <w:t>)</w:t>
      </w:r>
      <w:r w:rsidRPr="00D97E2B">
        <w:rPr>
          <w:rFonts w:eastAsia="Times New Roman"/>
          <w:szCs w:val="24"/>
        </w:rPr>
        <w:t xml:space="preserve"> </w:t>
      </w:r>
    </w:p>
    <w:p w14:paraId="334A09AD" w14:textId="2F180BBC" w:rsidR="00D97E2B" w:rsidRDefault="0018596B" w:rsidP="00D97E2B">
      <w:pPr>
        <w:spacing w:after="200" w:line="276" w:lineRule="auto"/>
      </w:pPr>
      <w:r w:rsidRPr="00CA3468">
        <w:fldChar w:fldCharType="begin"/>
      </w:r>
      <w:r w:rsidRPr="0018596B">
        <w:instrText xml:space="preserve"> REF _Ref11059197 \h </w:instrText>
      </w:r>
      <w:r w:rsidRPr="002C70A8">
        <w:instrText xml:space="preserve"> \* MERGEFORMAT </w:instrText>
      </w:r>
      <w:r w:rsidRPr="00CA3468">
        <w:fldChar w:fldCharType="separate"/>
      </w:r>
      <w:r w:rsidR="005D0B73" w:rsidRPr="0018596B">
        <w:t xml:space="preserve">Figure </w:t>
      </w:r>
      <w:r w:rsidR="005D0B73">
        <w:rPr>
          <w:noProof/>
        </w:rPr>
        <w:t>8</w:t>
      </w:r>
      <w:r w:rsidR="005D0B73">
        <w:rPr>
          <w:noProof/>
        </w:rPr>
        <w:noBreakHyphen/>
        <w:t>7</w:t>
      </w:r>
      <w:r w:rsidRPr="00CA3468">
        <w:fldChar w:fldCharType="end"/>
      </w:r>
      <w:r w:rsidRPr="00CA3468">
        <w:t xml:space="preserve"> </w:t>
      </w:r>
      <w:r w:rsidR="00D97E2B" w:rsidRPr="00CA3468">
        <w:t>shows the regional annual emissions for New England from 2007 to 2017.</w:t>
      </w:r>
    </w:p>
    <w:p w14:paraId="3A62076B" w14:textId="77777777" w:rsidR="00BE6D27" w:rsidRPr="00CA3468" w:rsidRDefault="00BE6D27" w:rsidP="00F300A2">
      <w:pPr>
        <w:spacing w:after="0" w:line="240" w:lineRule="auto"/>
      </w:pPr>
      <w:r w:rsidRPr="00BE6D27">
        <w:rPr>
          <w:noProof/>
        </w:rPr>
        <w:drawing>
          <wp:inline distT="0" distB="0" distL="0" distR="0" wp14:anchorId="23511C80" wp14:editId="79BF1BB0">
            <wp:extent cx="5704205"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4205" cy="3657600"/>
                    </a:xfrm>
                    <a:prstGeom prst="rect">
                      <a:avLst/>
                    </a:prstGeom>
                    <a:noFill/>
                    <a:ln>
                      <a:noFill/>
                    </a:ln>
                  </pic:spPr>
                </pic:pic>
              </a:graphicData>
            </a:graphic>
          </wp:inline>
        </w:drawing>
      </w:r>
    </w:p>
    <w:p w14:paraId="5DC357FB" w14:textId="0F932F9F" w:rsidR="00D97E2B" w:rsidRPr="0018596B" w:rsidRDefault="0018596B" w:rsidP="00BE6D27">
      <w:pPr>
        <w:pStyle w:val="Caption"/>
        <w:spacing w:before="120" w:after="80"/>
        <w:jc w:val="left"/>
        <w:rPr>
          <w:bCs w:val="0"/>
        </w:rPr>
      </w:pPr>
      <w:bookmarkStart w:id="932" w:name="_Ref11059197"/>
      <w:bookmarkStart w:id="933" w:name="_Toc17709770"/>
      <w:r w:rsidRPr="0018596B">
        <w:t xml:space="preserve">Figure </w:t>
      </w:r>
      <w:fldSimple w:instr=" STYLEREF 1 \s ">
        <w:r w:rsidR="008E7223">
          <w:rPr>
            <w:noProof/>
          </w:rPr>
          <w:t>8</w:t>
        </w:r>
      </w:fldSimple>
      <w:r w:rsidR="008E7223">
        <w:noBreakHyphen/>
      </w:r>
      <w:fldSimple w:instr=" SEQ Figure \* ARABIC \s 1 ">
        <w:r w:rsidR="008E7223">
          <w:rPr>
            <w:noProof/>
          </w:rPr>
          <w:t>7</w:t>
        </w:r>
      </w:fldSimple>
      <w:bookmarkEnd w:id="932"/>
      <w:r w:rsidR="00D97E2B" w:rsidRPr="0018596B">
        <w:rPr>
          <w:bCs w:val="0"/>
        </w:rPr>
        <w:t>: New England system annual emissions of NO</w:t>
      </w:r>
      <w:r w:rsidR="00D97E2B" w:rsidRPr="00BE6D27">
        <w:rPr>
          <w:bCs w:val="0"/>
          <w:vertAlign w:val="subscript"/>
        </w:rPr>
        <w:t>X</w:t>
      </w:r>
      <w:r w:rsidR="00D97E2B" w:rsidRPr="00BE6D27">
        <w:rPr>
          <w:bCs w:val="0"/>
        </w:rPr>
        <w:t>, SO</w:t>
      </w:r>
      <w:r w:rsidR="00D97E2B" w:rsidRPr="00BE6D27">
        <w:rPr>
          <w:bCs w:val="0"/>
          <w:vertAlign w:val="subscript"/>
        </w:rPr>
        <w:t>2</w:t>
      </w:r>
      <w:r w:rsidR="00D97E2B" w:rsidRPr="00BE6D27">
        <w:rPr>
          <w:bCs w:val="0"/>
        </w:rPr>
        <w:t>, and CO</w:t>
      </w:r>
      <w:r w:rsidR="00D97E2B" w:rsidRPr="00BE6D27">
        <w:rPr>
          <w:bCs w:val="0"/>
          <w:vertAlign w:val="subscript"/>
        </w:rPr>
        <w:t>2</w:t>
      </w:r>
      <w:r w:rsidR="00D97E2B" w:rsidRPr="00BE6D27">
        <w:rPr>
          <w:bCs w:val="0"/>
        </w:rPr>
        <w:t>, 2007 to 2017 (</w:t>
      </w:r>
      <w:r w:rsidR="000808B3">
        <w:rPr>
          <w:bCs w:val="0"/>
        </w:rPr>
        <w:t>t</w:t>
      </w:r>
      <w:r w:rsidR="00D97E2B" w:rsidRPr="00BE6D27">
        <w:rPr>
          <w:bCs w:val="0"/>
        </w:rPr>
        <w:t>housand short tons).</w:t>
      </w:r>
      <w:bookmarkEnd w:id="933"/>
    </w:p>
    <w:p w14:paraId="2A13164C" w14:textId="77777777" w:rsidR="00D97E2B" w:rsidRPr="00D97E2B" w:rsidRDefault="00D97E2B" w:rsidP="00D97E2B">
      <w:pPr>
        <w:keepNext/>
        <w:keepLines/>
        <w:spacing w:line="240" w:lineRule="auto"/>
        <w:ind w:right="-180"/>
        <w:rPr>
          <w:rFonts w:asciiTheme="minorHAnsi" w:hAnsiTheme="minorHAnsi"/>
          <w:sz w:val="16"/>
          <w:szCs w:val="16"/>
        </w:rPr>
      </w:pPr>
      <w:r w:rsidRPr="00D97E2B">
        <w:rPr>
          <w:rFonts w:asciiTheme="minorHAnsi" w:hAnsiTheme="minorHAnsi"/>
          <w:b/>
          <w:sz w:val="16"/>
          <w:szCs w:val="16"/>
        </w:rPr>
        <w:t>Source:</w:t>
      </w:r>
      <w:r w:rsidRPr="00D97E2B">
        <w:rPr>
          <w:rFonts w:asciiTheme="minorHAnsi" w:hAnsiTheme="minorHAnsi"/>
          <w:sz w:val="16"/>
          <w:szCs w:val="16"/>
        </w:rPr>
        <w:t xml:space="preserve"> </w:t>
      </w:r>
      <w:r w:rsidRPr="00D97E2B">
        <w:rPr>
          <w:rFonts w:asciiTheme="minorHAnsi" w:hAnsiTheme="minorHAnsi"/>
          <w:i/>
          <w:sz w:val="16"/>
          <w:szCs w:val="16"/>
        </w:rPr>
        <w:t xml:space="preserve">2017 ISO New England Electric Generator Air Emissions Report </w:t>
      </w:r>
      <w:r w:rsidRPr="00D97E2B">
        <w:rPr>
          <w:rFonts w:asciiTheme="minorHAnsi" w:hAnsiTheme="minorHAnsi"/>
          <w:sz w:val="16"/>
          <w:szCs w:val="16"/>
        </w:rPr>
        <w:t xml:space="preserve">(April 2019), </w:t>
      </w:r>
      <w:hyperlink r:id="rId94" w:history="1">
        <w:r w:rsidRPr="00D97E2B">
          <w:rPr>
            <w:rFonts w:asciiTheme="minorHAnsi" w:hAnsiTheme="minorHAnsi"/>
            <w:color w:val="000000"/>
            <w:sz w:val="16"/>
            <w:szCs w:val="16"/>
          </w:rPr>
          <w:t>https://www.iso-ne.com/static-assets/documents/2019/04/2017_emissions_report.pdf</w:t>
        </w:r>
      </w:hyperlink>
      <w:r w:rsidRPr="00D97E2B">
        <w:rPr>
          <w:rFonts w:asciiTheme="minorHAnsi" w:hAnsiTheme="minorHAnsi"/>
          <w:sz w:val="16"/>
          <w:szCs w:val="16"/>
        </w:rPr>
        <w:t>.</w:t>
      </w:r>
    </w:p>
    <w:p w14:paraId="394B1A7B" w14:textId="77777777" w:rsidR="00D97E2B" w:rsidRPr="00D97E2B" w:rsidRDefault="00D97E2B" w:rsidP="00D97E2B">
      <w:pPr>
        <w:autoSpaceDE w:val="0"/>
        <w:autoSpaceDN w:val="0"/>
        <w:adjustRightInd w:val="0"/>
      </w:pPr>
      <w:r w:rsidRPr="00D97E2B">
        <w:t>From 2016 to 2017, total NO</w:t>
      </w:r>
      <w:r w:rsidRPr="00D97E2B">
        <w:rPr>
          <w:vertAlign w:val="subscript"/>
        </w:rPr>
        <w:t>X</w:t>
      </w:r>
      <w:r w:rsidRPr="00D97E2B">
        <w:t xml:space="preserve"> system emissions decreased by 6%, SO</w:t>
      </w:r>
      <w:r w:rsidRPr="00D97E2B">
        <w:rPr>
          <w:vertAlign w:val="subscript"/>
        </w:rPr>
        <w:t>2</w:t>
      </w:r>
      <w:r w:rsidRPr="00D97E2B">
        <w:t xml:space="preserve"> system emissions decreased 11%, and CO</w:t>
      </w:r>
      <w:r w:rsidRPr="00D97E2B">
        <w:rPr>
          <w:vertAlign w:val="subscript"/>
        </w:rPr>
        <w:t>2</w:t>
      </w:r>
      <w:r w:rsidRPr="00D97E2B">
        <w:t xml:space="preserve"> system emissions decreased 7%, while the proportion of annual energy production by fuel type remained similar. In 2017, natural-gas-fired generation’s share of </w:t>
      </w:r>
      <w:r w:rsidR="00755054">
        <w:t xml:space="preserve">the </w:t>
      </w:r>
      <w:r w:rsidRPr="00D97E2B">
        <w:t>annual real-time energy production declined slightly to 48% from 49% in 2016, while nuclear generation remained unchanged at 31%. Native hydro generation increased slightly to 8% compared with 7% in 2016, while the share of annual energy production for other fuel types (landfill gas, methane, refuse, solar, steam, and wood) remained at 7%. Wind’s share of generation increased to 3% in 2017, compared with 2% in 2016, which marked the first time wind generation produced more energy than oil- and coal-fired generation combined in the region.</w:t>
      </w:r>
    </w:p>
    <w:p w14:paraId="1143B55B" w14:textId="77777777" w:rsidR="00D97E2B" w:rsidRPr="00D97E2B" w:rsidRDefault="00D97E2B" w:rsidP="0003567C">
      <w:pPr>
        <w:pStyle w:val="Heading3"/>
      </w:pPr>
      <w:bookmarkStart w:id="934" w:name="_Ref11050722"/>
      <w:bookmarkStart w:id="935" w:name="_Ref11675034"/>
      <w:bookmarkStart w:id="936" w:name="_Toc12795242"/>
      <w:r w:rsidRPr="00D97E2B">
        <w:lastRenderedPageBreak/>
        <w:t>Cost of Compliance with Environmental Regulations</w:t>
      </w:r>
      <w:bookmarkEnd w:id="934"/>
      <w:bookmarkEnd w:id="935"/>
      <w:bookmarkEnd w:id="936"/>
    </w:p>
    <w:p w14:paraId="6D912146" w14:textId="23F9EF48" w:rsidR="00D97E2B" w:rsidRPr="00D97E2B" w:rsidRDefault="00D97E2B" w:rsidP="00D97E2B">
      <w:r w:rsidRPr="00D97E2B">
        <w:t>Compliance costs for generating units vary by age, economics, location, and readiness of commercially available control technologies. As the median age of the fossil generation fleet declines, existing generating units, particularly those employing advanced combustion turbines—both oil- or natural-gas-fired—reflect higher efficiencies and operate best-available pollution control technologies for air emissions and water discharges.</w:t>
      </w:r>
      <w:r w:rsidRPr="00D97E2B">
        <w:rPr>
          <w:vertAlign w:val="superscript"/>
        </w:rPr>
        <w:footnoteReference w:id="313"/>
      </w:r>
      <w:r w:rsidRPr="00D97E2B">
        <w:t xml:space="preserve"> The costs across New England for CO</w:t>
      </w:r>
      <w:r w:rsidRPr="00D97E2B">
        <w:rPr>
          <w:vertAlign w:val="subscript"/>
        </w:rPr>
        <w:t>2</w:t>
      </w:r>
      <w:r w:rsidRPr="00D97E2B">
        <w:t xml:space="preserve"> emission allowances under RGGI and the Massachusetts’ </w:t>
      </w:r>
      <w:r w:rsidRPr="00D97E2B">
        <w:rPr>
          <w:i/>
        </w:rPr>
        <w:t>Global Warming Solutions Act</w:t>
      </w:r>
      <w:r w:rsidRPr="00D97E2B">
        <w:t xml:space="preserve"> (GWSA) also promote lower systemwide CO</w:t>
      </w:r>
      <w:r w:rsidRPr="00D97E2B">
        <w:rPr>
          <w:vertAlign w:val="subscript"/>
        </w:rPr>
        <w:t>2</w:t>
      </w:r>
      <w:r w:rsidRPr="00D97E2B">
        <w:t xml:space="preserve"> emissions by increasing operating costs for higher-emitting generators.</w:t>
      </w:r>
      <w:r w:rsidRPr="00D97E2B">
        <w:rPr>
          <w:vertAlign w:val="superscript"/>
        </w:rPr>
        <w:footnoteReference w:id="314"/>
      </w:r>
      <w:r w:rsidRPr="00D97E2B">
        <w:t xml:space="preserve"> Between 2017 and 2018, emission allowance costs represented between 3% to 7% of variable fuel costs according to the ISO’s internal market monitor. In 2017, RGGI CO</w:t>
      </w:r>
      <w:r w:rsidRPr="00D97E2B">
        <w:rPr>
          <w:vertAlign w:val="subscript"/>
        </w:rPr>
        <w:t>2</w:t>
      </w:r>
      <w:r w:rsidRPr="00D97E2B">
        <w:t xml:space="preserve"> prices averaged $3.71/metric ton, increasing to $4.86/metric ton in 2018, while GWSA CO</w:t>
      </w:r>
      <w:r w:rsidRPr="00D97E2B">
        <w:rPr>
          <w:vertAlign w:val="subscript"/>
        </w:rPr>
        <w:t>2</w:t>
      </w:r>
      <w:r w:rsidRPr="00D97E2B">
        <w:t xml:space="preserve"> allowance prices averaged $8.77/metric ton in 2018.</w:t>
      </w:r>
      <w:r w:rsidRPr="00D97E2B">
        <w:rPr>
          <w:vertAlign w:val="superscript"/>
        </w:rPr>
        <w:footnoteReference w:id="315"/>
      </w:r>
      <w:r w:rsidRPr="00D97E2B">
        <w:t xml:space="preserve"> </w:t>
      </w:r>
      <w:r w:rsidR="00F96BD3" w:rsidRPr="00F96BD3">
        <w:fldChar w:fldCharType="begin"/>
      </w:r>
      <w:r w:rsidR="00F96BD3" w:rsidRPr="00F96BD3">
        <w:instrText xml:space="preserve"> REF _Ref12114086 \h  \* MERGEFORMAT </w:instrText>
      </w:r>
      <w:r w:rsidR="00F96BD3" w:rsidRPr="00F96BD3">
        <w:fldChar w:fldCharType="separate"/>
      </w:r>
      <w:r w:rsidR="005D0B73" w:rsidRPr="004E0BAF">
        <w:t xml:space="preserve">Figure </w:t>
      </w:r>
      <w:r w:rsidR="005D0B73">
        <w:rPr>
          <w:noProof/>
        </w:rPr>
        <w:t>8</w:t>
      </w:r>
      <w:r w:rsidR="005D0B73">
        <w:rPr>
          <w:noProof/>
        </w:rPr>
        <w:noBreakHyphen/>
        <w:t>8</w:t>
      </w:r>
      <w:r w:rsidR="00F96BD3" w:rsidRPr="00F96BD3">
        <w:fldChar w:fldCharType="end"/>
      </w:r>
      <w:r w:rsidRPr="00D97E2B">
        <w:t xml:space="preserve"> highlights that CO</w:t>
      </w:r>
      <w:r w:rsidRPr="00D97E2B">
        <w:rPr>
          <w:vertAlign w:val="subscript"/>
        </w:rPr>
        <w:t>2</w:t>
      </w:r>
      <w:r w:rsidRPr="00D97E2B">
        <w:t xml:space="preserve"> allowance costs have a relatively small impact on generation production costs and consequently do not have a noticeable impact on the economic merit order of generation.</w:t>
      </w:r>
      <w:r w:rsidRPr="00D97E2B">
        <w:rPr>
          <w:rFonts w:ascii="Calibri" w:hAnsi="Calibri"/>
          <w:bCs/>
          <w:sz w:val="16"/>
          <w:szCs w:val="16"/>
        </w:rPr>
        <w:t xml:space="preserve"> </w:t>
      </w:r>
    </w:p>
    <w:p w14:paraId="73B663A0" w14:textId="77777777" w:rsidR="00D97E2B" w:rsidRDefault="00D97E2B" w:rsidP="004E0BAF">
      <w:pPr>
        <w:keepNext/>
        <w:keepLines/>
        <w:spacing w:after="0" w:line="240" w:lineRule="auto"/>
        <w:jc w:val="center"/>
        <w:rPr>
          <w:rFonts w:ascii="Calibri" w:hAnsi="Calibri"/>
          <w:b/>
          <w:bCs/>
          <w:szCs w:val="18"/>
        </w:rPr>
      </w:pPr>
      <w:r w:rsidRPr="00D97E2B">
        <w:rPr>
          <w:rFonts w:ascii="Calibri" w:hAnsi="Calibri"/>
          <w:b/>
          <w:bCs/>
          <w:noProof/>
          <w:szCs w:val="18"/>
        </w:rPr>
        <w:lastRenderedPageBreak/>
        <w:drawing>
          <wp:inline distT="0" distB="0" distL="0" distR="0" wp14:anchorId="33961836" wp14:editId="202BB167">
            <wp:extent cx="5029200" cy="3009865"/>
            <wp:effectExtent l="19050" t="19050" r="1905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3009865"/>
                    </a:xfrm>
                    <a:prstGeom prst="rect">
                      <a:avLst/>
                    </a:prstGeom>
                    <a:noFill/>
                    <a:ln>
                      <a:solidFill>
                        <a:srgbClr val="62777F">
                          <a:lumMod val="75000"/>
                        </a:srgbClr>
                      </a:solidFill>
                    </a:ln>
                  </pic:spPr>
                </pic:pic>
              </a:graphicData>
            </a:graphic>
          </wp:inline>
        </w:drawing>
      </w:r>
    </w:p>
    <w:p w14:paraId="3718F23A" w14:textId="47F4B582" w:rsidR="00D97E2B" w:rsidRPr="00F300A2" w:rsidRDefault="006D76F2" w:rsidP="00F300A2">
      <w:pPr>
        <w:pStyle w:val="Caption"/>
        <w:keepNext/>
        <w:keepLines/>
        <w:spacing w:before="120" w:after="80"/>
        <w:ind w:left="540" w:right="180"/>
        <w:jc w:val="left"/>
        <w:rPr>
          <w:bCs w:val="0"/>
        </w:rPr>
      </w:pPr>
      <w:bookmarkStart w:id="937" w:name="_Ref12114086"/>
      <w:bookmarkStart w:id="938" w:name="_Toc17709771"/>
      <w:r w:rsidRPr="004E0BAF">
        <w:t xml:space="preserve">Figure </w:t>
      </w:r>
      <w:fldSimple w:instr=" STYLEREF 1 \s ">
        <w:r w:rsidR="008E7223">
          <w:rPr>
            <w:noProof/>
          </w:rPr>
          <w:t>8</w:t>
        </w:r>
      </w:fldSimple>
      <w:r w:rsidR="008E7223">
        <w:noBreakHyphen/>
      </w:r>
      <w:fldSimple w:instr=" SEQ Figure \* ARABIC \s 1 ">
        <w:r w:rsidR="008E7223">
          <w:rPr>
            <w:noProof/>
          </w:rPr>
          <w:t>8</w:t>
        </w:r>
      </w:fldSimple>
      <w:bookmarkEnd w:id="937"/>
      <w:r w:rsidR="00D97E2B" w:rsidRPr="00F300A2">
        <w:t>: Contribution of CO</w:t>
      </w:r>
      <w:r w:rsidR="00D97E2B" w:rsidRPr="00F300A2">
        <w:rPr>
          <w:vertAlign w:val="subscript"/>
        </w:rPr>
        <w:t>2</w:t>
      </w:r>
      <w:r w:rsidR="00D97E2B" w:rsidRPr="00F300A2">
        <w:t xml:space="preserve"> allowance costs to energy production costs, 2016 to 2018 ($/MWh).</w:t>
      </w:r>
      <w:bookmarkEnd w:id="938"/>
    </w:p>
    <w:p w14:paraId="531173B6" w14:textId="77777777" w:rsidR="00D97E2B" w:rsidRPr="003A1975" w:rsidRDefault="00D97E2B" w:rsidP="004E0BAF">
      <w:pPr>
        <w:keepNext/>
        <w:keepLines/>
        <w:tabs>
          <w:tab w:val="left" w:pos="8460"/>
        </w:tabs>
        <w:spacing w:after="80" w:line="240" w:lineRule="auto"/>
        <w:ind w:left="540" w:right="360"/>
        <w:rPr>
          <w:rFonts w:asciiTheme="minorHAnsi" w:hAnsiTheme="minorHAnsi"/>
          <w:bCs/>
          <w:sz w:val="16"/>
          <w:szCs w:val="16"/>
        </w:rPr>
      </w:pPr>
      <w:r w:rsidRPr="00FC739C">
        <w:rPr>
          <w:rFonts w:asciiTheme="minorHAnsi" w:hAnsiTheme="minorHAnsi"/>
          <w:b/>
          <w:bCs/>
          <w:sz w:val="16"/>
          <w:szCs w:val="16"/>
        </w:rPr>
        <w:t xml:space="preserve">Notes: </w:t>
      </w:r>
      <w:r w:rsidRPr="00E91988">
        <w:rPr>
          <w:rFonts w:asciiTheme="minorHAnsi" w:hAnsiTheme="minorHAnsi"/>
          <w:bCs/>
          <w:sz w:val="16"/>
          <w:szCs w:val="16"/>
        </w:rPr>
        <w:t>The line series for each fuel category illustrates the quarterly estimated production cost using the average heat rate for generators of a representative technology type. The height of the shaded band above each line series represents the average additional energy production costs attributable to CO</w:t>
      </w:r>
      <w:r w:rsidRPr="00E91988">
        <w:rPr>
          <w:rFonts w:asciiTheme="minorHAnsi" w:hAnsiTheme="minorHAnsi"/>
          <w:bCs/>
          <w:sz w:val="16"/>
          <w:szCs w:val="16"/>
          <w:vertAlign w:val="subscript"/>
        </w:rPr>
        <w:t>2</w:t>
      </w:r>
      <w:r w:rsidRPr="00E91988">
        <w:rPr>
          <w:rFonts w:asciiTheme="minorHAnsi" w:hAnsiTheme="minorHAnsi"/>
          <w:bCs/>
          <w:sz w:val="16"/>
          <w:szCs w:val="16"/>
        </w:rPr>
        <w:t xml:space="preserve"> emissions allowance costs in each category</w:t>
      </w:r>
      <w:r w:rsidRPr="004E0BAF">
        <w:rPr>
          <w:rFonts w:asciiTheme="minorHAnsi" w:hAnsiTheme="minorHAnsi"/>
          <w:bCs/>
          <w:sz w:val="16"/>
          <w:szCs w:val="16"/>
        </w:rPr>
        <w:t>.</w:t>
      </w:r>
      <w:r w:rsidR="00FC739C" w:rsidRPr="00F300A2">
        <w:rPr>
          <w:rFonts w:asciiTheme="minorHAnsi" w:hAnsiTheme="minorHAnsi"/>
          <w:bCs/>
          <w:sz w:val="16"/>
          <w:szCs w:val="16"/>
        </w:rPr>
        <w:t xml:space="preserve"> The standard efficiency heat rates (MMBtu/MWh) used in the graph are as follows: nat</w:t>
      </w:r>
      <w:r w:rsidR="00FC739C" w:rsidRPr="000D52BE">
        <w:rPr>
          <w:rFonts w:asciiTheme="minorHAnsi" w:hAnsiTheme="minorHAnsi"/>
          <w:bCs/>
          <w:sz w:val="16"/>
          <w:szCs w:val="16"/>
        </w:rPr>
        <w:t>ural gas, 7.8; no. 6 oil, 10.2; no. 2 oil, 11.7.</w:t>
      </w:r>
    </w:p>
    <w:p w14:paraId="5F90E262" w14:textId="77777777" w:rsidR="00D97E2B" w:rsidRDefault="00D97E2B" w:rsidP="000D52BE">
      <w:pPr>
        <w:keepNext/>
        <w:keepLines/>
        <w:tabs>
          <w:tab w:val="left" w:pos="8460"/>
        </w:tabs>
        <w:spacing w:line="240" w:lineRule="auto"/>
        <w:ind w:left="540" w:right="360"/>
        <w:rPr>
          <w:rFonts w:asciiTheme="minorHAnsi" w:hAnsiTheme="minorHAnsi"/>
          <w:bCs/>
          <w:sz w:val="16"/>
          <w:szCs w:val="16"/>
        </w:rPr>
      </w:pPr>
      <w:r w:rsidRPr="00E91988">
        <w:rPr>
          <w:rFonts w:asciiTheme="minorHAnsi" w:hAnsiTheme="minorHAnsi"/>
          <w:b/>
          <w:bCs/>
          <w:sz w:val="16"/>
          <w:szCs w:val="16"/>
        </w:rPr>
        <w:t xml:space="preserve">Source: </w:t>
      </w:r>
      <w:r w:rsidRPr="00E91988">
        <w:rPr>
          <w:rFonts w:asciiTheme="minorHAnsi" w:hAnsiTheme="minorHAnsi"/>
          <w:bCs/>
          <w:sz w:val="16"/>
          <w:szCs w:val="16"/>
        </w:rPr>
        <w:t>ISO New England</w:t>
      </w:r>
      <w:r w:rsidRPr="00E91988">
        <w:rPr>
          <w:rFonts w:asciiTheme="minorHAnsi" w:hAnsiTheme="minorHAnsi"/>
          <w:bCs/>
          <w:i/>
          <w:sz w:val="16"/>
          <w:szCs w:val="16"/>
        </w:rPr>
        <w:t>,</w:t>
      </w:r>
      <w:r w:rsidRPr="00E91988">
        <w:rPr>
          <w:rFonts w:asciiTheme="minorHAnsi" w:hAnsiTheme="minorHAnsi"/>
          <w:bCs/>
          <w:sz w:val="16"/>
          <w:szCs w:val="16"/>
        </w:rPr>
        <w:t xml:space="preserve"> </w:t>
      </w:r>
      <w:r w:rsidRPr="00665234">
        <w:rPr>
          <w:rFonts w:asciiTheme="minorHAnsi" w:hAnsiTheme="minorHAnsi"/>
          <w:bCs/>
          <w:i/>
          <w:sz w:val="16"/>
          <w:szCs w:val="16"/>
        </w:rPr>
        <w:t>Greenhouse Gas Regulatory Update</w:t>
      </w:r>
      <w:r w:rsidR="00665234">
        <w:rPr>
          <w:rFonts w:asciiTheme="minorHAnsi" w:hAnsiTheme="minorHAnsi"/>
          <w:bCs/>
          <w:sz w:val="16"/>
          <w:szCs w:val="16"/>
        </w:rPr>
        <w:t>, Environmental Advisory Group presentation</w:t>
      </w:r>
      <w:r w:rsidRPr="00E91988">
        <w:rPr>
          <w:rFonts w:asciiTheme="minorHAnsi" w:hAnsiTheme="minorHAnsi"/>
          <w:bCs/>
          <w:sz w:val="16"/>
          <w:szCs w:val="16"/>
        </w:rPr>
        <w:t xml:space="preserve"> (January 29, 2019), </w:t>
      </w:r>
      <w:r w:rsidR="00665234">
        <w:rPr>
          <w:rFonts w:asciiTheme="minorHAnsi" w:hAnsiTheme="minorHAnsi"/>
          <w:bCs/>
          <w:sz w:val="16"/>
          <w:szCs w:val="16"/>
        </w:rPr>
        <w:t xml:space="preserve">slide 14, </w:t>
      </w:r>
      <w:hyperlink r:id="rId96" w:history="1">
        <w:r w:rsidRPr="00E91988">
          <w:rPr>
            <w:rFonts w:asciiTheme="minorHAnsi" w:hAnsiTheme="minorHAnsi"/>
            <w:bCs/>
            <w:color w:val="000000"/>
            <w:sz w:val="16"/>
            <w:szCs w:val="16"/>
          </w:rPr>
          <w:t>https://www.iso-ne.com/static-assets/documents/2019/01/ghgupdate_20190129.pdf</w:t>
        </w:r>
      </w:hyperlink>
      <w:r w:rsidRPr="00E91988">
        <w:rPr>
          <w:rFonts w:asciiTheme="minorHAnsi" w:hAnsiTheme="minorHAnsi"/>
          <w:bCs/>
          <w:sz w:val="16"/>
          <w:szCs w:val="16"/>
        </w:rPr>
        <w:t>.</w:t>
      </w:r>
      <w:r w:rsidRPr="00D97E2B">
        <w:rPr>
          <w:rFonts w:asciiTheme="minorHAnsi" w:hAnsiTheme="minorHAnsi"/>
          <w:bCs/>
          <w:sz w:val="16"/>
          <w:szCs w:val="16"/>
        </w:rPr>
        <w:t xml:space="preserve"> </w:t>
      </w:r>
    </w:p>
    <w:p w14:paraId="5449BE90" w14:textId="77777777" w:rsidR="00D97E2B" w:rsidRPr="00D97E2B" w:rsidRDefault="00D97E2B" w:rsidP="0003567C">
      <w:pPr>
        <w:pStyle w:val="Heading2"/>
        <w:rPr>
          <w:rFonts w:eastAsia="Times New Roman"/>
        </w:rPr>
      </w:pPr>
      <w:bookmarkStart w:id="939" w:name="_Ref388713432"/>
      <w:bookmarkStart w:id="940" w:name="_Toc396807666"/>
      <w:bookmarkStart w:id="941" w:name="_Toc429063456"/>
      <w:bookmarkStart w:id="942" w:name="_Toc490323087"/>
      <w:bookmarkStart w:id="943" w:name="_Toc12795243"/>
      <w:bookmarkEnd w:id="912"/>
      <w:r w:rsidRPr="00D97E2B">
        <w:rPr>
          <w:rFonts w:eastAsia="Times New Roman"/>
        </w:rPr>
        <w:t>Update of Regional Nuclear Generation Licensing Renewals</w:t>
      </w:r>
      <w:bookmarkEnd w:id="939"/>
      <w:bookmarkEnd w:id="940"/>
      <w:bookmarkEnd w:id="941"/>
      <w:bookmarkEnd w:id="942"/>
      <w:bookmarkEnd w:id="943"/>
      <w:r w:rsidRPr="00D97E2B">
        <w:rPr>
          <w:rFonts w:eastAsia="Times New Roman"/>
        </w:rPr>
        <w:t xml:space="preserve"> </w:t>
      </w:r>
    </w:p>
    <w:p w14:paraId="2C2088E8" w14:textId="14398F43" w:rsidR="00D97E2B" w:rsidRPr="00D97E2B" w:rsidRDefault="00D97E2B" w:rsidP="00D97E2B">
      <w:r w:rsidRPr="00D97E2B">
        <w:t>Nuclear generation includes 3,335 MW, or 11%, of the regional summer claimed capability and produced 31,384 GWh, or 30%, of all native generation in 2018.</w:t>
      </w:r>
      <w:r w:rsidRPr="00D97E2B">
        <w:rPr>
          <w:vertAlign w:val="superscript"/>
        </w:rPr>
        <w:footnoteReference w:id="316"/>
      </w:r>
      <w:r w:rsidRPr="00D97E2B">
        <w:t xml:space="preserve"> All remaining nuclear generators require an operating license, which is subject to renewals or extensions, as summarized in </w:t>
      </w:r>
      <w:r w:rsidRPr="00D97E2B">
        <w:fldChar w:fldCharType="begin"/>
      </w:r>
      <w:r w:rsidRPr="00D97E2B">
        <w:instrText xml:space="preserve"> REF _Ref417734229 \h  \* MERGEFORMAT </w:instrText>
      </w:r>
      <w:r w:rsidRPr="00D97E2B">
        <w:fldChar w:fldCharType="separate"/>
      </w:r>
      <w:r w:rsidR="005D0B73" w:rsidRPr="005D0B73">
        <w:rPr>
          <w:bCs/>
          <w:szCs w:val="18"/>
        </w:rPr>
        <w:t xml:space="preserve">Table </w:t>
      </w:r>
      <w:r w:rsidR="005D0B73" w:rsidRPr="005D0B73">
        <w:rPr>
          <w:bCs/>
          <w:noProof/>
          <w:szCs w:val="18"/>
        </w:rPr>
        <w:t>8</w:t>
      </w:r>
      <w:r w:rsidR="005D0B73" w:rsidRPr="005D0B73">
        <w:rPr>
          <w:bCs/>
          <w:noProof/>
          <w:szCs w:val="18"/>
        </w:rPr>
        <w:noBreakHyphen/>
        <w:t>3</w:t>
      </w:r>
      <w:r w:rsidRPr="00D97E2B">
        <w:fldChar w:fldCharType="end"/>
      </w:r>
      <w:r w:rsidRPr="00D97E2B">
        <w:t xml:space="preserve">. </w:t>
      </w:r>
    </w:p>
    <w:p w14:paraId="77310A03" w14:textId="60A6C5DE" w:rsidR="00D97E2B" w:rsidRPr="00D97E2B" w:rsidRDefault="00D97E2B" w:rsidP="00D97E2B">
      <w:pPr>
        <w:keepNext/>
        <w:keepLines/>
        <w:spacing w:after="120" w:line="240" w:lineRule="auto"/>
        <w:jc w:val="center"/>
        <w:rPr>
          <w:rFonts w:ascii="Calibri" w:hAnsi="Calibri"/>
          <w:b/>
          <w:bCs/>
          <w:szCs w:val="18"/>
        </w:rPr>
      </w:pPr>
      <w:bookmarkStart w:id="944" w:name="_Ref417734229"/>
      <w:bookmarkStart w:id="945" w:name="_Toc429063581"/>
      <w:bookmarkStart w:id="946" w:name="_Toc491244021"/>
      <w:bookmarkStart w:id="947" w:name="_Toc12795352"/>
      <w:r w:rsidRPr="00D97E2B">
        <w:rPr>
          <w:rFonts w:ascii="Calibri" w:hAnsi="Calibri"/>
          <w:b/>
          <w:bCs/>
          <w:szCs w:val="18"/>
        </w:rPr>
        <w:t xml:space="preserve">Table </w:t>
      </w:r>
      <w:r w:rsidR="0082639A">
        <w:rPr>
          <w:rFonts w:ascii="Calibri" w:hAnsi="Calibri"/>
          <w:b/>
          <w:bCs/>
          <w:szCs w:val="18"/>
        </w:rPr>
        <w:fldChar w:fldCharType="begin"/>
      </w:r>
      <w:r w:rsidR="0082639A">
        <w:rPr>
          <w:rFonts w:ascii="Calibri" w:hAnsi="Calibri"/>
          <w:b/>
          <w:bCs/>
          <w:szCs w:val="18"/>
        </w:rPr>
        <w:instrText xml:space="preserve"> STYLEREF 1 \s </w:instrText>
      </w:r>
      <w:r w:rsidR="0082639A">
        <w:rPr>
          <w:rFonts w:ascii="Calibri" w:hAnsi="Calibri"/>
          <w:b/>
          <w:bCs/>
          <w:szCs w:val="18"/>
        </w:rPr>
        <w:fldChar w:fldCharType="separate"/>
      </w:r>
      <w:r w:rsidR="005D0B73">
        <w:rPr>
          <w:rFonts w:ascii="Calibri" w:hAnsi="Calibri"/>
          <w:b/>
          <w:bCs/>
          <w:noProof/>
          <w:szCs w:val="18"/>
        </w:rPr>
        <w:t>8</w:t>
      </w:r>
      <w:r w:rsidR="0082639A">
        <w:rPr>
          <w:rFonts w:ascii="Calibri" w:hAnsi="Calibri"/>
          <w:b/>
          <w:bCs/>
          <w:szCs w:val="18"/>
        </w:rPr>
        <w:fldChar w:fldCharType="end"/>
      </w:r>
      <w:r w:rsidR="0082639A">
        <w:rPr>
          <w:rFonts w:ascii="Calibri" w:hAnsi="Calibri"/>
          <w:b/>
          <w:bCs/>
          <w:szCs w:val="18"/>
        </w:rPr>
        <w:noBreakHyphen/>
      </w:r>
      <w:r w:rsidR="0082639A">
        <w:rPr>
          <w:rFonts w:ascii="Calibri" w:hAnsi="Calibri"/>
          <w:b/>
          <w:bCs/>
          <w:szCs w:val="18"/>
        </w:rPr>
        <w:fldChar w:fldCharType="begin"/>
      </w:r>
      <w:r w:rsidR="0082639A">
        <w:rPr>
          <w:rFonts w:ascii="Calibri" w:hAnsi="Calibri"/>
          <w:b/>
          <w:bCs/>
          <w:szCs w:val="18"/>
        </w:rPr>
        <w:instrText xml:space="preserve"> SEQ Table \* ARABIC \s 1 </w:instrText>
      </w:r>
      <w:r w:rsidR="0082639A">
        <w:rPr>
          <w:rFonts w:ascii="Calibri" w:hAnsi="Calibri"/>
          <w:b/>
          <w:bCs/>
          <w:szCs w:val="18"/>
        </w:rPr>
        <w:fldChar w:fldCharType="separate"/>
      </w:r>
      <w:r w:rsidR="005D0B73">
        <w:rPr>
          <w:rFonts w:ascii="Calibri" w:hAnsi="Calibri"/>
          <w:b/>
          <w:bCs/>
          <w:noProof/>
          <w:szCs w:val="18"/>
        </w:rPr>
        <w:t>3</w:t>
      </w:r>
      <w:r w:rsidR="0082639A">
        <w:rPr>
          <w:rFonts w:ascii="Calibri" w:hAnsi="Calibri"/>
          <w:b/>
          <w:bCs/>
          <w:szCs w:val="18"/>
        </w:rPr>
        <w:fldChar w:fldCharType="end"/>
      </w:r>
      <w:bookmarkEnd w:id="944"/>
      <w:r w:rsidRPr="00D97E2B">
        <w:rPr>
          <w:rFonts w:ascii="Calibri" w:hAnsi="Calibri"/>
          <w:b/>
          <w:bCs/>
          <w:szCs w:val="18"/>
        </w:rPr>
        <w:br/>
        <w:t>New England Operating Nuclear Power Plants</w:t>
      </w:r>
      <w:bookmarkEnd w:id="945"/>
      <w:bookmarkEnd w:id="946"/>
      <w:bookmarkEnd w:id="947"/>
    </w:p>
    <w:tbl>
      <w:tblPr>
        <w:tblW w:w="93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0"/>
        <w:gridCol w:w="2047"/>
        <w:gridCol w:w="1710"/>
        <w:gridCol w:w="1070"/>
        <w:gridCol w:w="1228"/>
        <w:gridCol w:w="1842"/>
      </w:tblGrid>
      <w:tr w:rsidR="00D97E2B" w:rsidRPr="00D97E2B" w14:paraId="1854E4D7" w14:textId="77777777" w:rsidTr="00D97E2B">
        <w:trPr>
          <w:jc w:val="center"/>
        </w:trPr>
        <w:tc>
          <w:tcPr>
            <w:tcW w:w="1460" w:type="dxa"/>
            <w:shd w:val="clear" w:color="auto" w:fill="1795D2" w:themeFill="accent1"/>
            <w:tcMar>
              <w:top w:w="29" w:type="dxa"/>
              <w:left w:w="115" w:type="dxa"/>
              <w:bottom w:w="29" w:type="dxa"/>
              <w:right w:w="115" w:type="dxa"/>
            </w:tcMar>
            <w:vAlign w:val="center"/>
            <w:hideMark/>
          </w:tcPr>
          <w:p w14:paraId="2F5A1E36" w14:textId="77777777"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Unit Name</w:t>
            </w:r>
          </w:p>
        </w:tc>
        <w:tc>
          <w:tcPr>
            <w:tcW w:w="2047" w:type="dxa"/>
            <w:shd w:val="clear" w:color="auto" w:fill="1795D2" w:themeFill="accent1"/>
            <w:tcMar>
              <w:top w:w="29" w:type="dxa"/>
              <w:left w:w="115" w:type="dxa"/>
              <w:bottom w:w="29" w:type="dxa"/>
              <w:right w:w="115" w:type="dxa"/>
            </w:tcMar>
            <w:vAlign w:val="center"/>
            <w:hideMark/>
          </w:tcPr>
          <w:p w14:paraId="2F45C0AE" w14:textId="77777777"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Operating (OP)/</w:t>
            </w:r>
            <w:r w:rsidRPr="00D97E2B">
              <w:rPr>
                <w:rFonts w:asciiTheme="minorHAnsi" w:hAnsiTheme="minorHAnsi"/>
                <w:b/>
                <w:bCs/>
                <w:color w:val="FFFFFF"/>
                <w:sz w:val="18"/>
                <w:szCs w:val="18"/>
              </w:rPr>
              <w:br/>
              <w:t>Renewed License Dates</w:t>
            </w:r>
          </w:p>
        </w:tc>
        <w:tc>
          <w:tcPr>
            <w:tcW w:w="1710" w:type="dxa"/>
            <w:shd w:val="clear" w:color="auto" w:fill="1795D2" w:themeFill="accent1"/>
            <w:tcMar>
              <w:top w:w="29" w:type="dxa"/>
              <w:left w:w="115" w:type="dxa"/>
              <w:bottom w:w="29" w:type="dxa"/>
              <w:right w:w="115" w:type="dxa"/>
            </w:tcMar>
            <w:vAlign w:val="center"/>
            <w:hideMark/>
          </w:tcPr>
          <w:p w14:paraId="21FD9C7E" w14:textId="77777777"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License Expiration Date</w:t>
            </w:r>
          </w:p>
        </w:tc>
        <w:tc>
          <w:tcPr>
            <w:tcW w:w="1070" w:type="dxa"/>
            <w:shd w:val="clear" w:color="auto" w:fill="1795D2" w:themeFill="accent1"/>
            <w:tcMar>
              <w:top w:w="29" w:type="dxa"/>
              <w:left w:w="115" w:type="dxa"/>
              <w:bottom w:w="29" w:type="dxa"/>
              <w:right w:w="115" w:type="dxa"/>
            </w:tcMar>
            <w:vAlign w:val="center"/>
            <w:hideMark/>
          </w:tcPr>
          <w:p w14:paraId="196959FA" w14:textId="77777777"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Type</w:t>
            </w:r>
          </w:p>
        </w:tc>
        <w:tc>
          <w:tcPr>
            <w:tcW w:w="1228" w:type="dxa"/>
            <w:shd w:val="clear" w:color="auto" w:fill="1795D2" w:themeFill="accent1"/>
            <w:tcMar>
              <w:top w:w="29" w:type="dxa"/>
              <w:left w:w="115" w:type="dxa"/>
              <w:bottom w:w="29" w:type="dxa"/>
              <w:right w:w="115" w:type="dxa"/>
            </w:tcMar>
            <w:vAlign w:val="center"/>
            <w:hideMark/>
          </w:tcPr>
          <w:p w14:paraId="79AD9B3E" w14:textId="0573B2F3" w:rsidR="00D97E2B" w:rsidRPr="00D97E2B" w:rsidRDefault="00D97E2B" w:rsidP="00906B60">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Summer Peak</w:t>
            </w:r>
            <w:r w:rsidR="00906B60">
              <w:rPr>
                <w:rFonts w:asciiTheme="minorHAnsi" w:hAnsiTheme="minorHAnsi"/>
                <w:b/>
                <w:bCs/>
                <w:color w:val="FFFFFF"/>
                <w:sz w:val="18"/>
                <w:szCs w:val="18"/>
              </w:rPr>
              <w:br/>
            </w:r>
            <w:r w:rsidRPr="00D97E2B">
              <w:rPr>
                <w:rFonts w:asciiTheme="minorHAnsi" w:hAnsiTheme="minorHAnsi"/>
                <w:b/>
                <w:bCs/>
                <w:color w:val="FFFFFF"/>
                <w:sz w:val="18"/>
                <w:szCs w:val="18"/>
              </w:rPr>
              <w:t>(MW)</w:t>
            </w:r>
            <w:r w:rsidRPr="00D97E2B">
              <w:rPr>
                <w:rFonts w:asciiTheme="minorHAnsi" w:hAnsiTheme="minorHAnsi"/>
                <w:b/>
                <w:bCs/>
                <w:color w:val="FFFFFF"/>
                <w:sz w:val="18"/>
                <w:szCs w:val="18"/>
                <w:vertAlign w:val="superscript"/>
              </w:rPr>
              <w:t>(a)</w:t>
            </w:r>
          </w:p>
        </w:tc>
        <w:tc>
          <w:tcPr>
            <w:tcW w:w="1842" w:type="dxa"/>
            <w:shd w:val="clear" w:color="auto" w:fill="1795D2" w:themeFill="accent1"/>
            <w:tcMar>
              <w:top w:w="29" w:type="dxa"/>
              <w:left w:w="115" w:type="dxa"/>
              <w:bottom w:w="29" w:type="dxa"/>
              <w:right w:w="115" w:type="dxa"/>
            </w:tcMar>
            <w:vAlign w:val="center"/>
            <w:hideMark/>
          </w:tcPr>
          <w:p w14:paraId="1429880C" w14:textId="77777777" w:rsidR="00D97E2B" w:rsidRPr="00D97E2B" w:rsidRDefault="00D97E2B" w:rsidP="00D97E2B">
            <w:pPr>
              <w:keepNext/>
              <w:keepLines/>
              <w:spacing w:after="0" w:line="240" w:lineRule="auto"/>
              <w:jc w:val="center"/>
              <w:rPr>
                <w:rFonts w:asciiTheme="minorHAnsi" w:hAnsiTheme="minorHAnsi"/>
                <w:b/>
                <w:bCs/>
                <w:color w:val="FFFFFF"/>
                <w:sz w:val="18"/>
                <w:szCs w:val="18"/>
              </w:rPr>
            </w:pPr>
            <w:r w:rsidRPr="00D97E2B">
              <w:rPr>
                <w:rFonts w:asciiTheme="minorHAnsi" w:hAnsiTheme="minorHAnsi"/>
                <w:b/>
                <w:bCs/>
                <w:color w:val="FFFFFF"/>
                <w:sz w:val="18"/>
                <w:szCs w:val="18"/>
              </w:rPr>
              <w:t>Reactor Vendor/Type</w:t>
            </w:r>
          </w:p>
        </w:tc>
      </w:tr>
      <w:tr w:rsidR="00D97E2B" w:rsidRPr="00D97E2B" w14:paraId="02FF370A" w14:textId="77777777" w:rsidTr="00D97E2B">
        <w:trPr>
          <w:jc w:val="center"/>
        </w:trPr>
        <w:tc>
          <w:tcPr>
            <w:tcW w:w="1460" w:type="dxa"/>
            <w:tcMar>
              <w:top w:w="29" w:type="dxa"/>
              <w:left w:w="115" w:type="dxa"/>
              <w:bottom w:w="29" w:type="dxa"/>
              <w:right w:w="115" w:type="dxa"/>
            </w:tcMar>
            <w:vAlign w:val="center"/>
            <w:hideMark/>
          </w:tcPr>
          <w:p w14:paraId="0BDBD397"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2</w:t>
            </w:r>
          </w:p>
        </w:tc>
        <w:tc>
          <w:tcPr>
            <w:tcW w:w="2047" w:type="dxa"/>
            <w:tcMar>
              <w:top w:w="29" w:type="dxa"/>
              <w:left w:w="115" w:type="dxa"/>
              <w:bottom w:w="29" w:type="dxa"/>
              <w:right w:w="115" w:type="dxa"/>
            </w:tcMar>
            <w:vAlign w:val="center"/>
            <w:hideMark/>
          </w:tcPr>
          <w:p w14:paraId="0B510646"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September 26, 1975/</w:t>
            </w:r>
            <w:r w:rsidRPr="00D97E2B">
              <w:rPr>
                <w:rFonts w:asciiTheme="minorHAnsi" w:hAnsiTheme="minorHAnsi"/>
                <w:sz w:val="18"/>
                <w:szCs w:val="18"/>
              </w:rPr>
              <w:br/>
              <w:t>November 28, 2005</w:t>
            </w:r>
          </w:p>
        </w:tc>
        <w:tc>
          <w:tcPr>
            <w:tcW w:w="1710" w:type="dxa"/>
            <w:tcMar>
              <w:top w:w="29" w:type="dxa"/>
              <w:left w:w="115" w:type="dxa"/>
              <w:bottom w:w="29" w:type="dxa"/>
              <w:right w:w="115" w:type="dxa"/>
            </w:tcMar>
            <w:vAlign w:val="center"/>
            <w:hideMark/>
          </w:tcPr>
          <w:p w14:paraId="3E6A6AAB"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July 31, 2035</w:t>
            </w:r>
          </w:p>
        </w:tc>
        <w:tc>
          <w:tcPr>
            <w:tcW w:w="1070" w:type="dxa"/>
            <w:tcMar>
              <w:top w:w="29" w:type="dxa"/>
              <w:left w:w="115" w:type="dxa"/>
              <w:bottom w:w="29" w:type="dxa"/>
              <w:right w:w="115" w:type="dxa"/>
            </w:tcMar>
            <w:vAlign w:val="center"/>
            <w:hideMark/>
          </w:tcPr>
          <w:p w14:paraId="138B07A7"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14:paraId="57B149DD" w14:textId="77777777"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859</w:t>
            </w:r>
          </w:p>
        </w:tc>
        <w:tc>
          <w:tcPr>
            <w:tcW w:w="1842" w:type="dxa"/>
            <w:tcMar>
              <w:top w:w="29" w:type="dxa"/>
              <w:left w:w="115" w:type="dxa"/>
              <w:bottom w:w="29" w:type="dxa"/>
              <w:right w:w="115" w:type="dxa"/>
            </w:tcMar>
            <w:vAlign w:val="center"/>
            <w:hideMark/>
          </w:tcPr>
          <w:p w14:paraId="476B85F7"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Combustion Engineering (vendor)</w:t>
            </w:r>
          </w:p>
        </w:tc>
      </w:tr>
      <w:tr w:rsidR="00D97E2B" w:rsidRPr="00D97E2B" w14:paraId="03CD83A5" w14:textId="77777777" w:rsidTr="00D97E2B">
        <w:trPr>
          <w:jc w:val="center"/>
        </w:trPr>
        <w:tc>
          <w:tcPr>
            <w:tcW w:w="1460" w:type="dxa"/>
            <w:shd w:val="clear" w:color="auto" w:fill="CCEAF9" w:themeFill="accent1" w:themeFillTint="33"/>
            <w:tcMar>
              <w:top w:w="29" w:type="dxa"/>
              <w:left w:w="115" w:type="dxa"/>
              <w:bottom w:w="29" w:type="dxa"/>
              <w:right w:w="115" w:type="dxa"/>
            </w:tcMar>
            <w:vAlign w:val="center"/>
            <w:hideMark/>
          </w:tcPr>
          <w:p w14:paraId="13EF3A1A"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Millstone 3</w:t>
            </w:r>
          </w:p>
        </w:tc>
        <w:tc>
          <w:tcPr>
            <w:tcW w:w="2047" w:type="dxa"/>
            <w:shd w:val="clear" w:color="auto" w:fill="CCEAF9" w:themeFill="accent1" w:themeFillTint="33"/>
            <w:tcMar>
              <w:top w:w="29" w:type="dxa"/>
              <w:left w:w="115" w:type="dxa"/>
              <w:bottom w:w="29" w:type="dxa"/>
              <w:right w:w="115" w:type="dxa"/>
            </w:tcMar>
            <w:vAlign w:val="center"/>
            <w:hideMark/>
          </w:tcPr>
          <w:p w14:paraId="5B94A527"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January 31, 1986/</w:t>
            </w:r>
          </w:p>
          <w:p w14:paraId="7090B25D"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28, 2005</w:t>
            </w:r>
          </w:p>
        </w:tc>
        <w:tc>
          <w:tcPr>
            <w:tcW w:w="1710" w:type="dxa"/>
            <w:shd w:val="clear" w:color="auto" w:fill="CCEAF9" w:themeFill="accent1" w:themeFillTint="33"/>
            <w:tcMar>
              <w:top w:w="29" w:type="dxa"/>
              <w:left w:w="115" w:type="dxa"/>
              <w:bottom w:w="29" w:type="dxa"/>
              <w:right w:w="115" w:type="dxa"/>
            </w:tcMar>
            <w:vAlign w:val="center"/>
            <w:hideMark/>
          </w:tcPr>
          <w:p w14:paraId="7A179AE2"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November 25, 2045</w:t>
            </w:r>
          </w:p>
        </w:tc>
        <w:tc>
          <w:tcPr>
            <w:tcW w:w="1070" w:type="dxa"/>
            <w:shd w:val="clear" w:color="auto" w:fill="CCEAF9" w:themeFill="accent1" w:themeFillTint="33"/>
            <w:tcMar>
              <w:top w:w="29" w:type="dxa"/>
              <w:left w:w="115" w:type="dxa"/>
              <w:bottom w:w="29" w:type="dxa"/>
              <w:right w:w="115" w:type="dxa"/>
            </w:tcMar>
            <w:vAlign w:val="center"/>
            <w:hideMark/>
          </w:tcPr>
          <w:p w14:paraId="769DCF1A"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CCEAF9" w:themeFill="accent1" w:themeFillTint="33"/>
            <w:tcMar>
              <w:top w:w="29" w:type="dxa"/>
              <w:left w:w="115" w:type="dxa"/>
              <w:bottom w:w="29" w:type="dxa"/>
              <w:right w:w="115" w:type="dxa"/>
            </w:tcMar>
            <w:vAlign w:val="center"/>
            <w:hideMark/>
          </w:tcPr>
          <w:p w14:paraId="1F1F1427" w14:textId="77777777"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1,225</w:t>
            </w:r>
          </w:p>
        </w:tc>
        <w:tc>
          <w:tcPr>
            <w:tcW w:w="1842" w:type="dxa"/>
            <w:shd w:val="clear" w:color="auto" w:fill="CCEAF9" w:themeFill="accent1" w:themeFillTint="33"/>
            <w:tcMar>
              <w:top w:w="29" w:type="dxa"/>
              <w:left w:w="115" w:type="dxa"/>
              <w:bottom w:w="29" w:type="dxa"/>
              <w:right w:w="115" w:type="dxa"/>
            </w:tcMar>
            <w:vAlign w:val="center"/>
            <w:hideMark/>
          </w:tcPr>
          <w:p w14:paraId="0654F1D1"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r w:rsidR="00D97E2B" w:rsidRPr="00D97E2B" w14:paraId="7B0080F7" w14:textId="77777777" w:rsidTr="00D97E2B">
        <w:trPr>
          <w:jc w:val="center"/>
        </w:trPr>
        <w:tc>
          <w:tcPr>
            <w:tcW w:w="1460" w:type="dxa"/>
            <w:shd w:val="clear" w:color="auto" w:fill="auto"/>
            <w:tcMar>
              <w:top w:w="29" w:type="dxa"/>
              <w:left w:w="115" w:type="dxa"/>
              <w:bottom w:w="29" w:type="dxa"/>
              <w:right w:w="115" w:type="dxa"/>
            </w:tcMar>
            <w:vAlign w:val="center"/>
            <w:hideMark/>
          </w:tcPr>
          <w:p w14:paraId="7E400490"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b/>
                <w:bCs/>
                <w:sz w:val="18"/>
                <w:szCs w:val="18"/>
              </w:rPr>
              <w:t>Seabrook</w:t>
            </w:r>
          </w:p>
        </w:tc>
        <w:tc>
          <w:tcPr>
            <w:tcW w:w="2047" w:type="dxa"/>
            <w:shd w:val="clear" w:color="auto" w:fill="auto"/>
            <w:tcMar>
              <w:top w:w="29" w:type="dxa"/>
              <w:left w:w="115" w:type="dxa"/>
              <w:bottom w:w="29" w:type="dxa"/>
              <w:right w:w="115" w:type="dxa"/>
            </w:tcMar>
            <w:vAlign w:val="center"/>
            <w:hideMark/>
          </w:tcPr>
          <w:p w14:paraId="78FC0E48"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OP: March 15, 1990</w:t>
            </w:r>
          </w:p>
        </w:tc>
        <w:tc>
          <w:tcPr>
            <w:tcW w:w="1710" w:type="dxa"/>
            <w:shd w:val="clear" w:color="auto" w:fill="auto"/>
            <w:tcMar>
              <w:top w:w="29" w:type="dxa"/>
              <w:left w:w="115" w:type="dxa"/>
              <w:bottom w:w="29" w:type="dxa"/>
              <w:right w:w="115" w:type="dxa"/>
            </w:tcMar>
            <w:vAlign w:val="center"/>
            <w:hideMark/>
          </w:tcPr>
          <w:p w14:paraId="78BCD7AA"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March 15, 2030</w:t>
            </w:r>
          </w:p>
        </w:tc>
        <w:tc>
          <w:tcPr>
            <w:tcW w:w="1070" w:type="dxa"/>
            <w:shd w:val="clear" w:color="auto" w:fill="auto"/>
            <w:tcMar>
              <w:top w:w="29" w:type="dxa"/>
              <w:left w:w="115" w:type="dxa"/>
              <w:bottom w:w="29" w:type="dxa"/>
              <w:right w:w="115" w:type="dxa"/>
            </w:tcMar>
            <w:vAlign w:val="center"/>
            <w:hideMark/>
          </w:tcPr>
          <w:p w14:paraId="7FAA8A2B"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Pressurized water</w:t>
            </w:r>
          </w:p>
        </w:tc>
        <w:tc>
          <w:tcPr>
            <w:tcW w:w="1228" w:type="dxa"/>
            <w:shd w:val="clear" w:color="auto" w:fill="auto"/>
            <w:tcMar>
              <w:top w:w="29" w:type="dxa"/>
              <w:left w:w="115" w:type="dxa"/>
              <w:bottom w:w="29" w:type="dxa"/>
              <w:right w:w="115" w:type="dxa"/>
            </w:tcMar>
            <w:vAlign w:val="center"/>
            <w:hideMark/>
          </w:tcPr>
          <w:p w14:paraId="4C8385BD" w14:textId="77777777" w:rsidR="00D97E2B" w:rsidRPr="00D97E2B" w:rsidRDefault="00D97E2B" w:rsidP="00D97E2B">
            <w:pPr>
              <w:keepNext/>
              <w:keepLines/>
              <w:spacing w:after="0" w:line="240" w:lineRule="auto"/>
              <w:jc w:val="center"/>
              <w:rPr>
                <w:rFonts w:asciiTheme="minorHAnsi" w:eastAsiaTheme="majorEastAsia" w:hAnsiTheme="minorHAnsi" w:cstheme="majorBidi"/>
                <w:b/>
                <w:bCs/>
                <w:color w:val="0070C0"/>
                <w:sz w:val="18"/>
                <w:szCs w:val="18"/>
              </w:rPr>
            </w:pPr>
            <w:r w:rsidRPr="00D97E2B">
              <w:rPr>
                <w:rFonts w:asciiTheme="minorHAnsi" w:hAnsiTheme="minorHAnsi"/>
                <w:sz w:val="18"/>
                <w:szCs w:val="18"/>
              </w:rPr>
              <w:t>1,251</w:t>
            </w:r>
          </w:p>
        </w:tc>
        <w:tc>
          <w:tcPr>
            <w:tcW w:w="1842" w:type="dxa"/>
            <w:shd w:val="clear" w:color="auto" w:fill="auto"/>
            <w:tcMar>
              <w:top w:w="29" w:type="dxa"/>
              <w:left w:w="115" w:type="dxa"/>
              <w:bottom w:w="29" w:type="dxa"/>
              <w:right w:w="115" w:type="dxa"/>
            </w:tcMar>
            <w:vAlign w:val="center"/>
            <w:hideMark/>
          </w:tcPr>
          <w:p w14:paraId="6CAE6FB6" w14:textId="77777777" w:rsidR="00D97E2B" w:rsidRPr="00D97E2B" w:rsidRDefault="00D97E2B" w:rsidP="00D97E2B">
            <w:pPr>
              <w:keepNext/>
              <w:keepLines/>
              <w:spacing w:after="0" w:line="240" w:lineRule="auto"/>
              <w:rPr>
                <w:rFonts w:asciiTheme="minorHAnsi" w:hAnsiTheme="minorHAnsi"/>
                <w:b/>
                <w:bCs/>
                <w:color w:val="0070C0"/>
                <w:sz w:val="18"/>
                <w:szCs w:val="18"/>
              </w:rPr>
            </w:pPr>
            <w:r w:rsidRPr="00D97E2B">
              <w:rPr>
                <w:rFonts w:asciiTheme="minorHAnsi" w:hAnsiTheme="minorHAnsi"/>
                <w:sz w:val="18"/>
                <w:szCs w:val="18"/>
              </w:rPr>
              <w:t>Westinghouse/</w:t>
            </w:r>
            <w:r w:rsidRPr="00D97E2B">
              <w:rPr>
                <w:rFonts w:asciiTheme="minorHAnsi" w:hAnsiTheme="minorHAnsi"/>
                <w:sz w:val="18"/>
                <w:szCs w:val="18"/>
              </w:rPr>
              <w:br/>
              <w:t>four-loop</w:t>
            </w:r>
          </w:p>
        </w:tc>
      </w:tr>
    </w:tbl>
    <w:p w14:paraId="5D607AA4" w14:textId="1492585C" w:rsidR="00D97E2B" w:rsidRPr="00D97E2B" w:rsidRDefault="00D97E2B" w:rsidP="00E526C0">
      <w:pPr>
        <w:numPr>
          <w:ilvl w:val="4"/>
          <w:numId w:val="74"/>
        </w:numPr>
        <w:spacing w:before="120" w:line="240" w:lineRule="auto"/>
        <w:ind w:left="90" w:right="-180" w:hanging="270"/>
        <w:rPr>
          <w:rFonts w:asciiTheme="minorHAnsi" w:hAnsiTheme="minorHAnsi"/>
          <w:sz w:val="16"/>
          <w:szCs w:val="16"/>
        </w:rPr>
      </w:pPr>
      <w:r w:rsidRPr="00D97E2B">
        <w:rPr>
          <w:rFonts w:asciiTheme="minorHAnsi" w:hAnsiTheme="minorHAnsi"/>
          <w:sz w:val="16"/>
          <w:szCs w:val="16"/>
        </w:rPr>
        <w:t xml:space="preserve">Operating license information from the Nuclear Regulatory Commission’s (NRC) website, </w:t>
      </w:r>
      <w:hyperlink r:id="rId97" w:history="1">
        <w:r w:rsidRPr="00D97E2B">
          <w:rPr>
            <w:rFonts w:asciiTheme="minorHAnsi" w:hAnsiTheme="minorHAnsi"/>
            <w:sz w:val="16"/>
            <w:szCs w:val="16"/>
          </w:rPr>
          <w:t>http://www.nrc.gov/info-finder/reactor/</w:t>
        </w:r>
      </w:hyperlink>
      <w:r w:rsidRPr="00D97E2B">
        <w:rPr>
          <w:rFonts w:asciiTheme="minorHAnsi" w:hAnsiTheme="minorHAnsi"/>
          <w:sz w:val="16"/>
          <w:szCs w:val="16"/>
        </w:rPr>
        <w:t>. Summer peak (seasonal claimed capability) megawatts from ISO New England, 2019</w:t>
      </w:r>
      <w:r w:rsidRPr="00D97E2B">
        <w:rPr>
          <w:rFonts w:asciiTheme="minorHAnsi" w:hAnsiTheme="minorHAnsi"/>
          <w:i/>
          <w:sz w:val="16"/>
          <w:szCs w:val="16"/>
        </w:rPr>
        <w:t xml:space="preserve"> </w:t>
      </w:r>
      <w:r w:rsidRPr="00D97E2B">
        <w:rPr>
          <w:rFonts w:asciiTheme="minorHAnsi" w:hAnsiTheme="minorHAnsi"/>
          <w:sz w:val="16"/>
          <w:szCs w:val="16"/>
        </w:rPr>
        <w:t>CELT Report, Tab 2.1, “Generator List with Existing and Expected SCC” (showing the seasonal rating of generating units)</w:t>
      </w:r>
      <w:r w:rsidR="00633049">
        <w:rPr>
          <w:rFonts w:asciiTheme="minorHAnsi" w:hAnsiTheme="minorHAnsi"/>
          <w:sz w:val="16"/>
          <w:szCs w:val="16"/>
        </w:rPr>
        <w:t>.</w:t>
      </w:r>
      <w:r w:rsidRPr="00D97E2B">
        <w:rPr>
          <w:rFonts w:asciiTheme="minorHAnsi" w:hAnsiTheme="minorHAnsi"/>
          <w:sz w:val="16"/>
          <w:szCs w:val="16"/>
        </w:rPr>
        <w:t xml:space="preserve"> </w:t>
      </w:r>
    </w:p>
    <w:p w14:paraId="594DC99B" w14:textId="77777777" w:rsidR="00D97E2B" w:rsidRPr="00D97E2B" w:rsidRDefault="00D97E2B" w:rsidP="00E526C0">
      <w:pPr>
        <w:spacing w:before="120"/>
      </w:pPr>
      <w:r w:rsidRPr="00D97E2B">
        <w:lastRenderedPageBreak/>
        <w:t>The Nuclear Regulatory Commission’s Continued Storage Rule revised the general environmental impacts of spent nuclear fuel storage operations at closed reactor sites nationwide, including 11 sites in New England.</w:t>
      </w:r>
      <w:r w:rsidRPr="00D97E2B">
        <w:rPr>
          <w:vertAlign w:val="superscript"/>
        </w:rPr>
        <w:footnoteReference w:id="317"/>
      </w:r>
      <w:r w:rsidRPr="00D97E2B">
        <w:t xml:space="preserve"> </w:t>
      </w:r>
    </w:p>
    <w:p w14:paraId="183C2BF5" w14:textId="77777777" w:rsidR="00D97E2B" w:rsidRPr="00D97E2B" w:rsidRDefault="00D97E2B" w:rsidP="0003567C">
      <w:pPr>
        <w:pStyle w:val="Heading2"/>
        <w:rPr>
          <w:rFonts w:eastAsia="Times New Roman"/>
        </w:rPr>
      </w:pPr>
      <w:bookmarkStart w:id="948" w:name="_Toc396807667"/>
      <w:bookmarkStart w:id="949" w:name="_Toc429063457"/>
      <w:bookmarkStart w:id="950" w:name="_Toc490323088"/>
      <w:bookmarkStart w:id="951" w:name="_Toc12795244"/>
      <w:r w:rsidRPr="00D97E2B">
        <w:rPr>
          <w:rFonts w:eastAsia="Times New Roman"/>
        </w:rPr>
        <w:t>Update on Hydroelectric Generation Relicensing</w:t>
      </w:r>
      <w:bookmarkEnd w:id="948"/>
      <w:bookmarkEnd w:id="949"/>
      <w:bookmarkEnd w:id="950"/>
      <w:bookmarkEnd w:id="951"/>
    </w:p>
    <w:p w14:paraId="576F1804" w14:textId="729D188D" w:rsidR="00D97E2B" w:rsidRPr="00D97E2B" w:rsidRDefault="00D97E2B" w:rsidP="00D97E2B">
      <w:pPr>
        <w:rPr>
          <w:color w:val="000000"/>
        </w:rPr>
      </w:pPr>
      <w:r w:rsidRPr="00D97E2B">
        <w:t>Conventional hydroelectric generators are among the oldest generators on the system, which include 1,434 MW, or 4.6%, of the regional summer claimed capability and represent 8,710 GWh, or 8.4%, of all native generation in 2018.</w:t>
      </w:r>
      <w:r w:rsidRPr="00D97E2B">
        <w:rPr>
          <w:vertAlign w:val="superscript"/>
        </w:rPr>
        <w:footnoteReference w:id="318"/>
      </w:r>
      <w:r w:rsidRPr="00D97E2B">
        <w:t xml:space="preserve"> In addition to providing capacity and electric energy, hydroelectric units traditionally have been well suited to provide regulation and re</w:t>
      </w:r>
      <w:r w:rsidRPr="005D7502">
        <w:t>serves</w:t>
      </w:r>
      <w:r w:rsidR="005D7502" w:rsidRPr="005D7502">
        <w:t xml:space="preserve">. However, whether, and to what extent, </w:t>
      </w:r>
      <w:r w:rsidRPr="005D7502">
        <w:rPr>
          <w:color w:val="000000"/>
        </w:rPr>
        <w:t>their relicensing requirements</w:t>
      </w:r>
      <w:r w:rsidR="005D7502" w:rsidRPr="005D7502">
        <w:rPr>
          <w:color w:val="000000"/>
        </w:rPr>
        <w:t xml:space="preserve"> have an impact on changes to their operating flexibility is unclear</w:t>
      </w:r>
      <w:r w:rsidRPr="005D7502">
        <w:rPr>
          <w:color w:val="000000"/>
        </w:rPr>
        <w:t>.</w:t>
      </w:r>
    </w:p>
    <w:p w14:paraId="5BF92C44" w14:textId="77777777" w:rsidR="00D97E2B" w:rsidRPr="00D97E2B" w:rsidRDefault="00D97E2B" w:rsidP="00D97E2B">
      <w:r w:rsidRPr="00D97E2B">
        <w:rPr>
          <w:rFonts w:eastAsia="Times New Roman"/>
        </w:rPr>
        <w:t>The licenses for approximately 2,361 MW of existing hydroelectric generators, including 1,172 MW of pumped-storage capacity, will expire between 2019 and 2025.</w:t>
      </w:r>
      <w:r w:rsidRPr="00D97E2B">
        <w:rPr>
          <w:rFonts w:eastAsia="Times New Roman"/>
          <w:sz w:val="22"/>
          <w:szCs w:val="22"/>
          <w:vertAlign w:val="superscript"/>
        </w:rPr>
        <w:footnoteReference w:id="319"/>
      </w:r>
      <w:r w:rsidRPr="00D97E2B">
        <w:rPr>
          <w:rFonts w:eastAsia="Times New Roman"/>
        </w:rPr>
        <w:t xml:space="preserve"> FERC is pursuing an integrated relicensing review for several hydroelectric projects located on the Connecticut River, which is ongoing.</w:t>
      </w:r>
      <w:r w:rsidRPr="00D97E2B">
        <w:rPr>
          <w:rFonts w:eastAsia="Times New Roman"/>
          <w:sz w:val="22"/>
          <w:szCs w:val="22"/>
          <w:vertAlign w:val="superscript"/>
        </w:rPr>
        <w:footnoteReference w:id="320"/>
      </w:r>
      <w:r w:rsidRPr="00D97E2B">
        <w:rPr>
          <w:rFonts w:eastAsia="Times New Roman"/>
        </w:rPr>
        <w:t xml:space="preserve"> Relicensing must take into consideration the requirements for adequately and equitably protecting and mitigating damage to fish and wildlife (and their habitats) and historic resources based on the recommendations and input of relevant state and federal fish and wildlife and historic-preservation entities. The ISO is monitoring such proceedings to assess the impacts of operational restrictions, including the maintenance of minimum flows without bypass turbines or spillage </w:t>
      </w:r>
      <w:r w:rsidRPr="00D97E2B">
        <w:t>(i.e., water allowed to pass through the dam without generating electricity)</w:t>
      </w:r>
      <w:r w:rsidRPr="00D97E2B">
        <w:rPr>
          <w:rFonts w:eastAsia="Times New Roman"/>
        </w:rPr>
        <w:t>, on the ability of hydroelectric generators to offer regulation and reserve services.</w:t>
      </w:r>
      <w:r w:rsidRPr="00D97E2B">
        <w:t xml:space="preserve"> </w:t>
      </w:r>
    </w:p>
    <w:p w14:paraId="01240C3E" w14:textId="77777777" w:rsidR="00D97E2B" w:rsidRPr="00D97E2B" w:rsidRDefault="00D97E2B" w:rsidP="0003567C">
      <w:pPr>
        <w:pStyle w:val="Heading2"/>
        <w:rPr>
          <w:rFonts w:eastAsia="Times New Roman"/>
        </w:rPr>
      </w:pPr>
      <w:bookmarkStart w:id="952" w:name="_Toc429063458"/>
      <w:bookmarkStart w:id="953" w:name="_Toc490323089"/>
      <w:bookmarkStart w:id="954" w:name="_Toc12795245"/>
      <w:r w:rsidRPr="00D97E2B">
        <w:rPr>
          <w:rFonts w:eastAsia="Times New Roman"/>
        </w:rPr>
        <w:t>Conclusions</w:t>
      </w:r>
      <w:bookmarkEnd w:id="952"/>
      <w:bookmarkEnd w:id="953"/>
      <w:bookmarkEnd w:id="954"/>
    </w:p>
    <w:p w14:paraId="5EF64A56" w14:textId="4FCED644" w:rsidR="00D97E2B" w:rsidRPr="00D97E2B" w:rsidRDefault="00D97E2B" w:rsidP="00D97E2B">
      <w:r w:rsidRPr="00D97E2B">
        <w:t>Existing and pending federal</w:t>
      </w:r>
      <w:r w:rsidR="00FC6895">
        <w:t xml:space="preserve"> </w:t>
      </w:r>
      <w:r w:rsidRPr="00D97E2B">
        <w:t xml:space="preserve">and state environmental regulations </w:t>
      </w:r>
      <w:r w:rsidR="00FC6895">
        <w:t xml:space="preserve">and multistate initiatives </w:t>
      </w:r>
      <w:r w:rsidRPr="00D97E2B">
        <w:t>may require generators to consider adding air 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w:t>
      </w:r>
      <w:r w:rsidRPr="00D97E2B">
        <w:rPr>
          <w:vertAlign w:val="superscript"/>
        </w:rPr>
        <w:t xml:space="preserve"> </w:t>
      </w:r>
      <w:r w:rsidRPr="00D97E2B">
        <w:t>Based on these and other economic factors, some generator owners may determine certain resources are uneconomical and retire their facilities instead of making major investments in environmental compliance measures.</w:t>
      </w:r>
    </w:p>
    <w:p w14:paraId="298EBEB4" w14:textId="77777777" w:rsidR="00D97E2B" w:rsidRPr="00CB692B" w:rsidRDefault="00D97E2B" w:rsidP="00D97E2B">
      <w:r w:rsidRPr="00F300A2">
        <w:lastRenderedPageBreak/>
        <w:t>All the New England states have Renewable Portfolio Standard targets for the amount of electric energy load-serving entities provide by renewable resources; individual state targets for 2020 range from requiring LSEs to provide 10% to 59% of the energy they procure from renewable resources, which has driven new proposals for renewable energy</w:t>
      </w:r>
      <w:r w:rsidR="002B396B">
        <w:t xml:space="preserve">. </w:t>
      </w:r>
      <w:r w:rsidRPr="00F300A2">
        <w:t>Some of the states also have issued requests for proposals for renewables development. The increased use of various types and amounts of renewable resources may require operational modifications or retrofits, resulting in additional environmental compliance costs. Additionally, the units are likely to experience higher operations and maintenance costs.</w:t>
      </w:r>
      <w:r w:rsidRPr="00CB692B">
        <w:t xml:space="preserve"> </w:t>
      </w:r>
    </w:p>
    <w:p w14:paraId="6436CF30" w14:textId="77777777" w:rsidR="00D725C0" w:rsidRDefault="00D97E2B" w:rsidP="0003567C">
      <w:pPr>
        <w:sectPr w:rsidR="00D725C0" w:rsidSect="00330F0D">
          <w:pgSz w:w="12240" w:h="15840"/>
          <w:pgMar w:top="1440" w:right="1440" w:bottom="1440" w:left="1800" w:header="720" w:footer="720" w:gutter="0"/>
          <w:cols w:space="720"/>
          <w:docGrid w:linePitch="360"/>
        </w:sectPr>
      </w:pPr>
      <w:r w:rsidRPr="00F300A2">
        <w:t>The New England states also take part in the Regional Greenhouse Gas Initiative for limiting carbon dioxide emissions by power plants and ot</w:t>
      </w:r>
      <w:r w:rsidRPr="00482E99">
        <w:t>her emission</w:t>
      </w:r>
      <w:r w:rsidRPr="00F300A2">
        <w:t xml:space="preserve">-reduction efforts. </w:t>
      </w:r>
      <w:r w:rsidRPr="00CB692B">
        <w:t>Regio</w:t>
      </w:r>
      <w:r w:rsidRPr="00D97E2B">
        <w:t>nal generator air emissions remain relatively low compared with historical levels, due to the generation fuel mix, including—in order of percentage share of 2017 annual energy production—native natural gas, nuclear, hydro, wind, other fuel type (landfill gas, methane, refuse, solar, steam and wood), oil, and coal. Higher emissions, however, occur during the winter months because of the burning of oil by generators when natural gas is more expensive or in limited supply. The retirement of nuclear units would tend to increase regional emissions, but the addition of low- or zero-emitting resources would tend to reduce longer-term emissions. A combination of thermal generator retirements and the decreased use of remaining fossil thermal capacity has decreased water use and consumption for power generation compared with historical levels.</w:t>
      </w:r>
    </w:p>
    <w:p w14:paraId="25B74F70" w14:textId="77777777" w:rsidR="00D725C0" w:rsidRPr="00D725C0" w:rsidRDefault="00D725C0" w:rsidP="00D725C0">
      <w:pPr>
        <w:pStyle w:val="Heading1"/>
        <w:rPr>
          <w:color w:val="000000"/>
        </w:rPr>
      </w:pPr>
      <w:bookmarkStart w:id="955" w:name="_Ref388709721"/>
      <w:bookmarkStart w:id="956" w:name="_Ref388714679"/>
      <w:bookmarkStart w:id="957" w:name="_Ref388776132"/>
      <w:bookmarkStart w:id="958" w:name="_Ref388800922"/>
      <w:bookmarkStart w:id="959" w:name="_Ref388890795"/>
      <w:bookmarkStart w:id="960" w:name="_Toc396807668"/>
      <w:r w:rsidRPr="00D725C0">
        <w:rPr>
          <w:color w:val="000000"/>
        </w:rPr>
        <w:lastRenderedPageBreak/>
        <w:br/>
      </w:r>
      <w:bookmarkStart w:id="961" w:name="_Ref418883814"/>
      <w:bookmarkStart w:id="962" w:name="_Toc429063459"/>
      <w:bookmarkStart w:id="963" w:name="_Toc490323090"/>
      <w:bookmarkStart w:id="964" w:name="_Ref8982332"/>
      <w:bookmarkStart w:id="965" w:name="_Ref10823100"/>
      <w:bookmarkStart w:id="966" w:name="_Ref11867308"/>
      <w:bookmarkStart w:id="967" w:name="_Ref11951259"/>
      <w:bookmarkStart w:id="968" w:name="_Toc12795246"/>
      <w:r w:rsidRPr="0035003E">
        <w:t>Grid Transformation</w:t>
      </w:r>
      <w:bookmarkEnd w:id="961"/>
      <w:bookmarkEnd w:id="962"/>
      <w:bookmarkEnd w:id="963"/>
      <w:bookmarkEnd w:id="964"/>
      <w:bookmarkEnd w:id="965"/>
      <w:bookmarkEnd w:id="966"/>
      <w:bookmarkEnd w:id="967"/>
      <w:bookmarkEnd w:id="968"/>
    </w:p>
    <w:bookmarkEnd w:id="955"/>
    <w:bookmarkEnd w:id="956"/>
    <w:bookmarkEnd w:id="957"/>
    <w:bookmarkEnd w:id="958"/>
    <w:bookmarkEnd w:id="959"/>
    <w:bookmarkEnd w:id="960"/>
    <w:p w14:paraId="046F3DDA" w14:textId="6A446A19" w:rsidR="00D725C0" w:rsidRDefault="00D725C0" w:rsidP="00D725C0">
      <w:r w:rsidRPr="00D725C0">
        <w:t xml:space="preserve">Environmental laws, regulations and policies; economics; and a desire for grid resiliency continue transforming the electric power grid into one where renewable resources provide increasing amounts of electric energy (see Sections </w:t>
      </w:r>
      <w:r w:rsidR="00F96BD3" w:rsidRPr="00F96BD3">
        <w:rPr>
          <w:rFonts w:eastAsia="Times New Roman"/>
          <w:szCs w:val="24"/>
        </w:rPr>
        <w:fldChar w:fldCharType="begin"/>
      </w:r>
      <w:r w:rsidR="00F96BD3" w:rsidRPr="00F96BD3">
        <w:rPr>
          <w:rFonts w:eastAsia="Times New Roman"/>
          <w:szCs w:val="24"/>
        </w:rPr>
        <w:instrText xml:space="preserve"> REF _Ref12110983 \r \h </w:instrText>
      </w:r>
      <w:r w:rsidR="00F96BD3" w:rsidRPr="00F96BD3">
        <w:rPr>
          <w:rFonts w:eastAsia="Times New Roman"/>
          <w:szCs w:val="24"/>
        </w:rPr>
      </w:r>
      <w:r w:rsidR="00F96BD3" w:rsidRPr="00F96BD3">
        <w:rPr>
          <w:rFonts w:eastAsia="Times New Roman"/>
          <w:szCs w:val="24"/>
        </w:rPr>
        <w:fldChar w:fldCharType="separate"/>
      </w:r>
      <w:r w:rsidR="005D0B73">
        <w:rPr>
          <w:rFonts w:eastAsia="Times New Roman"/>
          <w:szCs w:val="24"/>
        </w:rPr>
        <w:t>3.3</w:t>
      </w:r>
      <w:r w:rsidR="00F96BD3" w:rsidRPr="00F96BD3">
        <w:rPr>
          <w:rFonts w:eastAsia="Times New Roman"/>
          <w:szCs w:val="24"/>
        </w:rPr>
        <w:fldChar w:fldCharType="end"/>
      </w:r>
      <w:r w:rsidR="00F96BD3" w:rsidRPr="00F96BD3">
        <w:rPr>
          <w:rFonts w:eastAsia="Times New Roman"/>
          <w:szCs w:val="24"/>
        </w:rPr>
        <w:t xml:space="preserve"> and </w:t>
      </w:r>
      <w:r w:rsidR="00F96BD3" w:rsidRPr="00F96BD3">
        <w:rPr>
          <w:rFonts w:eastAsia="Times New Roman"/>
          <w:szCs w:val="24"/>
        </w:rPr>
        <w:fldChar w:fldCharType="begin"/>
      </w:r>
      <w:r w:rsidR="00F96BD3" w:rsidRPr="00F96BD3">
        <w:rPr>
          <w:rFonts w:eastAsia="Times New Roman"/>
          <w:szCs w:val="24"/>
        </w:rPr>
        <w:instrText xml:space="preserve"> REF _Ref12110918 \r \h </w:instrText>
      </w:r>
      <w:r w:rsidR="00F96BD3" w:rsidRPr="00F96BD3">
        <w:rPr>
          <w:rFonts w:eastAsia="Times New Roman"/>
          <w:szCs w:val="24"/>
        </w:rPr>
      </w:r>
      <w:r w:rsidR="00F96BD3" w:rsidRPr="00F96BD3">
        <w:rPr>
          <w:rFonts w:eastAsia="Times New Roman"/>
          <w:szCs w:val="24"/>
        </w:rPr>
        <w:fldChar w:fldCharType="separate"/>
      </w:r>
      <w:r w:rsidR="005D0B73">
        <w:rPr>
          <w:rFonts w:eastAsia="Times New Roman"/>
          <w:szCs w:val="24"/>
        </w:rPr>
        <w:t>4.5.3.1</w:t>
      </w:r>
      <w:r w:rsidR="00F96BD3" w:rsidRPr="00F96BD3">
        <w:rPr>
          <w:rFonts w:eastAsia="Times New Roman"/>
          <w:szCs w:val="24"/>
        </w:rPr>
        <w:fldChar w:fldCharType="end"/>
      </w:r>
      <w:r w:rsidRPr="00D725C0">
        <w:t xml:space="preserve">). A longer-term </w:t>
      </w:r>
      <w:r w:rsidR="00FC6895">
        <w:t>method</w:t>
      </w:r>
      <w:r w:rsidRPr="00D725C0">
        <w:t xml:space="preserve"> for decreasing overall carbon dioxide emissions coupl</w:t>
      </w:r>
      <w:r w:rsidR="00FC6895">
        <w:t>es</w:t>
      </w:r>
      <w:r w:rsidRPr="00D725C0">
        <w:t xml:space="preserve"> the growth of renewable electric energy supplies with the electrification of the transportation and heating sectors. With the continued decline in the capital costs for renewable resources, technological innovations have been facilitating the integration of large amounts of variable energy resources (VERs) (wind and photovoltaics) and energy storage. Additionally, high-voltage direct-current (HVDC) and </w:t>
      </w:r>
      <w:r w:rsidRPr="00172DC8">
        <w:t xml:space="preserve">flexible alternating-current transmission system (FACTS) </w:t>
      </w:r>
      <w:r w:rsidR="00172DC8" w:rsidRPr="00172DC8">
        <w:t xml:space="preserve">devices </w:t>
      </w:r>
      <w:r w:rsidRPr="00172DC8">
        <w:t>are helping increase transmission sy</w:t>
      </w:r>
      <w:r w:rsidRPr="00D725C0">
        <w:t>stem transfer limits and enabling renewable resource development.</w:t>
      </w:r>
      <w:r w:rsidR="00986EC5">
        <w:rPr>
          <w:rStyle w:val="FootnoteReference"/>
        </w:rPr>
        <w:footnoteReference w:id="321"/>
      </w:r>
      <w:r w:rsidRPr="00D725C0">
        <w:t xml:space="preserve"> This large-scale development of inverter-based technologies, however, is adding complexity to planning and operating the power system</w:t>
      </w:r>
      <w:r w:rsidR="002B396B">
        <w:t xml:space="preserve">. </w:t>
      </w:r>
    </w:p>
    <w:p w14:paraId="3AA49695" w14:textId="77777777" w:rsidR="00D725C0" w:rsidRPr="00D725C0" w:rsidRDefault="00D725C0" w:rsidP="00D725C0">
      <w:r w:rsidRPr="00D725C0">
        <w:t xml:space="preserve">To address these challenges, the ISO has been conducting a number of studies, gathering operational data and observations, and participating in projects assessing the development and integration of variable energy resources and other aspects of transformation to an AC/DC network. </w:t>
      </w:r>
    </w:p>
    <w:p w14:paraId="5731A96B" w14:textId="77777777" w:rsidR="00D725C0" w:rsidRPr="00D725C0" w:rsidRDefault="00D725C0" w:rsidP="00947CFC">
      <w:pPr>
        <w:pStyle w:val="Heading2"/>
        <w:rPr>
          <w:rFonts w:eastAsia="Times New Roman"/>
        </w:rPr>
      </w:pPr>
      <w:bookmarkStart w:id="969" w:name="_Toc429063460"/>
      <w:bookmarkStart w:id="970" w:name="_Ref485831188"/>
      <w:bookmarkStart w:id="971" w:name="_Ref485980240"/>
      <w:bookmarkStart w:id="972" w:name="_Ref485981352"/>
      <w:bookmarkStart w:id="973" w:name="_Toc490323091"/>
      <w:bookmarkStart w:id="974" w:name="_Ref491271342"/>
      <w:bookmarkStart w:id="975" w:name="_Toc396807669"/>
      <w:r w:rsidRPr="00D725C0">
        <w:rPr>
          <w:rFonts w:eastAsia="Times New Roman"/>
        </w:rPr>
        <w:t xml:space="preserve"> </w:t>
      </w:r>
      <w:bookmarkStart w:id="976" w:name="_Ref11055351"/>
      <w:bookmarkStart w:id="977" w:name="_Toc12795247"/>
      <w:r w:rsidRPr="00D725C0">
        <w:rPr>
          <w:rFonts w:eastAsia="Times New Roman"/>
        </w:rPr>
        <w:t>A Changing Grid</w:t>
      </w:r>
      <w:bookmarkEnd w:id="976"/>
      <w:bookmarkEnd w:id="977"/>
    </w:p>
    <w:p w14:paraId="273D5F2A" w14:textId="77777777" w:rsidR="00D725C0" w:rsidRPr="00D725C0" w:rsidRDefault="00D725C0" w:rsidP="00D725C0">
      <w:r w:rsidRPr="00D725C0">
        <w:t>To meet the region’s environmental goals, the New England states have individually and collectively established targets for renewable energy and energy efficiency. As a result, the use of inverter-based technologies and energy efficiency has grown rapidly and is transforming the New England power grid</w:t>
      </w:r>
      <w:r w:rsidR="00D50B14">
        <w:t>.</w:t>
      </w:r>
    </w:p>
    <w:p w14:paraId="78789A4F" w14:textId="6B3AAF24" w:rsidR="00D725C0" w:rsidRPr="00C500DF" w:rsidRDefault="00D725C0" w:rsidP="00947CFC">
      <w:pPr>
        <w:pStyle w:val="Heading3"/>
      </w:pPr>
      <w:bookmarkStart w:id="978" w:name="_Toc12795248"/>
      <w:r w:rsidRPr="00C500DF">
        <w:t>Government Policies Changing the Grid</w:t>
      </w:r>
      <w:bookmarkEnd w:id="978"/>
    </w:p>
    <w:p w14:paraId="4A21F303" w14:textId="2235BF11" w:rsidR="00F06ECD" w:rsidRPr="00F06ECD" w:rsidRDefault="00D725C0" w:rsidP="00F06ECD">
      <w:r w:rsidRPr="00D725C0">
        <w:t xml:space="preserve">As discussed in Section </w:t>
      </w:r>
      <w:r w:rsidR="001457C4">
        <w:fldChar w:fldCharType="begin"/>
      </w:r>
      <w:r w:rsidR="001457C4">
        <w:instrText xml:space="preserve"> REF _Ref12114424 \r \h </w:instrText>
      </w:r>
      <w:r w:rsidR="001457C4">
        <w:fldChar w:fldCharType="separate"/>
      </w:r>
      <w:r w:rsidR="005D0B73">
        <w:t>8.3</w:t>
      </w:r>
      <w:r w:rsidR="001457C4">
        <w:fldChar w:fldCharType="end"/>
      </w:r>
      <w:r w:rsidRPr="00D725C0">
        <w:t>, the New England states’ Renewable Portfolio Standard targets and related policies are driving new proposals for renewable energy, a trend expected to continue to the middle of the century. In addition to RPSs, the states’ goals for reducing greenhouse gas emissions are encouraging the development of EE and PV and are regulating emissions from larger-scale electric power plants. The states also have individually and collecti</w:t>
      </w:r>
      <w:r w:rsidRPr="00DF4059">
        <w:t xml:space="preserve">vely issued </w:t>
      </w:r>
      <w:r w:rsidR="00EA4FAF">
        <w:t xml:space="preserve">a number of </w:t>
      </w:r>
      <w:r w:rsidR="007134E1">
        <w:t>RFPs</w:t>
      </w:r>
      <w:r w:rsidRPr="00505568">
        <w:t xml:space="preserve"> for</w:t>
      </w:r>
      <w:r w:rsidR="00E60E99" w:rsidRPr="00DF4059">
        <w:t xml:space="preserve"> more than 5,000</w:t>
      </w:r>
      <w:r w:rsidR="002A2C06">
        <w:t xml:space="preserve"> </w:t>
      </w:r>
      <w:r w:rsidRPr="00DF4059">
        <w:t xml:space="preserve">MW of clean energy resources and an HVDC interconnection </w:t>
      </w:r>
      <w:r w:rsidR="00D57CF8" w:rsidRPr="00DF4059">
        <w:t>to deliver Canadian hydro power</w:t>
      </w:r>
      <w:r w:rsidR="00650849" w:rsidRPr="00505568">
        <w:t xml:space="preserve"> </w:t>
      </w:r>
      <w:r w:rsidRPr="00DF4059">
        <w:t xml:space="preserve">(see Section </w:t>
      </w:r>
      <w:r w:rsidR="00EA4FAF">
        <w:fldChar w:fldCharType="begin"/>
      </w:r>
      <w:r w:rsidR="00EA4FAF">
        <w:instrText xml:space="preserve"> REF _Ref13137461 \r \h </w:instrText>
      </w:r>
      <w:r w:rsidR="00EA4FAF">
        <w:fldChar w:fldCharType="separate"/>
      </w:r>
      <w:r w:rsidR="005D0B73">
        <w:t>10.2</w:t>
      </w:r>
      <w:r w:rsidR="00EA4FAF">
        <w:fldChar w:fldCharType="end"/>
      </w:r>
      <w:r w:rsidRPr="00DF4059">
        <w:t xml:space="preserve">). Additionally, the states </w:t>
      </w:r>
      <w:r w:rsidR="00F06ECD">
        <w:t xml:space="preserve">work </w:t>
      </w:r>
      <w:r w:rsidRPr="00F06ECD">
        <w:t>cooperati</w:t>
      </w:r>
      <w:r w:rsidR="00F06ECD">
        <w:t xml:space="preserve">vely </w:t>
      </w:r>
      <w:r w:rsidRPr="00D725C0">
        <w:t xml:space="preserve">on </w:t>
      </w:r>
      <w:r w:rsidRPr="007D78BD">
        <w:t xml:space="preserve">regional </w:t>
      </w:r>
      <w:r w:rsidR="00C500DF" w:rsidRPr="007D78BD">
        <w:t>electricity matters when they have common objectives</w:t>
      </w:r>
      <w:r w:rsidR="00DB3C25">
        <w:t xml:space="preserve"> </w:t>
      </w:r>
      <w:r w:rsidR="001457C4" w:rsidRPr="007D78BD">
        <w:t xml:space="preserve">(Section </w:t>
      </w:r>
      <w:r w:rsidR="001457C4" w:rsidRPr="00DB3C25">
        <w:fldChar w:fldCharType="begin"/>
      </w:r>
      <w:r w:rsidR="001457C4" w:rsidRPr="007D78BD">
        <w:instrText xml:space="preserve"> REF _Ref360787033 \r \h </w:instrText>
      </w:r>
      <w:r w:rsidR="007D78BD">
        <w:instrText xml:space="preserve"> \* MERGEFORMAT </w:instrText>
      </w:r>
      <w:r w:rsidR="001457C4" w:rsidRPr="00DB3C25">
        <w:fldChar w:fldCharType="separate"/>
      </w:r>
      <w:r w:rsidR="005D0B73">
        <w:t>10.1</w:t>
      </w:r>
      <w:r w:rsidR="001457C4" w:rsidRPr="00DB3C25">
        <w:fldChar w:fldCharType="end"/>
      </w:r>
      <w:r w:rsidR="001457C4" w:rsidRPr="007D78BD">
        <w:t>)</w:t>
      </w:r>
      <w:r w:rsidR="007134E1" w:rsidRPr="007D78BD">
        <w:t>.</w:t>
      </w:r>
    </w:p>
    <w:p w14:paraId="25B5E1C6" w14:textId="77777777" w:rsidR="00D725C0" w:rsidRPr="00D725C0" w:rsidRDefault="00D725C0" w:rsidP="00947CFC">
      <w:pPr>
        <w:pStyle w:val="Heading3"/>
      </w:pPr>
      <w:bookmarkStart w:id="979" w:name="_Ref11654861"/>
      <w:bookmarkStart w:id="980" w:name="_Ref11852051"/>
      <w:bookmarkStart w:id="981" w:name="_Toc12795249"/>
      <w:r w:rsidRPr="00D725C0">
        <w:t>The Growth of Inverter-</w:t>
      </w:r>
      <w:r w:rsidR="00312B9F">
        <w:t>B</w:t>
      </w:r>
      <w:r w:rsidRPr="00D725C0">
        <w:t>ased Technologies and Distributed Resources</w:t>
      </w:r>
      <w:bookmarkEnd w:id="979"/>
      <w:bookmarkEnd w:id="980"/>
      <w:bookmarkEnd w:id="981"/>
      <w:r w:rsidRPr="00D725C0">
        <w:t xml:space="preserve"> </w:t>
      </w:r>
    </w:p>
    <w:p w14:paraId="4DA32685" w14:textId="5D0EA8E7" w:rsidR="00D725C0" w:rsidRPr="00D725C0" w:rsidRDefault="00D725C0" w:rsidP="00D725C0">
      <w:r w:rsidRPr="00D725C0">
        <w:t>The ISO anticipates the widespread growth of inverter-based technologies, as noted throughout RSP19, including, wind generation, photovoltaics, HVDC, and battery energy</w:t>
      </w:r>
      <w:r w:rsidR="00C3334D">
        <w:t>-</w:t>
      </w:r>
      <w:r w:rsidRPr="00D725C0">
        <w:t>storage systems</w:t>
      </w:r>
      <w:r w:rsidR="00C3334D">
        <w:t>,</w:t>
      </w:r>
      <w:r w:rsidR="00C3334D" w:rsidRPr="00C3334D">
        <w:t xml:space="preserve"> </w:t>
      </w:r>
      <w:r w:rsidR="00C3334D" w:rsidRPr="00D725C0">
        <w:t>which have the physical capability to act as generators, demand, or b</w:t>
      </w:r>
      <w:r w:rsidR="00C3334D" w:rsidRPr="00FE223F">
        <w:t>oth</w:t>
      </w:r>
      <w:r w:rsidRPr="001F4447">
        <w:t xml:space="preserve">. </w:t>
      </w:r>
      <w:r w:rsidR="00505568" w:rsidRPr="001F4447">
        <w:t xml:space="preserve">In addition, inverter-based applications of FACTS </w:t>
      </w:r>
      <w:r w:rsidR="0030699B">
        <w:t xml:space="preserve">devices </w:t>
      </w:r>
      <w:r w:rsidR="00505568" w:rsidRPr="001F4447">
        <w:t xml:space="preserve">are expected to grow in New England as a means of providing dynamic voltage support. </w:t>
      </w:r>
      <w:r w:rsidRPr="001F4447">
        <w:t>As</w:t>
      </w:r>
      <w:r w:rsidRPr="00D725C0">
        <w:t xml:space="preserve"> shown </w:t>
      </w:r>
      <w:r w:rsidRPr="001457C4">
        <w:t xml:space="preserve">in Section </w:t>
      </w:r>
      <w:r w:rsidR="001457C4" w:rsidRPr="001457C4">
        <w:fldChar w:fldCharType="begin"/>
      </w:r>
      <w:r w:rsidR="001457C4" w:rsidRPr="001457C4">
        <w:instrText xml:space="preserve"> REF _Ref11668385 \r \h </w:instrText>
      </w:r>
      <w:r w:rsidR="001457C4">
        <w:instrText xml:space="preserve"> \* MERGEFORMAT </w:instrText>
      </w:r>
      <w:r w:rsidR="001457C4" w:rsidRPr="001457C4">
        <w:fldChar w:fldCharType="separate"/>
      </w:r>
      <w:r w:rsidR="005D0B73">
        <w:t>4.5.3</w:t>
      </w:r>
      <w:r w:rsidR="001457C4" w:rsidRPr="001457C4">
        <w:fldChar w:fldCharType="end"/>
      </w:r>
      <w:r w:rsidRPr="001457C4">
        <w:t xml:space="preserve">, </w:t>
      </w:r>
      <w:r w:rsidR="001457C4" w:rsidRPr="001457C4">
        <w:fldChar w:fldCharType="begin"/>
      </w:r>
      <w:r w:rsidR="001457C4" w:rsidRPr="001457C4">
        <w:instrText xml:space="preserve"> REF _Ref12115009 \h  \* MERGEFORMAT </w:instrText>
      </w:r>
      <w:r w:rsidR="001457C4" w:rsidRPr="001457C4">
        <w:fldChar w:fldCharType="separate"/>
      </w:r>
      <w:r w:rsidR="005D0B73" w:rsidRPr="005D0B73">
        <w:rPr>
          <w:bCs/>
          <w:szCs w:val="18"/>
        </w:rPr>
        <w:t xml:space="preserve">Figure </w:t>
      </w:r>
      <w:r w:rsidR="005D0B73" w:rsidRPr="005D0B73">
        <w:rPr>
          <w:bCs/>
          <w:noProof/>
          <w:szCs w:val="18"/>
        </w:rPr>
        <w:t>4</w:t>
      </w:r>
      <w:r w:rsidR="005D0B73" w:rsidRPr="005D0B73">
        <w:rPr>
          <w:bCs/>
          <w:noProof/>
          <w:szCs w:val="18"/>
        </w:rPr>
        <w:noBreakHyphen/>
        <w:t>4</w:t>
      </w:r>
      <w:r w:rsidR="001457C4" w:rsidRPr="001457C4">
        <w:fldChar w:fldCharType="end"/>
      </w:r>
      <w:r w:rsidRPr="001457C4">
        <w:t>), the ISO interconnection queue inc</w:t>
      </w:r>
      <w:r w:rsidR="0073590B" w:rsidRPr="001457C4">
        <w:t>l</w:t>
      </w:r>
      <w:r w:rsidRPr="001457C4">
        <w:t>udes</w:t>
      </w:r>
      <w:r w:rsidR="0073590B" w:rsidRPr="001457C4">
        <w:t xml:space="preserve"> 15,767 MW of total</w:t>
      </w:r>
      <w:r w:rsidRPr="001457C4">
        <w:t xml:space="preserve"> wind</w:t>
      </w:r>
      <w:r w:rsidR="0073590B" w:rsidRPr="001457C4">
        <w:t>,</w:t>
      </w:r>
      <w:r w:rsidRPr="001457C4">
        <w:t xml:space="preserve"> solar</w:t>
      </w:r>
      <w:r w:rsidR="0073590B" w:rsidRPr="001457C4">
        <w:t>,</w:t>
      </w:r>
      <w:r w:rsidRPr="001457C4">
        <w:t xml:space="preserve"> and batter</w:t>
      </w:r>
      <w:r w:rsidR="0073590B" w:rsidRPr="001457C4">
        <w:t>y resources</w:t>
      </w:r>
      <w:r w:rsidRPr="001457C4">
        <w:t xml:space="preserve">, </w:t>
      </w:r>
      <w:r w:rsidR="003F2232">
        <w:t xml:space="preserve">proposed </w:t>
      </w:r>
      <w:r w:rsidRPr="001457C4">
        <w:t>as follows:</w:t>
      </w:r>
      <w:r w:rsidRPr="00D725C0">
        <w:t xml:space="preserve"> </w:t>
      </w:r>
    </w:p>
    <w:p w14:paraId="0709A1FF" w14:textId="77777777" w:rsidR="00D725C0" w:rsidRPr="00D725C0" w:rsidRDefault="00D725C0" w:rsidP="00D725C0">
      <w:pPr>
        <w:numPr>
          <w:ilvl w:val="0"/>
          <w:numId w:val="730"/>
        </w:numPr>
        <w:spacing w:after="120"/>
        <w:rPr>
          <w:rFonts w:eastAsia="Times New Roman"/>
          <w:szCs w:val="24"/>
        </w:rPr>
      </w:pPr>
      <w:r w:rsidRPr="00D725C0">
        <w:rPr>
          <w:rFonts w:eastAsia="Times New Roman"/>
          <w:b/>
          <w:szCs w:val="24"/>
        </w:rPr>
        <w:lastRenderedPageBreak/>
        <w:t>Wind—</w:t>
      </w:r>
      <w:r w:rsidRPr="00D725C0">
        <w:rPr>
          <w:rFonts w:eastAsia="Times New Roman"/>
          <w:szCs w:val="24"/>
        </w:rPr>
        <w:t>11,316 MW (nameplate), comprising 59.4% of resources in the ISO’s queue</w:t>
      </w:r>
    </w:p>
    <w:p w14:paraId="179879C6" w14:textId="77777777" w:rsidR="00D725C0" w:rsidRPr="00D725C0" w:rsidRDefault="00D725C0" w:rsidP="00D725C0">
      <w:pPr>
        <w:numPr>
          <w:ilvl w:val="0"/>
          <w:numId w:val="730"/>
        </w:numPr>
        <w:spacing w:after="120"/>
        <w:rPr>
          <w:rFonts w:eastAsia="Times New Roman"/>
          <w:szCs w:val="24"/>
        </w:rPr>
      </w:pPr>
      <w:r w:rsidRPr="00D725C0">
        <w:rPr>
          <w:rFonts w:eastAsia="Times New Roman"/>
          <w:b/>
          <w:szCs w:val="24"/>
        </w:rPr>
        <w:t>Solar—</w:t>
      </w:r>
      <w:r w:rsidRPr="00D725C0">
        <w:rPr>
          <w:rFonts w:eastAsia="Times New Roman"/>
          <w:szCs w:val="24"/>
        </w:rPr>
        <w:t>An additional 3,070 MW (nameplate) of large-scale PV generation (16.1% of the queue), with the PV forecast showing a total of 6,744 MW (nameplate under 5 MW) developing by 2028 (see Section 3.3.1)</w:t>
      </w:r>
    </w:p>
    <w:p w14:paraId="4F845501" w14:textId="77777777" w:rsidR="00D725C0" w:rsidRPr="00D725C0" w:rsidRDefault="00D725C0" w:rsidP="00D725C0">
      <w:pPr>
        <w:numPr>
          <w:ilvl w:val="0"/>
          <w:numId w:val="730"/>
        </w:numPr>
        <w:ind w:left="806"/>
        <w:rPr>
          <w:rFonts w:eastAsia="Times New Roman"/>
          <w:szCs w:val="24"/>
        </w:rPr>
      </w:pPr>
      <w:r w:rsidRPr="00D725C0">
        <w:rPr>
          <w:rFonts w:eastAsia="Times New Roman"/>
          <w:b/>
          <w:szCs w:val="24"/>
        </w:rPr>
        <w:t>Battery energy</w:t>
      </w:r>
      <w:r w:rsidR="00C3334D">
        <w:rPr>
          <w:rFonts w:eastAsia="Times New Roman"/>
          <w:b/>
          <w:szCs w:val="24"/>
        </w:rPr>
        <w:t>-</w:t>
      </w:r>
      <w:r w:rsidRPr="00D725C0">
        <w:rPr>
          <w:rFonts w:eastAsia="Times New Roman"/>
          <w:b/>
          <w:szCs w:val="24"/>
        </w:rPr>
        <w:t>storage systems—</w:t>
      </w:r>
      <w:r w:rsidRPr="00D725C0">
        <w:rPr>
          <w:rFonts w:eastAsia="Times New Roman"/>
          <w:szCs w:val="24"/>
        </w:rPr>
        <w:t xml:space="preserve">1,381 MW (nameplate) slated for regional development </w:t>
      </w:r>
    </w:p>
    <w:p w14:paraId="22BDEA6C" w14:textId="14E3E875" w:rsidR="00D725C0" w:rsidRPr="00D725C0" w:rsidRDefault="00D57CF8" w:rsidP="00D725C0">
      <w:r>
        <w:t>As of June 1, 2019, 17 HVDC projects are under study as E</w:t>
      </w:r>
      <w:r w:rsidR="00B015CE">
        <w:t>T</w:t>
      </w:r>
      <w:r>
        <w:t>Us, and three have rec</w:t>
      </w:r>
      <w:r w:rsidRPr="00895B79">
        <w:t xml:space="preserve">eived </w:t>
      </w:r>
      <w:r w:rsidR="008824A9">
        <w:t xml:space="preserve">approval for </w:t>
      </w:r>
      <w:r w:rsidRPr="00895B79">
        <w:t>their proposed plan application</w:t>
      </w:r>
      <w:r w:rsidR="008824A9">
        <w:t>s</w:t>
      </w:r>
      <w:r w:rsidR="002B396B" w:rsidRPr="00895B79">
        <w:t xml:space="preserve">. </w:t>
      </w:r>
      <w:r w:rsidRPr="00895B79">
        <w:t>S</w:t>
      </w:r>
      <w:r w:rsidR="00D725C0" w:rsidRPr="00895B79">
        <w:t>ince RSP17, one static synchronous compensator (ST</w:t>
      </w:r>
      <w:r w:rsidR="00D725C0" w:rsidRPr="00D725C0">
        <w:t>ATCOM) rated</w:t>
      </w:r>
      <w:r w:rsidR="008824A9">
        <w:br/>
      </w:r>
      <w:r w:rsidR="00895B79" w:rsidRPr="00D725C0">
        <w:t>–/+</w:t>
      </w:r>
      <w:r w:rsidR="00895B79">
        <w:t> </w:t>
      </w:r>
      <w:r w:rsidR="00895B79" w:rsidRPr="00D725C0">
        <w:t>200</w:t>
      </w:r>
      <w:r w:rsidR="00895B79">
        <w:t> </w:t>
      </w:r>
      <w:r w:rsidR="00D725C0" w:rsidRPr="00D725C0">
        <w:t xml:space="preserve">MVAR </w:t>
      </w:r>
      <w:r w:rsidR="005B389C">
        <w:t>and one +50 MVAR/</w:t>
      </w:r>
      <w:r w:rsidR="00895B79">
        <w:t>−</w:t>
      </w:r>
      <w:r w:rsidR="005B389C">
        <w:t>25 MVAR</w:t>
      </w:r>
      <w:r w:rsidR="00771DB7">
        <w:t xml:space="preserve"> </w:t>
      </w:r>
      <w:r w:rsidR="00B015CE">
        <w:t>s</w:t>
      </w:r>
      <w:r w:rsidR="00771DB7">
        <w:t xml:space="preserve">tatic VAR </w:t>
      </w:r>
      <w:r w:rsidR="00B015CE">
        <w:t>c</w:t>
      </w:r>
      <w:r w:rsidR="00771DB7">
        <w:t>ompensator (</w:t>
      </w:r>
      <w:r w:rsidR="005B389C">
        <w:t>SVC</w:t>
      </w:r>
      <w:r w:rsidR="00771DB7">
        <w:t>)</w:t>
      </w:r>
      <w:r w:rsidR="005B389C">
        <w:t xml:space="preserve"> </w:t>
      </w:r>
      <w:r w:rsidR="00FC76A8">
        <w:t>have been installed to</w:t>
      </w:r>
      <w:r w:rsidR="00D725C0" w:rsidRPr="00D725C0">
        <w:t xml:space="preserve"> </w:t>
      </w:r>
      <w:r w:rsidR="00FC76A8" w:rsidRPr="00D725C0">
        <w:t>provid</w:t>
      </w:r>
      <w:r w:rsidR="00FC76A8">
        <w:t>e</w:t>
      </w:r>
      <w:r w:rsidR="00FC76A8" w:rsidRPr="00D725C0">
        <w:t xml:space="preserve"> </w:t>
      </w:r>
      <w:r w:rsidR="00D725C0" w:rsidRPr="00D725C0">
        <w:t>dynamic support to the transmission system (see S</w:t>
      </w:r>
      <w:r w:rsidR="00D725C0" w:rsidRPr="00D57CF8">
        <w:t>ection</w:t>
      </w:r>
      <w:r w:rsidR="00895B79">
        <w:t>s</w:t>
      </w:r>
      <w:r w:rsidR="00D725C0" w:rsidRPr="00D57CF8">
        <w:t xml:space="preserve"> </w:t>
      </w:r>
      <w:r w:rsidRPr="0080457A">
        <w:fldChar w:fldCharType="begin"/>
      </w:r>
      <w:r w:rsidRPr="00D57CF8">
        <w:instrText xml:space="preserve"> REF _Ref485738258 \r \h  \* MERGEFORMAT </w:instrText>
      </w:r>
      <w:r w:rsidRPr="0080457A">
        <w:fldChar w:fldCharType="separate"/>
      </w:r>
      <w:r w:rsidR="005D0B73">
        <w:t>5.4</w:t>
      </w:r>
      <w:r w:rsidRPr="0080457A">
        <w:fldChar w:fldCharType="end"/>
      </w:r>
      <w:r w:rsidR="00FC76A8" w:rsidRPr="00895B79">
        <w:t xml:space="preserve"> and </w:t>
      </w:r>
      <w:r w:rsidRPr="00895B79">
        <w:fldChar w:fldCharType="begin"/>
      </w:r>
      <w:r w:rsidRPr="00895B79">
        <w:instrText xml:space="preserve"> REF _Ref10827785 \r \h  \* MERGEFORMAT </w:instrText>
      </w:r>
      <w:r w:rsidRPr="00895B79">
        <w:fldChar w:fldCharType="separate"/>
      </w:r>
      <w:r w:rsidR="005D0B73">
        <w:t>5.5</w:t>
      </w:r>
      <w:r w:rsidRPr="00895B79">
        <w:fldChar w:fldCharType="end"/>
      </w:r>
      <w:r w:rsidR="00D725C0" w:rsidRPr="00D57CF8">
        <w:t>).</w:t>
      </w:r>
      <w:r w:rsidR="00D725C0" w:rsidRPr="00D725C0">
        <w:t xml:space="preserve"> </w:t>
      </w:r>
    </w:p>
    <w:p w14:paraId="6AD6E9A7" w14:textId="63977930" w:rsidR="00D47947" w:rsidRPr="00D725C0" w:rsidRDefault="00D725C0" w:rsidP="00D725C0">
      <w:r w:rsidRPr="00D725C0">
        <w:t>The</w:t>
      </w:r>
      <w:r w:rsidR="0085540D">
        <w:t xml:space="preserve"> increased </w:t>
      </w:r>
      <w:r w:rsidRPr="00D725C0">
        <w:t xml:space="preserve">development of </w:t>
      </w:r>
      <w:r w:rsidR="00812943">
        <w:t xml:space="preserve">VERs </w:t>
      </w:r>
      <w:r w:rsidR="0085540D">
        <w:t>and distributed resources (which includes reductions in demand resulting from energy efficiency)</w:t>
      </w:r>
      <w:r w:rsidRPr="00D725C0">
        <w:t xml:space="preserve">, </w:t>
      </w:r>
      <w:r w:rsidR="0085540D">
        <w:t xml:space="preserve">and </w:t>
      </w:r>
      <w:r w:rsidR="001619CF">
        <w:t xml:space="preserve">more </w:t>
      </w:r>
      <w:r w:rsidRPr="00D725C0">
        <w:t>imports from neighboring systems (both AC and DC)</w:t>
      </w:r>
      <w:r w:rsidR="00812943">
        <w:t xml:space="preserve"> would decrease the extent that large fossil-fired generation served demand at any given time</w:t>
      </w:r>
      <w:r w:rsidRPr="00D725C0">
        <w:t xml:space="preserve">. </w:t>
      </w:r>
      <w:r w:rsidR="0085540D">
        <w:t>In addition to reducing the region’s dependence on fossil fuels, t</w:t>
      </w:r>
      <w:r w:rsidRPr="00D725C0">
        <w:t>he growth of inverter-based technologies and distributed resources lowers emissions, encourages broader markets by providing more elastic price signals, and improves system re</w:t>
      </w:r>
      <w:r w:rsidR="003F2232">
        <w:t>siliency</w:t>
      </w:r>
      <w:r w:rsidRPr="00D725C0">
        <w:t xml:space="preserve">. </w:t>
      </w:r>
    </w:p>
    <w:p w14:paraId="51CEA341" w14:textId="77777777" w:rsidR="00D725C0" w:rsidRPr="00AE77A3" w:rsidRDefault="00D725C0" w:rsidP="00947CFC">
      <w:pPr>
        <w:pStyle w:val="Heading2"/>
        <w:rPr>
          <w:rFonts w:eastAsia="Times New Roman"/>
        </w:rPr>
      </w:pPr>
      <w:bookmarkStart w:id="982" w:name="_Ref11832384"/>
      <w:bookmarkStart w:id="983" w:name="_Ref11834922"/>
      <w:bookmarkStart w:id="984" w:name="_Ref11843457"/>
      <w:bookmarkStart w:id="985" w:name="_Ref12108148"/>
      <w:bookmarkStart w:id="986" w:name="_Toc12795250"/>
      <w:r w:rsidRPr="00AE77A3">
        <w:rPr>
          <w:rFonts w:eastAsia="Times New Roman"/>
        </w:rPr>
        <w:t>Issues with Transformation of the Grid</w:t>
      </w:r>
      <w:bookmarkEnd w:id="982"/>
      <w:bookmarkEnd w:id="983"/>
      <w:bookmarkEnd w:id="984"/>
      <w:bookmarkEnd w:id="985"/>
      <w:bookmarkEnd w:id="986"/>
    </w:p>
    <w:p w14:paraId="7F59CA8D" w14:textId="05949DF1" w:rsidR="00D725C0" w:rsidRPr="00D725C0" w:rsidRDefault="00812943" w:rsidP="00D725C0">
      <w:r w:rsidRPr="00AE77A3">
        <w:t>The transition to the grid of the future, however, represents a major change in the electric power industry</w:t>
      </w:r>
      <w:r w:rsidR="00AE77A3" w:rsidRPr="00AE77A3">
        <w:t xml:space="preserve"> that affects its </w:t>
      </w:r>
      <w:r w:rsidRPr="00AE77A3">
        <w:rPr>
          <w:rFonts w:eastAsia="Times New Roman"/>
        </w:rPr>
        <w:t>overarching structure</w:t>
      </w:r>
      <w:r w:rsidR="00AE77A3" w:rsidRPr="00AE77A3">
        <w:rPr>
          <w:rFonts w:eastAsia="Times New Roman"/>
        </w:rPr>
        <w:t>,</w:t>
      </w:r>
      <w:r w:rsidRPr="00AE77A3">
        <w:rPr>
          <w:rFonts w:eastAsia="Times New Roman"/>
        </w:rPr>
        <w:t xml:space="preserve"> </w:t>
      </w:r>
      <w:r w:rsidRPr="00AE77A3">
        <w:t>physical operation, and planning</w:t>
      </w:r>
      <w:r w:rsidR="00AE77A3" w:rsidRPr="00AE77A3">
        <w:t xml:space="preserve">. </w:t>
      </w:r>
      <w:r w:rsidRPr="00AE77A3">
        <w:rPr>
          <w:rFonts w:eastAsia="Times New Roman"/>
        </w:rPr>
        <w:t xml:space="preserve">Variable energy resources’ </w:t>
      </w:r>
      <w:r w:rsidR="00D725C0" w:rsidRPr="00AE77A3">
        <w:rPr>
          <w:rFonts w:eastAsia="Times New Roman"/>
        </w:rPr>
        <w:t>dependenc</w:t>
      </w:r>
      <w:r w:rsidRPr="00AE77A3">
        <w:rPr>
          <w:rFonts w:eastAsia="Times New Roman"/>
        </w:rPr>
        <w:t>e</w:t>
      </w:r>
      <w:r w:rsidR="00D725C0" w:rsidRPr="00AE77A3">
        <w:rPr>
          <w:rFonts w:eastAsia="Times New Roman"/>
        </w:rPr>
        <w:t xml:space="preserve"> </w:t>
      </w:r>
      <w:r w:rsidR="00146DB9" w:rsidRPr="00AE77A3">
        <w:rPr>
          <w:rFonts w:eastAsia="Times New Roman"/>
        </w:rPr>
        <w:t>on weather</w:t>
      </w:r>
      <w:r w:rsidRPr="00AE77A3">
        <w:rPr>
          <w:rFonts w:eastAsia="Times New Roman"/>
        </w:rPr>
        <w:t xml:space="preserve"> </w:t>
      </w:r>
      <w:r w:rsidR="00146DB9" w:rsidRPr="00AE77A3">
        <w:rPr>
          <w:rFonts w:eastAsia="Times New Roman"/>
        </w:rPr>
        <w:t>to produce energy</w:t>
      </w:r>
      <w:r w:rsidR="00D725C0" w:rsidRPr="00AE77A3">
        <w:rPr>
          <w:rFonts w:eastAsia="Times New Roman"/>
        </w:rPr>
        <w:t xml:space="preserve">, coupled with the ISO’s inability to directly observe or control </w:t>
      </w:r>
      <w:r w:rsidR="00121C19">
        <w:rPr>
          <w:rFonts w:eastAsia="Times New Roman"/>
        </w:rPr>
        <w:t xml:space="preserve">most </w:t>
      </w:r>
      <w:r w:rsidR="00D725C0" w:rsidRPr="00AE77A3">
        <w:rPr>
          <w:rFonts w:eastAsia="Times New Roman"/>
        </w:rPr>
        <w:t>distributed</w:t>
      </w:r>
      <w:r w:rsidRPr="00AE77A3">
        <w:rPr>
          <w:rFonts w:eastAsia="Times New Roman"/>
        </w:rPr>
        <w:t>-</w:t>
      </w:r>
      <w:r w:rsidR="00D725C0" w:rsidRPr="00AE77A3">
        <w:rPr>
          <w:rFonts w:eastAsia="Times New Roman"/>
        </w:rPr>
        <w:t>resource outputs</w:t>
      </w:r>
      <w:r w:rsidR="00032966">
        <w:rPr>
          <w:rFonts w:eastAsia="Times New Roman"/>
        </w:rPr>
        <w:t>,</w:t>
      </w:r>
      <w:r w:rsidR="00D725C0" w:rsidRPr="00AE77A3">
        <w:rPr>
          <w:rFonts w:eastAsia="Times New Roman"/>
        </w:rPr>
        <w:t xml:space="preserve"> adds complexity for planning and operating the system holistically. But system models and analyses must accurately address these uncertainties, and the ISO must understand demand projections and variable</w:t>
      </w:r>
      <w:r w:rsidRPr="00AE77A3">
        <w:rPr>
          <w:rFonts w:eastAsia="Times New Roman"/>
        </w:rPr>
        <w:t>-</w:t>
      </w:r>
      <w:r w:rsidR="00D725C0" w:rsidRPr="00AE77A3">
        <w:rPr>
          <w:rFonts w:eastAsia="Times New Roman"/>
        </w:rPr>
        <w:t xml:space="preserve"> and distributed</w:t>
      </w:r>
      <w:r w:rsidRPr="00AE77A3">
        <w:rPr>
          <w:rFonts w:eastAsia="Times New Roman"/>
        </w:rPr>
        <w:t>-</w:t>
      </w:r>
      <w:r w:rsidR="00D725C0" w:rsidRPr="00AE77A3">
        <w:rPr>
          <w:rFonts w:eastAsia="Times New Roman"/>
        </w:rPr>
        <w:t xml:space="preserve">resource outputs, as well as the state of </w:t>
      </w:r>
      <w:r w:rsidR="000A412E" w:rsidRPr="00AE77A3">
        <w:rPr>
          <w:rFonts w:eastAsia="Times New Roman"/>
        </w:rPr>
        <w:t xml:space="preserve">the </w:t>
      </w:r>
      <w:r w:rsidR="00D725C0" w:rsidRPr="00AE77A3">
        <w:rPr>
          <w:rFonts w:eastAsia="Times New Roman"/>
        </w:rPr>
        <w:t xml:space="preserve">power system overall, for meeting planning and operating objectives, managing risks, and administrating the wholesale power markets. </w:t>
      </w:r>
      <w:r w:rsidR="00AE77A3" w:rsidRPr="00AE77A3">
        <w:rPr>
          <w:rFonts w:eastAsia="Times New Roman"/>
        </w:rPr>
        <w:t>S</w:t>
      </w:r>
      <w:r w:rsidR="00D725C0" w:rsidRPr="00AE77A3">
        <w:rPr>
          <w:rFonts w:eastAsia="Times New Roman"/>
        </w:rPr>
        <w:t xml:space="preserve">ystem security would need to be improved </w:t>
      </w:r>
      <w:r w:rsidR="00AE77A3" w:rsidRPr="00AE77A3">
        <w:rPr>
          <w:rFonts w:eastAsia="Times New Roman"/>
        </w:rPr>
        <w:t>a</w:t>
      </w:r>
      <w:r w:rsidR="00032966">
        <w:rPr>
          <w:rFonts w:eastAsia="Times New Roman"/>
        </w:rPr>
        <w:t>s well</w:t>
      </w:r>
      <w:r w:rsidR="00AE77A3" w:rsidRPr="00AE77A3">
        <w:rPr>
          <w:rFonts w:eastAsia="Times New Roman"/>
        </w:rPr>
        <w:t xml:space="preserve"> </w:t>
      </w:r>
      <w:r w:rsidR="00D725C0" w:rsidRPr="00AE77A3">
        <w:rPr>
          <w:rFonts w:eastAsia="Times New Roman"/>
        </w:rPr>
        <w:t xml:space="preserve">by </w:t>
      </w:r>
      <w:r w:rsidR="00505568" w:rsidRPr="00AE77A3">
        <w:rPr>
          <w:rFonts w:eastAsia="Times New Roman"/>
        </w:rPr>
        <w:t xml:space="preserve">better </w:t>
      </w:r>
      <w:r w:rsidR="00D725C0" w:rsidRPr="00AE77A3">
        <w:rPr>
          <w:rFonts w:eastAsia="Times New Roman"/>
        </w:rPr>
        <w:t xml:space="preserve">coordinating the </w:t>
      </w:r>
      <w:r w:rsidR="00505568" w:rsidRPr="00AE77A3">
        <w:rPr>
          <w:rFonts w:eastAsia="Times New Roman"/>
        </w:rPr>
        <w:t xml:space="preserve">planning and operations of </w:t>
      </w:r>
      <w:r w:rsidR="00D725C0" w:rsidRPr="00AE77A3">
        <w:rPr>
          <w:rFonts w:eastAsia="Times New Roman"/>
        </w:rPr>
        <w:t>transmission and distribution (T&amp;D) systems where flows are likely to become more variable.</w:t>
      </w:r>
      <w:r w:rsidR="00D725C0" w:rsidRPr="00D725C0">
        <w:rPr>
          <w:rFonts w:eastAsia="Times New Roman"/>
        </w:rPr>
        <w:t xml:space="preserve"> </w:t>
      </w:r>
    </w:p>
    <w:p w14:paraId="32BC908A" w14:textId="701F9B1F" w:rsidR="00ED3541" w:rsidRDefault="00D725C0" w:rsidP="00D725C0">
      <w:r w:rsidRPr="00D725C0">
        <w:t xml:space="preserve">The ISO has already experienced the “duck curve” as a result of the growth of PV, meaning that system demand </w:t>
      </w:r>
      <w:r w:rsidR="00505568">
        <w:t xml:space="preserve">net of EE and all PV </w:t>
      </w:r>
      <w:r w:rsidRPr="00D725C0">
        <w:t>is lower during daylight, sunny hours resulting from PV production.</w:t>
      </w:r>
      <w:r w:rsidR="00505568">
        <w:rPr>
          <w:rStyle w:val="FootnoteReference"/>
        </w:rPr>
        <w:footnoteReference w:id="322"/>
      </w:r>
      <w:r w:rsidRPr="00D725C0">
        <w:t xml:space="preserve"> The midday drop in th</w:t>
      </w:r>
      <w:r w:rsidR="00505568">
        <w:t>is “</w:t>
      </w:r>
      <w:r w:rsidRPr="00D725C0">
        <w:t xml:space="preserve">demand curve </w:t>
      </w:r>
      <w:r w:rsidR="00505568">
        <w:t xml:space="preserve">net of VERs” </w:t>
      </w:r>
      <w:r w:rsidRPr="00D725C0">
        <w:t xml:space="preserve">resembles the “belly” of a duck, the decrease in </w:t>
      </w:r>
      <w:r w:rsidR="00505568">
        <w:t xml:space="preserve">the curve </w:t>
      </w:r>
      <w:r w:rsidRPr="00D725C0">
        <w:t xml:space="preserve">after dawn represents the tail, and the demand increase at dusk shows the head. As shown in the </w:t>
      </w:r>
      <w:r w:rsidR="009D1EAE" w:rsidRPr="00F5683D">
        <w:fldChar w:fldCharType="begin"/>
      </w:r>
      <w:r w:rsidR="009D1EAE" w:rsidRPr="00AC526B">
        <w:instrText xml:space="preserve"> REF _Ref7188399 \h  \* MERGEFORMAT </w:instrText>
      </w:r>
      <w:r w:rsidR="009D1EAE" w:rsidRPr="00F5683D">
        <w:fldChar w:fldCharType="separate"/>
      </w:r>
      <w:r w:rsidR="009D1EAE" w:rsidRPr="00AC526B">
        <w:rPr>
          <w:bCs/>
          <w:szCs w:val="18"/>
        </w:rPr>
        <w:t>Figure</w:t>
      </w:r>
      <w:r w:rsidR="009D1EAE" w:rsidRPr="00AC526B">
        <w:rPr>
          <w:rFonts w:ascii="Calibri" w:hAnsi="Calibri"/>
          <w:b/>
          <w:bCs/>
          <w:szCs w:val="18"/>
        </w:rPr>
        <w:t> </w:t>
      </w:r>
      <w:r w:rsidR="009D1EAE" w:rsidRPr="00AC526B">
        <w:rPr>
          <w:bCs/>
          <w:noProof/>
          <w:szCs w:val="18"/>
        </w:rPr>
        <w:t>9</w:t>
      </w:r>
      <w:r w:rsidR="009D1EAE" w:rsidRPr="00AC526B">
        <w:rPr>
          <w:bCs/>
          <w:noProof/>
          <w:szCs w:val="18"/>
        </w:rPr>
        <w:noBreakHyphen/>
        <w:t>1</w:t>
      </w:r>
      <w:r w:rsidR="009D1EAE" w:rsidRPr="00F5683D">
        <w:fldChar w:fldCharType="end"/>
      </w:r>
      <w:r w:rsidRPr="00AC526B">
        <w:t xml:space="preserve"> duck curve, minimum daily </w:t>
      </w:r>
      <w:r w:rsidR="00505568" w:rsidRPr="00AC526B">
        <w:t>demand net of VERS</w:t>
      </w:r>
      <w:r w:rsidRPr="00AC526B">
        <w:t xml:space="preserve"> were experienced in the afternoon of </w:t>
      </w:r>
      <w:r w:rsidR="00AE77A3" w:rsidRPr="00AC526B">
        <w:t>April </w:t>
      </w:r>
      <w:r w:rsidRPr="00AC526B">
        <w:t>21,</w:t>
      </w:r>
      <w:r w:rsidRPr="00D725C0">
        <w:t xml:space="preserve"> 2018. The figure also shows the effect that increased PV development could have on the load shapes for typical summer and winter peak days based on the </w:t>
      </w:r>
      <w:r w:rsidR="00E523AA">
        <w:t>demand</w:t>
      </w:r>
      <w:r w:rsidRPr="00D725C0">
        <w:t xml:space="preserve"> shapes of July 19, 2013, and January 7, 2014, respectively. PV reduces the summer peak </w:t>
      </w:r>
      <w:r w:rsidR="00E523AA">
        <w:t>net of VERs</w:t>
      </w:r>
      <w:r w:rsidR="001F4447">
        <w:t xml:space="preserve"> </w:t>
      </w:r>
      <w:r w:rsidRPr="00D725C0">
        <w:t xml:space="preserve">and reduces energy consumption </w:t>
      </w:r>
      <w:r w:rsidR="00E523AA">
        <w:t xml:space="preserve">net of VERs </w:t>
      </w:r>
      <w:r w:rsidRPr="00D725C0">
        <w:t xml:space="preserve">in both summer and winter, which could reduce the need for natural gas consumption by generating units. Summer peaks </w:t>
      </w:r>
      <w:r w:rsidR="00E523AA">
        <w:t xml:space="preserve">net of VERs </w:t>
      </w:r>
      <w:r w:rsidRPr="00D725C0">
        <w:t xml:space="preserve">would occur later in the day and exhibit a long increase in demand up to the peak. Winter operating periods display increased variability resulting from peak demand occurring after </w:t>
      </w:r>
      <w:r w:rsidR="00BC3CBC">
        <w:t>the sun has set</w:t>
      </w:r>
      <w:r w:rsidRPr="00D725C0">
        <w:t xml:space="preserve">, </w:t>
      </w:r>
      <w:r w:rsidR="00BC3CBC">
        <w:t xml:space="preserve">during </w:t>
      </w:r>
      <w:r w:rsidRPr="00D725C0">
        <w:t xml:space="preserve">snow cover, and </w:t>
      </w:r>
      <w:r w:rsidR="00BC3CBC">
        <w:t xml:space="preserve">when weather patterns change </w:t>
      </w:r>
      <w:r w:rsidRPr="00D725C0">
        <w:t>rapid</w:t>
      </w:r>
      <w:r w:rsidR="00BC3CBC">
        <w:t>ly</w:t>
      </w:r>
      <w:r w:rsidRPr="00D725C0">
        <w:t xml:space="preserve">. </w:t>
      </w:r>
      <w:r w:rsidR="00E523AA">
        <w:t>For example, changes in snow cover could result in significant changes in the shapes of day-to-day demand net of VERs.</w:t>
      </w:r>
    </w:p>
    <w:p w14:paraId="0701C7CB" w14:textId="77777777" w:rsidR="00E6757F" w:rsidRPr="00D725C0" w:rsidRDefault="00670F03" w:rsidP="00670F03">
      <w:pPr>
        <w:spacing w:after="0" w:line="240" w:lineRule="auto"/>
        <w:jc w:val="center"/>
      </w:pPr>
      <w:r w:rsidRPr="00637065">
        <w:rPr>
          <w:noProof/>
        </w:rPr>
        <w:lastRenderedPageBreak/>
        <w:drawing>
          <wp:inline distT="0" distB="0" distL="0" distR="0" wp14:anchorId="47417178" wp14:editId="34AAD326">
            <wp:extent cx="5247523" cy="7127240"/>
            <wp:effectExtent l="19050" t="19050" r="1079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944" t="-2578" r="1" b="-1075"/>
                    <a:stretch/>
                  </pic:blipFill>
                  <pic:spPr bwMode="auto">
                    <a:xfrm>
                      <a:off x="0" y="0"/>
                      <a:ext cx="5252018" cy="7133346"/>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p>
    <w:p w14:paraId="7FF1C07B" w14:textId="7CD82A20" w:rsidR="001659EB" w:rsidRDefault="00D725C0" w:rsidP="001659EB">
      <w:pPr>
        <w:spacing w:before="120" w:after="80" w:line="240" w:lineRule="auto"/>
        <w:ind w:left="360" w:right="86"/>
        <w:rPr>
          <w:rFonts w:ascii="Calibri" w:hAnsi="Calibri"/>
          <w:b/>
          <w:bCs/>
          <w:szCs w:val="18"/>
        </w:rPr>
      </w:pPr>
      <w:bookmarkStart w:id="987" w:name="_Ref7188399"/>
      <w:bookmarkStart w:id="988" w:name="_Toc17709772"/>
      <w:r w:rsidRPr="00D725C0">
        <w:rPr>
          <w:rFonts w:ascii="Calibri" w:hAnsi="Calibri"/>
          <w:b/>
          <w:bCs/>
          <w:szCs w:val="18"/>
        </w:rPr>
        <w:t xml:space="preserve">Figure </w:t>
      </w:r>
      <w:r w:rsidR="008E7223">
        <w:rPr>
          <w:rFonts w:ascii="Calibri" w:hAnsi="Calibri"/>
          <w:b/>
          <w:bCs/>
          <w:szCs w:val="18"/>
        </w:rPr>
        <w:fldChar w:fldCharType="begin"/>
      </w:r>
      <w:r w:rsidR="008E7223">
        <w:rPr>
          <w:rFonts w:ascii="Calibri" w:hAnsi="Calibri"/>
          <w:b/>
          <w:bCs/>
          <w:szCs w:val="18"/>
        </w:rPr>
        <w:instrText xml:space="preserve"> STYLEREF 1 \s </w:instrText>
      </w:r>
      <w:r w:rsidR="008E7223">
        <w:rPr>
          <w:rFonts w:ascii="Calibri" w:hAnsi="Calibri"/>
          <w:b/>
          <w:bCs/>
          <w:szCs w:val="18"/>
        </w:rPr>
        <w:fldChar w:fldCharType="separate"/>
      </w:r>
      <w:r w:rsidR="008E7223">
        <w:rPr>
          <w:rFonts w:ascii="Calibri" w:hAnsi="Calibri"/>
          <w:b/>
          <w:bCs/>
          <w:noProof/>
          <w:szCs w:val="18"/>
        </w:rPr>
        <w:t>9</w:t>
      </w:r>
      <w:r w:rsidR="008E7223">
        <w:rPr>
          <w:rFonts w:ascii="Calibri" w:hAnsi="Calibri"/>
          <w:b/>
          <w:bCs/>
          <w:szCs w:val="18"/>
        </w:rPr>
        <w:fldChar w:fldCharType="end"/>
      </w:r>
      <w:r w:rsidR="008E7223">
        <w:rPr>
          <w:rFonts w:ascii="Calibri" w:hAnsi="Calibri"/>
          <w:b/>
          <w:bCs/>
          <w:szCs w:val="18"/>
        </w:rPr>
        <w:noBreakHyphen/>
      </w:r>
      <w:r w:rsidR="008E7223">
        <w:rPr>
          <w:rFonts w:ascii="Calibri" w:hAnsi="Calibri"/>
          <w:b/>
          <w:bCs/>
          <w:szCs w:val="18"/>
        </w:rPr>
        <w:fldChar w:fldCharType="begin"/>
      </w:r>
      <w:r w:rsidR="008E7223">
        <w:rPr>
          <w:rFonts w:ascii="Calibri" w:hAnsi="Calibri"/>
          <w:b/>
          <w:bCs/>
          <w:szCs w:val="18"/>
        </w:rPr>
        <w:instrText xml:space="preserve"> SEQ Figure \* ARABIC \s 1 </w:instrText>
      </w:r>
      <w:r w:rsidR="008E7223">
        <w:rPr>
          <w:rFonts w:ascii="Calibri" w:hAnsi="Calibri"/>
          <w:b/>
          <w:bCs/>
          <w:szCs w:val="18"/>
        </w:rPr>
        <w:fldChar w:fldCharType="separate"/>
      </w:r>
      <w:r w:rsidR="008E7223">
        <w:rPr>
          <w:rFonts w:ascii="Calibri" w:hAnsi="Calibri"/>
          <w:b/>
          <w:bCs/>
          <w:noProof/>
          <w:szCs w:val="18"/>
        </w:rPr>
        <w:t>1</w:t>
      </w:r>
      <w:r w:rsidR="008E7223">
        <w:rPr>
          <w:rFonts w:ascii="Calibri" w:hAnsi="Calibri"/>
          <w:b/>
          <w:bCs/>
          <w:szCs w:val="18"/>
        </w:rPr>
        <w:fldChar w:fldCharType="end"/>
      </w:r>
      <w:bookmarkEnd w:id="987"/>
      <w:r w:rsidRPr="00D725C0">
        <w:rPr>
          <w:rFonts w:ascii="Calibri" w:hAnsi="Calibri"/>
          <w:b/>
          <w:bCs/>
          <w:szCs w:val="18"/>
        </w:rPr>
        <w:t xml:space="preserve">: Shapes of net demand on spring, summer, and </w:t>
      </w:r>
      <w:r w:rsidR="00AE5F57">
        <w:rPr>
          <w:rFonts w:ascii="Calibri" w:hAnsi="Calibri"/>
          <w:b/>
          <w:bCs/>
          <w:szCs w:val="18"/>
        </w:rPr>
        <w:t xml:space="preserve">winter </w:t>
      </w:r>
      <w:r w:rsidRPr="00D725C0">
        <w:rPr>
          <w:rFonts w:ascii="Calibri" w:hAnsi="Calibri"/>
          <w:b/>
          <w:bCs/>
          <w:szCs w:val="18"/>
        </w:rPr>
        <w:t xml:space="preserve">peak days for varying levels of </w:t>
      </w:r>
      <w:r w:rsidR="00505568">
        <w:rPr>
          <w:rFonts w:ascii="Calibri" w:hAnsi="Calibri"/>
          <w:b/>
          <w:bCs/>
          <w:szCs w:val="18"/>
        </w:rPr>
        <w:t xml:space="preserve">all </w:t>
      </w:r>
      <w:r w:rsidRPr="00D725C0">
        <w:rPr>
          <w:rFonts w:ascii="Calibri" w:hAnsi="Calibri"/>
          <w:b/>
          <w:bCs/>
          <w:szCs w:val="18"/>
        </w:rPr>
        <w:t>PV.</w:t>
      </w:r>
      <w:r w:rsidR="00FE223F">
        <w:rPr>
          <w:rFonts w:ascii="Calibri" w:hAnsi="Calibri"/>
          <w:b/>
          <w:bCs/>
          <w:szCs w:val="18"/>
        </w:rPr>
        <w:t xml:space="preserve"> </w:t>
      </w:r>
    </w:p>
    <w:p w14:paraId="6A5A5910" w14:textId="27E6E32D" w:rsidR="00D725C0" w:rsidRPr="00B31FEF" w:rsidRDefault="00670F03" w:rsidP="001659EB">
      <w:pPr>
        <w:spacing w:line="240" w:lineRule="auto"/>
        <w:ind w:left="360"/>
        <w:rPr>
          <w:rFonts w:asciiTheme="minorHAnsi" w:hAnsiTheme="minorHAnsi"/>
          <w:sz w:val="16"/>
          <w:szCs w:val="16"/>
        </w:rPr>
      </w:pPr>
      <w:r w:rsidRPr="001659EB">
        <w:rPr>
          <w:rFonts w:asciiTheme="minorHAnsi" w:hAnsiTheme="minorHAnsi"/>
          <w:b/>
          <w:sz w:val="16"/>
          <w:szCs w:val="16"/>
        </w:rPr>
        <w:t xml:space="preserve">Note: </w:t>
      </w:r>
      <w:r w:rsidRPr="001659EB">
        <w:rPr>
          <w:rFonts w:asciiTheme="minorHAnsi" w:hAnsiTheme="minorHAnsi"/>
          <w:i/>
          <w:sz w:val="16"/>
          <w:szCs w:val="16"/>
        </w:rPr>
        <w:t>Hour ending</w:t>
      </w:r>
      <w:r w:rsidRPr="001659EB">
        <w:rPr>
          <w:rFonts w:asciiTheme="minorHAnsi" w:hAnsiTheme="minorHAnsi"/>
          <w:sz w:val="16"/>
          <w:szCs w:val="16"/>
        </w:rPr>
        <w:t xml:space="preserve"> (HE) denotes the preceding hourly time period. For example, 12:01 a.m. to 1:00 a.m. is hour ending 1.</w:t>
      </w:r>
      <w:r w:rsidR="001659EB">
        <w:rPr>
          <w:rFonts w:asciiTheme="minorHAnsi" w:hAnsiTheme="minorHAnsi"/>
          <w:sz w:val="16"/>
          <w:szCs w:val="16"/>
        </w:rPr>
        <w:br/>
      </w:r>
      <w:r w:rsidRPr="001659EB">
        <w:rPr>
          <w:rFonts w:asciiTheme="minorHAnsi" w:hAnsiTheme="minorHAnsi"/>
          <w:sz w:val="16"/>
          <w:szCs w:val="16"/>
        </w:rPr>
        <w:t>Hour en</w:t>
      </w:r>
      <w:r w:rsidRPr="00B31FEF">
        <w:rPr>
          <w:rFonts w:asciiTheme="minorHAnsi" w:hAnsiTheme="minorHAnsi"/>
          <w:sz w:val="16"/>
          <w:szCs w:val="16"/>
        </w:rPr>
        <w:t>ding 6:00 p.m. is the time period from 5:01 p.m. to 6:00 p.m.</w:t>
      </w:r>
      <w:bookmarkEnd w:id="988"/>
    </w:p>
    <w:p w14:paraId="27179BFF" w14:textId="77777777" w:rsidR="00E523AA" w:rsidRDefault="00D725C0" w:rsidP="0090202A">
      <w:r w:rsidRPr="00D725C0">
        <w:t xml:space="preserve">While less subject to change than PV, wind resource outputs also vary with the weather. Extraordinarily high </w:t>
      </w:r>
      <w:r w:rsidR="00AE5F57">
        <w:t xml:space="preserve">or </w:t>
      </w:r>
      <w:r w:rsidR="0071693D">
        <w:t>l</w:t>
      </w:r>
      <w:r w:rsidRPr="00D725C0">
        <w:t xml:space="preserve">ow wind speeds can result in reducing wind turbine outputs to </w:t>
      </w:r>
      <w:r w:rsidR="00F300A2">
        <w:t>0 MW</w:t>
      </w:r>
      <w:r w:rsidRPr="00E523AA">
        <w:t xml:space="preserve">. The </w:t>
      </w:r>
      <w:r w:rsidR="00771DB7" w:rsidRPr="00E523AA">
        <w:t>net</w:t>
      </w:r>
      <w:r w:rsidR="00E523AA">
        <w:t xml:space="preserve"> </w:t>
      </w:r>
      <w:r w:rsidR="00FC307F" w:rsidRPr="00E523AA">
        <w:t>variability</w:t>
      </w:r>
      <w:r w:rsidRPr="00E523AA">
        <w:t xml:space="preserve"> in </w:t>
      </w:r>
      <w:r w:rsidR="00771DB7" w:rsidRPr="00E523AA">
        <w:t xml:space="preserve">gross </w:t>
      </w:r>
      <w:r w:rsidR="00771DB7" w:rsidRPr="00E523AA">
        <w:lastRenderedPageBreak/>
        <w:t>demand,</w:t>
      </w:r>
      <w:r w:rsidRPr="00E523AA">
        <w:t xml:space="preserve"> demand response</w:t>
      </w:r>
      <w:r w:rsidR="00771DB7" w:rsidRPr="00E523AA">
        <w:t xml:space="preserve">, </w:t>
      </w:r>
      <w:r w:rsidRPr="00D725C0">
        <w:t>PV</w:t>
      </w:r>
      <w:r w:rsidR="00771DB7">
        <w:t xml:space="preserve"> output,</w:t>
      </w:r>
      <w:r w:rsidRPr="00D725C0">
        <w:t xml:space="preserve"> and wind resource</w:t>
      </w:r>
      <w:r w:rsidR="00E523AA">
        <w:t xml:space="preserve"> output</w:t>
      </w:r>
      <w:r w:rsidRPr="00D725C0">
        <w:t xml:space="preserve"> </w:t>
      </w:r>
      <w:r w:rsidR="00FC307F">
        <w:t xml:space="preserve">could </w:t>
      </w:r>
      <w:r w:rsidR="0071693D">
        <w:t xml:space="preserve">create issues for </w:t>
      </w:r>
      <w:r w:rsidR="00E523AA">
        <w:t xml:space="preserve">meeting system requirements for </w:t>
      </w:r>
      <w:r w:rsidR="0071693D">
        <w:t xml:space="preserve">ancillary services of </w:t>
      </w:r>
      <w:r w:rsidR="00FC307F">
        <w:t xml:space="preserve">ramping, regulation, reserves, and voltage control. Gas-fired generating units may be limited in providing these </w:t>
      </w:r>
      <w:r w:rsidR="00FC307F" w:rsidRPr="00E523AA">
        <w:t xml:space="preserve">services because scheduling natural gas fuel supplies can lack </w:t>
      </w:r>
      <w:r w:rsidRPr="00E523AA">
        <w:t>flexibility</w:t>
      </w:r>
      <w:r w:rsidRPr="00407D7F">
        <w:t>. T</w:t>
      </w:r>
      <w:r w:rsidRPr="00D725C0">
        <w:t>he overall decreased operation of fossil fuel generators</w:t>
      </w:r>
      <w:r w:rsidR="00FC307F">
        <w:t xml:space="preserve"> </w:t>
      </w:r>
      <w:r w:rsidRPr="00D725C0">
        <w:t xml:space="preserve">calls for new ways </w:t>
      </w:r>
      <w:r w:rsidR="00FC307F">
        <w:t>to</w:t>
      </w:r>
      <w:r w:rsidRPr="00D725C0">
        <w:t xml:space="preserve"> provid</w:t>
      </w:r>
      <w:r w:rsidR="00FC307F">
        <w:t>e</w:t>
      </w:r>
      <w:r w:rsidRPr="00D725C0">
        <w:t xml:space="preserve"> vital ancillary services. </w:t>
      </w:r>
      <w:r w:rsidR="00844CD2" w:rsidRPr="00D725C0">
        <w:t xml:space="preserve">The variations in </w:t>
      </w:r>
      <w:r w:rsidR="00844CD2">
        <w:t>system strengt</w:t>
      </w:r>
      <w:r w:rsidR="00844CD2" w:rsidRPr="00E16F3E">
        <w:t xml:space="preserve">h </w:t>
      </w:r>
      <w:r w:rsidR="00844CD2">
        <w:t>(short-cir</w:t>
      </w:r>
      <w:r w:rsidR="00844CD2" w:rsidRPr="00E523AA">
        <w:t>cuit levels</w:t>
      </w:r>
      <w:r w:rsidR="00E523AA" w:rsidRPr="00E523AA">
        <w:t>)</w:t>
      </w:r>
      <w:r w:rsidR="00844CD2" w:rsidRPr="00E523AA">
        <w:t xml:space="preserve">, especially in areas and during periods with fewer synchronous </w:t>
      </w:r>
      <w:r w:rsidR="00E523AA" w:rsidRPr="00E523AA">
        <w:t>machines</w:t>
      </w:r>
      <w:r w:rsidR="00844CD2" w:rsidRPr="00E523AA">
        <w:t xml:space="preserve"> operating on the system, </w:t>
      </w:r>
      <w:r w:rsidR="00E523AA" w:rsidRPr="00E523AA">
        <w:t>hi</w:t>
      </w:r>
      <w:r w:rsidR="00844CD2" w:rsidRPr="00E523AA">
        <w:t>ghlight</w:t>
      </w:r>
      <w:r w:rsidR="00844CD2" w:rsidRPr="00407D7F">
        <w:t xml:space="preserve"> the ne</w:t>
      </w:r>
      <w:r w:rsidR="00844CD2" w:rsidRPr="00D725C0">
        <w:t>ed for system-protection upgrades (called adaptive protection) and other capital improvements</w:t>
      </w:r>
      <w:r w:rsidR="00C20020">
        <w:t xml:space="preserve">. These improvements </w:t>
      </w:r>
      <w:r w:rsidR="00E523AA">
        <w:t>includ</w:t>
      </w:r>
      <w:r w:rsidR="00C20020">
        <w:t>e those</w:t>
      </w:r>
      <w:r w:rsidR="00844CD2" w:rsidRPr="00D725C0">
        <w:t xml:space="preserve"> that allow for two-way power flows on the distribution system, an operating mode for which it was not originally designed</w:t>
      </w:r>
      <w:r w:rsidR="00844CD2">
        <w:t xml:space="preserve">. </w:t>
      </w:r>
    </w:p>
    <w:p w14:paraId="4FC84FAA" w14:textId="08E8B125" w:rsidR="000D1744" w:rsidRPr="00E523AA" w:rsidRDefault="00DD0B31" w:rsidP="0090202A">
      <w:r w:rsidRPr="00E523AA">
        <w:t xml:space="preserve">The anticipated increase in demand due to </w:t>
      </w:r>
      <w:r w:rsidR="0090202A" w:rsidRPr="00E523AA">
        <w:t xml:space="preserve">the </w:t>
      </w:r>
      <w:r w:rsidRPr="00E523AA">
        <w:t xml:space="preserve">electrification of the transportation and other sectors (see Section </w:t>
      </w:r>
      <w:r w:rsidRPr="00E523AA">
        <w:fldChar w:fldCharType="begin"/>
      </w:r>
      <w:r w:rsidRPr="00E523AA">
        <w:instrText xml:space="preserve"> REF _Ref12125800 \r \h </w:instrText>
      </w:r>
      <w:r w:rsidR="0090202A" w:rsidRPr="00E523AA">
        <w:instrText xml:space="preserve"> \* MERGEFORMAT </w:instrText>
      </w:r>
      <w:r w:rsidRPr="00E523AA">
        <w:fldChar w:fldCharType="separate"/>
      </w:r>
      <w:r w:rsidR="005D0B73">
        <w:t>8.2.2</w:t>
      </w:r>
      <w:r w:rsidRPr="00E523AA">
        <w:fldChar w:fldCharType="end"/>
      </w:r>
      <w:r w:rsidRPr="00E523AA">
        <w:t xml:space="preserve">) and the state policy preferences for increasing renewable resources, including DERs, to meet the growing demand exacerbates the issues of observability, controllability, and cybersecurity. </w:t>
      </w:r>
      <w:r w:rsidR="0090202A" w:rsidRPr="00E523AA">
        <w:t xml:space="preserve">As these electrification initiatives take hold, more and more </w:t>
      </w:r>
      <w:r w:rsidR="00CA45DB" w:rsidRPr="00E523AA">
        <w:t xml:space="preserve">consumers (i.e., prosumers) </w:t>
      </w:r>
      <w:r w:rsidR="0090202A" w:rsidRPr="00E523AA">
        <w:t>are anticipated to respond to price signals and other incentives or disincentives</w:t>
      </w:r>
      <w:r w:rsidR="00E523AA" w:rsidRPr="00E523AA">
        <w:t>, especially</w:t>
      </w:r>
      <w:r w:rsidR="0090202A" w:rsidRPr="00E523AA">
        <w:t xml:space="preserve"> at the retail level</w:t>
      </w:r>
      <w:r w:rsidR="00E523AA">
        <w:t>,</w:t>
      </w:r>
      <w:r w:rsidR="0090202A" w:rsidRPr="00E523AA">
        <w:t xml:space="preserve"> with ever-varying levels of consumption.</w:t>
      </w:r>
    </w:p>
    <w:p w14:paraId="52A51847" w14:textId="77777777" w:rsidR="00D725C0" w:rsidRPr="00D725C0" w:rsidRDefault="00D725C0" w:rsidP="00947CFC">
      <w:pPr>
        <w:pStyle w:val="Heading2"/>
        <w:rPr>
          <w:rFonts w:eastAsia="Times New Roman"/>
        </w:rPr>
      </w:pPr>
      <w:bookmarkStart w:id="989" w:name="_Ref12373167"/>
      <w:bookmarkStart w:id="990" w:name="_Toc12795251"/>
      <w:bookmarkStart w:id="991" w:name="_Ref17192468"/>
      <w:r w:rsidRPr="00D725C0">
        <w:rPr>
          <w:rFonts w:eastAsia="Times New Roman"/>
        </w:rPr>
        <w:t>ISO Analyses of the Economic Performance of the System and Other Studies</w:t>
      </w:r>
      <w:bookmarkEnd w:id="989"/>
      <w:bookmarkEnd w:id="990"/>
      <w:bookmarkEnd w:id="991"/>
    </w:p>
    <w:p w14:paraId="22A14EBC" w14:textId="5A7505CB" w:rsidR="00D725C0" w:rsidRPr="00D725C0" w:rsidRDefault="00D725C0" w:rsidP="00D725C0">
      <w:r w:rsidRPr="00D725C0">
        <w:t xml:space="preserve">Economic studies provide metrics depicting various system-expansion scenarios and the advantages and </w:t>
      </w:r>
      <w:r w:rsidR="00AE5F57">
        <w:t>challenges</w:t>
      </w:r>
      <w:r w:rsidRPr="00D725C0">
        <w:t xml:space="preserve"> associated with selected possible future scenarios</w:t>
      </w:r>
      <w:r w:rsidR="007576D3">
        <w:t xml:space="preserve"> based on stakeholder assumptions</w:t>
      </w:r>
      <w:r w:rsidRPr="00D725C0">
        <w:t>. These scenari</w:t>
      </w:r>
      <w:r w:rsidRPr="007576D3">
        <w:t xml:space="preserve">os </w:t>
      </w:r>
      <w:r w:rsidR="007B710C" w:rsidRPr="007576D3">
        <w:t xml:space="preserve">generally </w:t>
      </w:r>
      <w:r w:rsidRPr="007576D3">
        <w:t>a</w:t>
      </w:r>
      <w:r w:rsidRPr="00B31FEF">
        <w:t>s</w:t>
      </w:r>
      <w:r w:rsidRPr="00D725C0">
        <w:t>sess system performance at a higher</w:t>
      </w:r>
      <w:r w:rsidR="007E7C76">
        <w:t>, less-detailed</w:t>
      </w:r>
      <w:r w:rsidRPr="00D725C0">
        <w:t xml:space="preserve"> level, such as possible additional imports from Canada, resource retirements, and resource additions</w:t>
      </w:r>
      <w:r w:rsidR="007B710C">
        <w:t>,</w:t>
      </w:r>
      <w:r w:rsidRPr="00D725C0">
        <w:t xml:space="preserve"> but </w:t>
      </w:r>
      <w:r w:rsidR="007B710C">
        <w:t xml:space="preserve">they </w:t>
      </w:r>
      <w:r w:rsidRPr="00D725C0">
        <w:t>do not assess the performance of individual asset owners</w:t>
      </w:r>
      <w:r w:rsidR="00AE5F57">
        <w:t xml:space="preserve"> or provide detailed transmission system plans</w:t>
      </w:r>
      <w:r w:rsidRPr="00D725C0">
        <w:t>. The key metrics developed include estimates of production costs, transmission congestion, electric energy costs for New England consumers, and a number of others. These metrics suggest the most economical locations for resource development and the least economical locations for resource retirements. The economic studies also framed many of the key issues that New England would need to address for the large-scale development of variable energy resources</w:t>
      </w:r>
      <w:r w:rsidR="002B396B">
        <w:t xml:space="preserve">. </w:t>
      </w:r>
    </w:p>
    <w:p w14:paraId="21564E34" w14:textId="77777777" w:rsidR="00D725C0" w:rsidRPr="00D725C0" w:rsidRDefault="00D725C0" w:rsidP="00F5683D">
      <w:pPr>
        <w:pStyle w:val="Heading3"/>
      </w:pPr>
      <w:bookmarkStart w:id="992" w:name="_Toc12795252"/>
      <w:r w:rsidRPr="00D725C0">
        <w:t>2016 Economic Study—Phase I</w:t>
      </w:r>
      <w:bookmarkEnd w:id="992"/>
    </w:p>
    <w:p w14:paraId="0702D472" w14:textId="77777777" w:rsidR="00D725C0" w:rsidRPr="00D725C0" w:rsidRDefault="00D725C0" w:rsidP="00D725C0">
      <w:r w:rsidRPr="00D725C0">
        <w:t xml:space="preserve">Phase I of the 2016 ISO New England Economic Study was conducted at the request of the New England Power Pool. The study, </w:t>
      </w:r>
      <w:r w:rsidRPr="00D725C0">
        <w:rPr>
          <w:i/>
        </w:rPr>
        <w:t>2016 NEPOOL Scenario Analysis—Implications of Public Policy on ISO New England Market Design, System Reliability and Operability, Resource Costs and Revenues, and Emissions</w:t>
      </w:r>
      <w:r w:rsidRPr="00D725C0">
        <w:t>, examined six resource-expansion scenarios of the regional power system and provides information about the potential effects of these different future changes on resource adequacy, operating and capital costs, and options for meeting environmental policy goals.</w:t>
      </w:r>
      <w:r w:rsidRPr="00D725C0">
        <w:rPr>
          <w:vertAlign w:val="superscript"/>
        </w:rPr>
        <w:footnoteReference w:id="323"/>
      </w:r>
      <w:r w:rsidRPr="00D725C0">
        <w:t xml:space="preserve"> The results of the study were presented such that stakeholders can make their own assumptions on capital costs for new resources and transmission development costs, which were considerably higher for developing resources further from the Hub. Some of the major results and conclusions relate</w:t>
      </w:r>
      <w:r w:rsidR="005F7AF9">
        <w:t>d</w:t>
      </w:r>
      <w:r w:rsidRPr="00D725C0">
        <w:t xml:space="preserve"> to grid transformation are as follows:</w:t>
      </w:r>
    </w:p>
    <w:p w14:paraId="129CCBB2" w14:textId="1EECD31A" w:rsidR="00D725C0" w:rsidRPr="003846D5" w:rsidRDefault="00D725C0" w:rsidP="00D725C0">
      <w:pPr>
        <w:numPr>
          <w:ilvl w:val="0"/>
          <w:numId w:val="85"/>
        </w:numPr>
        <w:adjustRightInd w:val="0"/>
        <w:spacing w:after="120"/>
        <w:textAlignment w:val="baseline"/>
      </w:pPr>
      <w:r w:rsidRPr="00D725C0">
        <w:t xml:space="preserve">Transitioning New England to a system with decreasing amounts of traditional resources (e.g., coal, oil, nuclear) and increasing amounts of renewable resources will prove physically and </w:t>
      </w:r>
      <w:r w:rsidRPr="00D725C0">
        <w:lastRenderedPageBreak/>
        <w:t>economically challenging.</w:t>
      </w:r>
      <w:r w:rsidRPr="00D725C0">
        <w:rPr>
          <w:vertAlign w:val="superscript"/>
        </w:rPr>
        <w:footnoteReference w:id="324"/>
      </w:r>
      <w:r w:rsidRPr="00D725C0">
        <w:t xml:space="preserve"> </w:t>
      </w:r>
      <w:r w:rsidR="007B710C">
        <w:t>The l</w:t>
      </w:r>
      <w:r w:rsidRPr="00D725C0">
        <w:t xml:space="preserve">arge-scale development of renewable resources reduces energy prices, which affects the economic viability of resources. Observability, controllability, </w:t>
      </w:r>
      <w:r w:rsidRPr="003846D5">
        <w:t xml:space="preserve">and interconnection performance are key technical issues that must be addressed for distributed resources and the large-scale development of wind generation resources. </w:t>
      </w:r>
    </w:p>
    <w:p w14:paraId="243F1A92" w14:textId="0818C46B" w:rsidR="00D725C0" w:rsidRPr="003846D5" w:rsidRDefault="00D725C0" w:rsidP="00D725C0">
      <w:pPr>
        <w:numPr>
          <w:ilvl w:val="0"/>
          <w:numId w:val="85"/>
        </w:numPr>
        <w:adjustRightInd w:val="0"/>
        <w:textAlignment w:val="baseline"/>
      </w:pPr>
      <w:r w:rsidRPr="003846D5">
        <w:t>Efficient storage technologies, such as pumped storage and distributed storage, and changes in tie schedules can provide systemwide flexibility and facilitate the integration of variable resources.</w:t>
      </w:r>
      <w:r w:rsidR="002725DA" w:rsidRPr="003846D5">
        <w:t xml:space="preserve"> </w:t>
      </w:r>
      <w:r w:rsidR="003846D5">
        <w:t>W</w:t>
      </w:r>
      <w:r w:rsidR="003F2232" w:rsidRPr="003846D5">
        <w:t>ell-sized</w:t>
      </w:r>
      <w:r w:rsidR="000E3996" w:rsidRPr="003846D5">
        <w:t xml:space="preserve"> </w:t>
      </w:r>
      <w:r w:rsidRPr="003846D5">
        <w:t>and place</w:t>
      </w:r>
      <w:r w:rsidR="000E3996" w:rsidRPr="003846D5">
        <w:t>d</w:t>
      </w:r>
      <w:r w:rsidRPr="003846D5">
        <w:t xml:space="preserve"> resources </w:t>
      </w:r>
      <w:r w:rsidR="002725DA" w:rsidRPr="003846D5">
        <w:t xml:space="preserve">of various types </w:t>
      </w:r>
      <w:r w:rsidRPr="003846D5">
        <w:t xml:space="preserve">show the potential for relieving congestion and </w:t>
      </w:r>
      <w:r w:rsidR="007A7B85" w:rsidRPr="003846D5">
        <w:t>meeting</w:t>
      </w:r>
      <w:r w:rsidRPr="003846D5">
        <w:t xml:space="preserve"> requirements for regulation, ramping, and reserves. Increasing the development of energy-storage technologies used for energy-price arbitrage makes them less economic because storage equalizes LMPs across all hours.</w:t>
      </w:r>
    </w:p>
    <w:p w14:paraId="23EB21A4" w14:textId="77777777" w:rsidR="00D725C0" w:rsidRPr="00D725C0" w:rsidRDefault="00D725C0" w:rsidP="00D725C0">
      <w:pPr>
        <w:numPr>
          <w:ilvl w:val="0"/>
          <w:numId w:val="85"/>
        </w:numPr>
        <w:adjustRightInd w:val="0"/>
        <w:spacing w:after="120"/>
        <w:textAlignment w:val="baseline"/>
      </w:pPr>
      <w:r w:rsidRPr="00D725C0">
        <w:t>The large-scale development of inverter-based technologies will require the addition of special controls on power system resources and new transmission equipment, especially to compensate for the loss of traditional resources that provide inertia and short-circuit availability. The needs are exacerbated by the changing nature of demand, especially the large-scale use of energy-efficiency measures, which further increases the complexity of operating and planning the system by increasing exposure to light</w:t>
      </w:r>
      <w:r w:rsidR="00267FB3">
        <w:t xml:space="preserve"> </w:t>
      </w:r>
      <w:r w:rsidRPr="00D725C0">
        <w:t>load conditions.</w:t>
      </w:r>
      <w:r w:rsidRPr="00D725C0">
        <w:rPr>
          <w:vertAlign w:val="superscript"/>
        </w:rPr>
        <w:footnoteReference w:id="325"/>
      </w:r>
    </w:p>
    <w:p w14:paraId="0E7658D0" w14:textId="77777777" w:rsidR="00D725C0" w:rsidRPr="00D725C0" w:rsidRDefault="00D725C0" w:rsidP="00D725C0">
      <w:pPr>
        <w:numPr>
          <w:ilvl w:val="0"/>
          <w:numId w:val="85"/>
        </w:numPr>
        <w:adjustRightInd w:val="0"/>
        <w:textAlignment w:val="baseline"/>
      </w:pPr>
      <w:r w:rsidRPr="00D725C0">
        <w:t>Advanced software will facilitate future analysis of the system, especially to conduct probabilistic simulations that consider variable energy resource production.</w:t>
      </w:r>
    </w:p>
    <w:p w14:paraId="6D39DAEF" w14:textId="77777777" w:rsidR="00D725C0" w:rsidRPr="00D725C0" w:rsidRDefault="00D725C0" w:rsidP="00F5683D">
      <w:pPr>
        <w:pStyle w:val="Heading3"/>
      </w:pPr>
      <w:bookmarkStart w:id="993" w:name="_Toc12795253"/>
      <w:bookmarkStart w:id="994" w:name="_Ref16682650"/>
      <w:r w:rsidRPr="00D725C0">
        <w:t>2016 Economic Study—Phase II</w:t>
      </w:r>
      <w:bookmarkEnd w:id="993"/>
      <w:bookmarkEnd w:id="994"/>
    </w:p>
    <w:p w14:paraId="5F90E594" w14:textId="77777777" w:rsidR="00D725C0" w:rsidRPr="00D725C0" w:rsidRDefault="00D725C0" w:rsidP="00D725C0">
      <w:r w:rsidRPr="00D725C0">
        <w:t xml:space="preserve">Supplemental studies of the Phase I NEPOOL Scenario Analysis assessed several market and operational issues. For each of the Phase I scenarios, the Phase II Scenario Analysis examined the following: </w:t>
      </w:r>
    </w:p>
    <w:p w14:paraId="54C44830" w14:textId="77777777" w:rsidR="00D725C0" w:rsidRPr="00D725C0" w:rsidRDefault="00D725C0" w:rsidP="00D725C0">
      <w:pPr>
        <w:numPr>
          <w:ilvl w:val="0"/>
          <w:numId w:val="88"/>
        </w:numPr>
        <w:spacing w:after="120"/>
        <w:rPr>
          <w:rFonts w:eastAsia="Times New Roman"/>
          <w:szCs w:val="24"/>
        </w:rPr>
      </w:pPr>
      <w:r w:rsidRPr="00D725C0">
        <w:rPr>
          <w:rFonts w:eastAsia="Times New Roman"/>
          <w:szCs w:val="24"/>
        </w:rPr>
        <w:t>Representative Forward Capacity Auction clearing prices</w:t>
      </w:r>
    </w:p>
    <w:p w14:paraId="09124916" w14:textId="77777777" w:rsidR="00D725C0" w:rsidRPr="00D725C0" w:rsidRDefault="00D725C0" w:rsidP="00D725C0">
      <w:pPr>
        <w:numPr>
          <w:ilvl w:val="0"/>
          <w:numId w:val="88"/>
        </w:numPr>
        <w:spacing w:after="120"/>
        <w:rPr>
          <w:rFonts w:eastAsia="Times New Roman"/>
          <w:szCs w:val="24"/>
        </w:rPr>
      </w:pPr>
      <w:r w:rsidRPr="00D725C0">
        <w:rPr>
          <w:rFonts w:eastAsia="Times New Roman"/>
          <w:szCs w:val="24"/>
        </w:rPr>
        <w:t>The ability of the natural gas system to supply fuel to generators</w:t>
      </w:r>
    </w:p>
    <w:p w14:paraId="1D8A76D5" w14:textId="77777777" w:rsidR="00D725C0" w:rsidRPr="00407D7F" w:rsidRDefault="00D725C0" w:rsidP="00D725C0">
      <w:pPr>
        <w:numPr>
          <w:ilvl w:val="0"/>
          <w:numId w:val="88"/>
        </w:numPr>
        <w:rPr>
          <w:rFonts w:eastAsia="Times New Roman"/>
          <w:szCs w:val="24"/>
        </w:rPr>
      </w:pPr>
      <w:r w:rsidRPr="00D725C0">
        <w:rPr>
          <w:rFonts w:eastAsia="Times New Roman"/>
          <w:szCs w:val="24"/>
        </w:rPr>
        <w:t>Changes in the amount</w:t>
      </w:r>
      <w:r w:rsidRPr="00407D7F">
        <w:rPr>
          <w:rFonts w:eastAsia="Times New Roman"/>
          <w:szCs w:val="24"/>
        </w:rPr>
        <w:t xml:space="preserve">s of </w:t>
      </w:r>
      <w:r w:rsidRPr="00F300A2">
        <w:rPr>
          <w:rFonts w:eastAsia="Times New Roman"/>
          <w:szCs w:val="24"/>
        </w:rPr>
        <w:t>regulation, ramping, and reserves</w:t>
      </w:r>
    </w:p>
    <w:p w14:paraId="63FD98CD" w14:textId="77777777" w:rsidR="00D725C0" w:rsidRPr="00D725C0" w:rsidRDefault="00D725C0" w:rsidP="00D725C0">
      <w:r w:rsidRPr="00D725C0">
        <w:t>The FCA analysis considered energy market revenues from the Phase I simulations and then determined FCA clearing prices and revenues consistent with market rules. Because resources could retire and develop in the intervening years, the FCA pricing results do not capture the effect of transitions in the resource mix. All resources in the scenarios were considered “existing resources,” and the results provide relative FCA clearing prices across scenarios rather than absolute FCA prices.</w:t>
      </w:r>
      <w:r w:rsidRPr="00D725C0">
        <w:rPr>
          <w:vertAlign w:val="superscript"/>
        </w:rPr>
        <w:footnoteReference w:id="326"/>
      </w:r>
    </w:p>
    <w:p w14:paraId="12DBDEFF" w14:textId="77777777" w:rsidR="00D725C0" w:rsidRPr="00D725C0" w:rsidRDefault="00D725C0" w:rsidP="00D725C0">
      <w:pPr>
        <w:rPr>
          <w:rFonts w:eastAsia="Times New Roman"/>
          <w:szCs w:val="24"/>
        </w:rPr>
      </w:pPr>
      <w:r w:rsidRPr="00D725C0">
        <w:rPr>
          <w:rFonts w:eastAsia="Times New Roman"/>
          <w:szCs w:val="24"/>
        </w:rPr>
        <w:t xml:space="preserve">All scenarios showed the need for additional revenue streams outside the wholesale electricity markets for capacity and energy. Scenarios that added renewables resulted in the greatest revenue shortfalls for </w:t>
      </w:r>
      <w:r w:rsidRPr="00D725C0">
        <w:rPr>
          <w:rFonts w:eastAsia="Times New Roman"/>
          <w:szCs w:val="24"/>
        </w:rPr>
        <w:lastRenderedPageBreak/>
        <w:t>all resource types given the higher cost of new entry for renewables and depressed energy market revenues.</w:t>
      </w:r>
    </w:p>
    <w:p w14:paraId="18068D0B" w14:textId="77777777" w:rsidR="00D725C0" w:rsidRPr="00D725C0" w:rsidRDefault="00D725C0" w:rsidP="00D725C0">
      <w:r w:rsidRPr="00D725C0">
        <w:t xml:space="preserve">The second Phase II study examined natural gas system deliverability issues by considering six scenarios for natural gas supply to the region compared with the seasonal fuel requirements of natural-gas-fired generation, recognizing that </w:t>
      </w:r>
      <w:r w:rsidRPr="00407D7F">
        <w:t>the loc</w:t>
      </w:r>
      <w:r w:rsidRPr="00E523AA">
        <w:t xml:space="preserve">al </w:t>
      </w:r>
      <w:r w:rsidR="00267FB3" w:rsidRPr="00E523AA">
        <w:t xml:space="preserve">gas </w:t>
      </w:r>
      <w:r w:rsidRPr="00E523AA">
        <w:t>distr</w:t>
      </w:r>
      <w:r w:rsidRPr="00407D7F">
        <w:t>ibution company loa</w:t>
      </w:r>
      <w:r w:rsidRPr="00D725C0">
        <w:t>ds must be served first.</w:t>
      </w:r>
      <w:r w:rsidR="001F4447">
        <w:rPr>
          <w:rStyle w:val="FootnoteReference"/>
        </w:rPr>
        <w:footnoteReference w:id="327"/>
      </w:r>
      <w:r w:rsidRPr="00D725C0">
        <w:t xml:space="preserve"> The study concluded the region will need to rely on the large-scale addition of energy efficiency and resources that use fuels other than natural gas, such as renewable resources, to supplement the natural gas supply to meet electric </w:t>
      </w:r>
      <w:r w:rsidR="00267FB3">
        <w:t xml:space="preserve">power </w:t>
      </w:r>
      <w:r w:rsidRPr="00D725C0">
        <w:t xml:space="preserve">system energy needs during the winter operating season. </w:t>
      </w:r>
    </w:p>
    <w:p w14:paraId="4E5D9F82" w14:textId="77777777" w:rsidR="00D725C0" w:rsidRPr="00D725C0" w:rsidRDefault="00D725C0" w:rsidP="00D725C0">
      <w:r w:rsidRPr="00D725C0">
        <w:t>The third Phase II study examined intraho</w:t>
      </w:r>
      <w:r w:rsidRPr="00407D7F">
        <w:t>ur ramping, regulation, and reserve requirements of the system for the six scenarios. The requirements were quantified through simulati</w:t>
      </w:r>
      <w:r w:rsidRPr="00267FB3">
        <w:t>o</w:t>
      </w:r>
      <w:r w:rsidRPr="00D725C0">
        <w:t>n results of each of the scenarios with higher levels of variable energy resources.</w:t>
      </w:r>
      <w:r w:rsidRPr="00D725C0">
        <w:rPr>
          <w:vertAlign w:val="superscript"/>
        </w:rPr>
        <w:footnoteReference w:id="328"/>
      </w:r>
      <w:r w:rsidRPr="00D725C0">
        <w:t xml:space="preserve"> The results show the following:</w:t>
      </w:r>
    </w:p>
    <w:p w14:paraId="78BD271F" w14:textId="77777777" w:rsidR="00D725C0" w:rsidRPr="00D725C0" w:rsidRDefault="00D725C0" w:rsidP="00D725C0">
      <w:pPr>
        <w:numPr>
          <w:ilvl w:val="0"/>
          <w:numId w:val="739"/>
        </w:numPr>
        <w:spacing w:after="120"/>
        <w:rPr>
          <w:rFonts w:eastAsia="Times New Roman"/>
          <w:szCs w:val="24"/>
        </w:rPr>
      </w:pPr>
      <w:r w:rsidRPr="00D725C0">
        <w:rPr>
          <w:rFonts w:eastAsia="Times New Roman"/>
          <w:szCs w:val="24"/>
        </w:rPr>
        <w:t>Beyond the load-following a</w:t>
      </w:r>
      <w:r w:rsidRPr="00407D7F">
        <w:rPr>
          <w:rFonts w:eastAsia="Times New Roman"/>
          <w:szCs w:val="24"/>
        </w:rPr>
        <w:t>nd ramping res</w:t>
      </w:r>
      <w:r w:rsidRPr="00D725C0">
        <w:rPr>
          <w:rFonts w:eastAsia="Times New Roman"/>
          <w:szCs w:val="24"/>
        </w:rPr>
        <w:t>erves provided by dispatchable resources, curtailmen</w:t>
      </w:r>
      <w:r w:rsidRPr="00A91001">
        <w:rPr>
          <w:rFonts w:eastAsia="Times New Roman"/>
          <w:szCs w:val="24"/>
        </w:rPr>
        <w:t>t of semidispatchable resources becomes an integral part of balancing performance for the study scenarios.</w:t>
      </w:r>
      <w:r w:rsidRPr="00A91001">
        <w:rPr>
          <w:rFonts w:eastAsia="Times New Roman"/>
          <w:szCs w:val="24"/>
          <w:vertAlign w:val="superscript"/>
        </w:rPr>
        <w:footnoteReference w:id="329"/>
      </w:r>
      <w:r w:rsidRPr="00D725C0">
        <w:rPr>
          <w:rFonts w:eastAsia="Times New Roman"/>
          <w:szCs w:val="24"/>
        </w:rPr>
        <w:t xml:space="preserve"> </w:t>
      </w:r>
    </w:p>
    <w:p w14:paraId="0B92DBDB" w14:textId="77777777" w:rsidR="00D725C0" w:rsidRPr="00D725C0" w:rsidRDefault="00D725C0" w:rsidP="00D725C0">
      <w:pPr>
        <w:numPr>
          <w:ilvl w:val="0"/>
          <w:numId w:val="739"/>
        </w:numPr>
        <w:spacing w:after="120"/>
        <w:rPr>
          <w:rFonts w:eastAsia="Times New Roman"/>
          <w:szCs w:val="24"/>
        </w:rPr>
      </w:pPr>
      <w:r w:rsidRPr="00D725C0">
        <w:rPr>
          <w:rFonts w:eastAsia="Times New Roman"/>
          <w:szCs w:val="24"/>
        </w:rPr>
        <w:t>Scenarios with greater penetrations of solar and wind generation exhibit systematically higher forecast err</w:t>
      </w:r>
      <w:r w:rsidRPr="001F4447">
        <w:rPr>
          <w:rFonts w:eastAsia="Times New Roman"/>
          <w:szCs w:val="24"/>
        </w:rPr>
        <w:t>ors</w:t>
      </w:r>
      <w:r w:rsidR="00BC233C" w:rsidRPr="001F4447">
        <w:rPr>
          <w:rFonts w:eastAsia="Times New Roman"/>
          <w:szCs w:val="24"/>
        </w:rPr>
        <w:t xml:space="preserve"> (of demand net of VERs)</w:t>
      </w:r>
      <w:r w:rsidRPr="001F4447">
        <w:rPr>
          <w:rFonts w:eastAsia="Times New Roman"/>
          <w:szCs w:val="24"/>
        </w:rPr>
        <w:t>. In</w:t>
      </w:r>
      <w:r w:rsidRPr="00D725C0">
        <w:rPr>
          <w:rFonts w:eastAsia="Times New Roman"/>
          <w:szCs w:val="24"/>
        </w:rPr>
        <w:t xml:space="preserve"> the absence of immediate improvements in forecasting technology, these imbalances are mitigated by greater quantities of operating reserves.</w:t>
      </w:r>
    </w:p>
    <w:p w14:paraId="1C092352" w14:textId="77777777" w:rsidR="00D725C0" w:rsidRPr="00D725C0" w:rsidRDefault="00D725C0" w:rsidP="00D725C0">
      <w:pPr>
        <w:numPr>
          <w:ilvl w:val="0"/>
          <w:numId w:val="739"/>
        </w:numPr>
        <w:spacing w:after="120"/>
        <w:rPr>
          <w:rFonts w:eastAsia="Times New Roman"/>
          <w:szCs w:val="24"/>
        </w:rPr>
      </w:pPr>
      <w:r w:rsidRPr="00D725C0">
        <w:rPr>
          <w:rFonts w:eastAsia="Times New Roman"/>
          <w:szCs w:val="24"/>
        </w:rPr>
        <w:t>The commitment of dispatchable resources and their associated quantities of committed load-following an</w:t>
      </w:r>
      <w:r w:rsidRPr="00407D7F">
        <w:rPr>
          <w:rFonts w:eastAsia="Times New Roman"/>
          <w:szCs w:val="24"/>
        </w:rPr>
        <w:t>d ramping reserves ha</w:t>
      </w:r>
      <w:r w:rsidRPr="00D725C0">
        <w:rPr>
          <w:rFonts w:eastAsia="Times New Roman"/>
          <w:szCs w:val="24"/>
        </w:rPr>
        <w:t>s a complex, difficult</w:t>
      </w:r>
      <w:r w:rsidR="005F7AF9">
        <w:rPr>
          <w:rFonts w:eastAsia="Times New Roman"/>
          <w:szCs w:val="24"/>
        </w:rPr>
        <w:t>-</w:t>
      </w:r>
      <w:r w:rsidRPr="00D725C0">
        <w:rPr>
          <w:rFonts w:eastAsia="Times New Roman"/>
          <w:szCs w:val="24"/>
        </w:rPr>
        <w:t>to</w:t>
      </w:r>
      <w:r w:rsidR="005F7AF9">
        <w:rPr>
          <w:rFonts w:eastAsia="Times New Roman"/>
          <w:szCs w:val="24"/>
        </w:rPr>
        <w:t>-</w:t>
      </w:r>
      <w:r w:rsidRPr="00D725C0">
        <w:rPr>
          <w:rFonts w:eastAsia="Times New Roman"/>
          <w:szCs w:val="24"/>
        </w:rPr>
        <w:t xml:space="preserve">predict, </w:t>
      </w:r>
      <w:r w:rsidR="005F7AF9">
        <w:rPr>
          <w:rFonts w:eastAsia="Times New Roman"/>
          <w:szCs w:val="24"/>
        </w:rPr>
        <w:t xml:space="preserve">and </w:t>
      </w:r>
      <w:r w:rsidRPr="00D725C0">
        <w:rPr>
          <w:rFonts w:eastAsia="Times New Roman"/>
          <w:szCs w:val="24"/>
        </w:rPr>
        <w:t xml:space="preserve">nonlinear dependence on the amount of variable resources and the load profile statistics. </w:t>
      </w:r>
    </w:p>
    <w:p w14:paraId="259CD490" w14:textId="77777777" w:rsidR="00D725C0" w:rsidRPr="00D725C0" w:rsidRDefault="00D725C0" w:rsidP="00D725C0">
      <w:pPr>
        <w:numPr>
          <w:ilvl w:val="0"/>
          <w:numId w:val="739"/>
        </w:numPr>
        <w:spacing w:after="120"/>
        <w:rPr>
          <w:rFonts w:eastAsia="Times New Roman"/>
          <w:szCs w:val="24"/>
        </w:rPr>
      </w:pPr>
      <w:r w:rsidRPr="00D725C0">
        <w:rPr>
          <w:rFonts w:eastAsia="Times New Roman"/>
          <w:szCs w:val="24"/>
        </w:rPr>
        <w:t>Higher quantities of load-following a</w:t>
      </w:r>
      <w:r w:rsidRPr="00407D7F">
        <w:rPr>
          <w:rFonts w:eastAsia="Times New Roman"/>
          <w:szCs w:val="24"/>
        </w:rPr>
        <w:t>nd ramping reserves di</w:t>
      </w:r>
      <w:r w:rsidRPr="00D725C0">
        <w:rPr>
          <w:rFonts w:eastAsia="Times New Roman"/>
          <w:szCs w:val="24"/>
        </w:rPr>
        <w:t>spatched in real</w:t>
      </w:r>
      <w:r w:rsidR="005F7AF9">
        <w:rPr>
          <w:rFonts w:eastAsia="Times New Roman"/>
          <w:szCs w:val="24"/>
        </w:rPr>
        <w:t xml:space="preserve"> </w:t>
      </w:r>
      <w:r w:rsidRPr="00D725C0">
        <w:rPr>
          <w:rFonts w:eastAsia="Times New Roman"/>
          <w:szCs w:val="24"/>
        </w:rPr>
        <w:t>time improves balancing performance. Curtailment also directly supports the balancing role of load-following and ramping reserves.</w:t>
      </w:r>
    </w:p>
    <w:p w14:paraId="0C934EA4" w14:textId="77777777" w:rsidR="00D725C0" w:rsidRPr="00D725C0" w:rsidRDefault="00D725C0" w:rsidP="00D725C0">
      <w:pPr>
        <w:numPr>
          <w:ilvl w:val="0"/>
          <w:numId w:val="739"/>
        </w:numPr>
        <w:rPr>
          <w:rFonts w:eastAsia="Times New Roman"/>
          <w:szCs w:val="24"/>
        </w:rPr>
      </w:pPr>
      <w:r w:rsidRPr="00D725C0">
        <w:rPr>
          <w:rFonts w:eastAsia="Times New Roman"/>
          <w:szCs w:val="24"/>
        </w:rPr>
        <w:t>The combination of curtailment of semidispatchable resources and the commitment of dispatchable resources within each RSP zone serves to respect interface constraints.</w:t>
      </w:r>
    </w:p>
    <w:p w14:paraId="0A3C9125" w14:textId="77777777" w:rsidR="00D725C0" w:rsidRPr="00D725C0" w:rsidRDefault="00D725C0" w:rsidP="00F5683D">
      <w:pPr>
        <w:pStyle w:val="Heading3"/>
      </w:pPr>
      <w:bookmarkStart w:id="995" w:name="_Toc12795254"/>
      <w:bookmarkStart w:id="996" w:name="_Ref16682654"/>
      <w:r w:rsidRPr="00D725C0">
        <w:t>2017 Economic Study</w:t>
      </w:r>
      <w:bookmarkEnd w:id="995"/>
      <w:bookmarkEnd w:id="996"/>
    </w:p>
    <w:p w14:paraId="5098E852" w14:textId="7ECEE341" w:rsidR="00D725C0" w:rsidRPr="00D725C0" w:rsidRDefault="00D725C0" w:rsidP="00D725C0">
      <w:r w:rsidRPr="00D725C0">
        <w:t xml:space="preserve">The </w:t>
      </w:r>
      <w:r w:rsidRPr="00D725C0">
        <w:rPr>
          <w:i/>
        </w:rPr>
        <w:t>Exploration of Least-Cost Emissions-Compliant Scenarios of the 2017 ISO New England</w:t>
      </w:r>
      <w:r w:rsidRPr="00D725C0">
        <w:t xml:space="preserve"> </w:t>
      </w:r>
      <w:r w:rsidRPr="00D725C0">
        <w:rPr>
          <w:i/>
        </w:rPr>
        <w:t>Economic Study</w:t>
      </w:r>
      <w:r w:rsidRPr="00D725C0">
        <w:t xml:space="preserve"> examined several low-carbon-emitting resource-expansion scenarios of the regional power system and the potential effects of these different future changes on resource adequacy, operating and capital costs, and options for meeting environmental policy goals. The study examined three combinations of large-scale renewable wind, PV, and EE resources, as well as plug-in electric vehicles and distributed storage </w:t>
      </w:r>
      <w:r w:rsidRPr="00D725C0">
        <w:lastRenderedPageBreak/>
        <w:t xml:space="preserve">that built on the 2016 Economic Study. The results generally supported the results of Phase I of the 2016 Economic Study and also showed </w:t>
      </w:r>
      <w:r w:rsidR="00C444B6">
        <w:t xml:space="preserve">that </w:t>
      </w:r>
      <w:r w:rsidRPr="00D725C0">
        <w:t xml:space="preserve">regional carbon-reduction obligations may require flexible compliance options (such as proposed by the Regional Greenhouse Gas Initiative; see Section </w:t>
      </w:r>
      <w:r w:rsidR="00110CF4" w:rsidRPr="00110CF4">
        <w:fldChar w:fldCharType="begin"/>
      </w:r>
      <w:r w:rsidR="00110CF4" w:rsidRPr="00110CF4">
        <w:instrText xml:space="preserve"> REF _Ref12128900 \r \h </w:instrText>
      </w:r>
      <w:r w:rsidR="00110CF4">
        <w:instrText xml:space="preserve"> \* MERGEFORMAT </w:instrText>
      </w:r>
      <w:r w:rsidR="00110CF4" w:rsidRPr="00110CF4">
        <w:fldChar w:fldCharType="separate"/>
      </w:r>
      <w:r w:rsidR="005D0B73">
        <w:t>8.2.1</w:t>
      </w:r>
      <w:r w:rsidR="00110CF4" w:rsidRPr="00110CF4">
        <w:fldChar w:fldCharType="end"/>
      </w:r>
      <w:r w:rsidRPr="00110CF4">
        <w:t>),</w:t>
      </w:r>
      <w:r w:rsidRPr="00D725C0">
        <w:t xml:space="preserve"> additional imports from neighboring systems, and the large-scale development of energy efficiency and renewable resources. </w:t>
      </w:r>
    </w:p>
    <w:p w14:paraId="15156E41" w14:textId="77777777" w:rsidR="00D725C0" w:rsidRPr="00D725C0" w:rsidRDefault="00D725C0" w:rsidP="00F5683D">
      <w:pPr>
        <w:pStyle w:val="Heading3"/>
      </w:pPr>
      <w:bookmarkStart w:id="997" w:name="_Toc12795255"/>
      <w:r w:rsidRPr="00D725C0">
        <w:t>2018 Economic Study Request</w:t>
      </w:r>
      <w:bookmarkEnd w:id="997"/>
      <w:r w:rsidRPr="00D725C0">
        <w:t xml:space="preserve"> </w:t>
      </w:r>
    </w:p>
    <w:p w14:paraId="72336CA2" w14:textId="36BA498D" w:rsidR="00D725C0" w:rsidRPr="00D725C0" w:rsidRDefault="00D725C0" w:rsidP="00D725C0">
      <w:r w:rsidRPr="00721F57">
        <w:t xml:space="preserve">Although the ISO did not receive a 2018 Economic Study request, it did </w:t>
      </w:r>
      <w:r w:rsidRPr="00407D7F">
        <w:t>analy</w:t>
      </w:r>
      <w:r w:rsidR="00721F57">
        <w:t>ze</w:t>
      </w:r>
      <w:r w:rsidRPr="00721F57">
        <w:t xml:space="preserve"> </w:t>
      </w:r>
      <w:r w:rsidR="00721F57" w:rsidRPr="00407D7F">
        <w:t xml:space="preserve">the </w:t>
      </w:r>
      <w:r w:rsidR="00721F57" w:rsidRPr="00F300A2">
        <w:t>p</w:t>
      </w:r>
      <w:r w:rsidRPr="00F300A2">
        <w:t xml:space="preserve">otential </w:t>
      </w:r>
      <w:r w:rsidR="00721F57" w:rsidRPr="00F300A2">
        <w:t>i</w:t>
      </w:r>
      <w:r w:rsidRPr="00F300A2">
        <w:t xml:space="preserve">mpacts of </w:t>
      </w:r>
      <w:r w:rsidR="00721F57" w:rsidRPr="00F300A2">
        <w:t>o</w:t>
      </w:r>
      <w:r w:rsidRPr="00F300A2">
        <w:t xml:space="preserve">ffshore </w:t>
      </w:r>
      <w:r w:rsidR="00721F57" w:rsidRPr="00F300A2">
        <w:t>w</w:t>
      </w:r>
      <w:r w:rsidRPr="00F300A2">
        <w:t xml:space="preserve">ind </w:t>
      </w:r>
      <w:r w:rsidR="00721F57" w:rsidRPr="00F300A2">
        <w:t>a</w:t>
      </w:r>
      <w:r w:rsidRPr="00F300A2">
        <w:t>dditions</w:t>
      </w:r>
      <w:r w:rsidR="00721F57">
        <w:t xml:space="preserve"> in New England </w:t>
      </w:r>
      <w:r w:rsidR="00721F57" w:rsidRPr="00F300A2">
        <w:t>d</w:t>
      </w:r>
      <w:r w:rsidRPr="00F300A2">
        <w:t xml:space="preserve">uring the 2017/2018 </w:t>
      </w:r>
      <w:r w:rsidR="00721F57" w:rsidRPr="00F300A2">
        <w:t>c</w:t>
      </w:r>
      <w:r w:rsidRPr="00F300A2">
        <w:t xml:space="preserve">old </w:t>
      </w:r>
      <w:r w:rsidR="00721F57" w:rsidRPr="00F300A2">
        <w:t>s</w:t>
      </w:r>
      <w:r w:rsidRPr="00F300A2">
        <w:t>pell</w:t>
      </w:r>
      <w:r w:rsidR="00121C19">
        <w:t xml:space="preserve"> using assumptions provided by the Massachusetts Clean Energy Center, as </w:t>
      </w:r>
      <w:r w:rsidR="008715CB" w:rsidRPr="00407D7F">
        <w:t>described in Sec</w:t>
      </w:r>
      <w:r w:rsidR="008715CB" w:rsidRPr="00AC526B">
        <w:t xml:space="preserve">tion </w:t>
      </w:r>
      <w:r w:rsidR="009D1EAE" w:rsidRPr="00AC526B">
        <w:fldChar w:fldCharType="begin"/>
      </w:r>
      <w:r w:rsidR="009D1EAE" w:rsidRPr="00AC526B">
        <w:instrText xml:space="preserve"> REF _Ref19522676 \r \h </w:instrText>
      </w:r>
      <w:r w:rsidR="00AC526B">
        <w:instrText xml:space="preserve"> \* MERGEFORMAT </w:instrText>
      </w:r>
      <w:r w:rsidR="009D1EAE" w:rsidRPr="00AC526B">
        <w:fldChar w:fldCharType="separate"/>
      </w:r>
      <w:r w:rsidR="009D1EAE" w:rsidRPr="00AC526B">
        <w:t>7.6</w:t>
      </w:r>
      <w:r w:rsidR="009D1EAE" w:rsidRPr="00AC526B">
        <w:fldChar w:fldCharType="end"/>
      </w:r>
      <w:r w:rsidR="009D1EAE" w:rsidRPr="00AC526B">
        <w:t>.</w:t>
      </w:r>
      <w:r w:rsidR="00721F57" w:rsidRPr="00AC526B">
        <w:t xml:space="preserve"> T</w:t>
      </w:r>
      <w:r w:rsidRPr="00AC526B">
        <w:t>he res</w:t>
      </w:r>
      <w:r w:rsidRPr="00D725C0">
        <w:t>ults</w:t>
      </w:r>
      <w:r w:rsidR="00721F57">
        <w:t xml:space="preserve"> </w:t>
      </w:r>
      <w:r w:rsidRPr="00D725C0">
        <w:t>show</w:t>
      </w:r>
      <w:r w:rsidR="00721F57">
        <w:t>ed</w:t>
      </w:r>
      <w:r w:rsidRPr="00D725C0">
        <w:t xml:space="preserve"> that offshore wind connections to the load centers in southern New England are well situated</w:t>
      </w:r>
      <w:r w:rsidR="00721F57">
        <w:t xml:space="preserve"> and that o</w:t>
      </w:r>
      <w:r w:rsidRPr="00D725C0">
        <w:t xml:space="preserve">ffshore wind production during the 2017/2018 cold spell would have reduced production costs, environmental emissions, fossil fuel consumption by generating units, and LMPs. </w:t>
      </w:r>
    </w:p>
    <w:p w14:paraId="39DB6575" w14:textId="77777777" w:rsidR="00D725C0" w:rsidRPr="00D725C0" w:rsidRDefault="00D725C0" w:rsidP="00F5683D">
      <w:pPr>
        <w:pStyle w:val="Heading3"/>
      </w:pPr>
      <w:bookmarkStart w:id="998" w:name="_Ref11667339"/>
      <w:bookmarkStart w:id="999" w:name="_Toc12795256"/>
      <w:r w:rsidRPr="00D725C0">
        <w:t>2019 Economic Study Requests</w:t>
      </w:r>
      <w:bookmarkEnd w:id="998"/>
      <w:bookmarkEnd w:id="999"/>
    </w:p>
    <w:p w14:paraId="30D014D8" w14:textId="77777777" w:rsidR="00D725C0" w:rsidRPr="00D725C0" w:rsidRDefault="00D725C0" w:rsidP="00D725C0">
      <w:r w:rsidRPr="00D725C0">
        <w:t>The ISO received three requests in 2019 for economic studies:</w:t>
      </w:r>
      <w:r w:rsidRPr="00D725C0">
        <w:rPr>
          <w:vertAlign w:val="superscript"/>
        </w:rPr>
        <w:footnoteReference w:id="330"/>
      </w:r>
    </w:p>
    <w:p w14:paraId="39BC660E" w14:textId="77777777" w:rsidR="00D725C0" w:rsidRPr="00D725C0" w:rsidRDefault="00D725C0" w:rsidP="00D725C0">
      <w:pPr>
        <w:numPr>
          <w:ilvl w:val="0"/>
          <w:numId w:val="740"/>
        </w:numPr>
        <w:spacing w:after="120"/>
        <w:rPr>
          <w:rFonts w:eastAsia="Times New Roman"/>
          <w:szCs w:val="24"/>
        </w:rPr>
      </w:pPr>
      <w:r w:rsidRPr="00D725C0">
        <w:rPr>
          <w:rFonts w:eastAsia="Times New Roman"/>
          <w:szCs w:val="24"/>
        </w:rPr>
        <w:t>NESCOE requested analysis of offshore wind scenarios of 1,000 MW, 2,000 MW, 4,000 MW, 5,000 MW, and 7,000 M</w:t>
      </w:r>
      <w:r w:rsidRPr="00AE5F57">
        <w:rPr>
          <w:rFonts w:eastAsia="Times New Roman"/>
          <w:szCs w:val="24"/>
        </w:rPr>
        <w:t xml:space="preserve">W. </w:t>
      </w:r>
      <w:r w:rsidRPr="00F300A2">
        <w:rPr>
          <w:rFonts w:eastAsia="Times New Roman"/>
          <w:szCs w:val="24"/>
        </w:rPr>
        <w:t xml:space="preserve">In addition to asking the ISO to provide metrics </w:t>
      </w:r>
      <w:r w:rsidRPr="00AE5F57">
        <w:rPr>
          <w:rFonts w:eastAsia="Times New Roman"/>
          <w:szCs w:val="24"/>
        </w:rPr>
        <w:t>sim</w:t>
      </w:r>
      <w:r w:rsidRPr="00D725C0">
        <w:rPr>
          <w:rFonts w:eastAsia="Times New Roman"/>
          <w:szCs w:val="24"/>
        </w:rPr>
        <w:t>ilar to Phase I of the 2016 Economic Study, NESCOE requested results showing more detailed information on favorable interconnection points and costs, capacity benefits, and ancillary service requirements.</w:t>
      </w:r>
    </w:p>
    <w:p w14:paraId="0BA3FAC9" w14:textId="77777777" w:rsidR="00D725C0" w:rsidRPr="00D725C0" w:rsidRDefault="00D725C0" w:rsidP="00D725C0">
      <w:pPr>
        <w:numPr>
          <w:ilvl w:val="0"/>
          <w:numId w:val="740"/>
        </w:numPr>
        <w:spacing w:after="120"/>
        <w:rPr>
          <w:rFonts w:eastAsia="Times New Roman"/>
          <w:szCs w:val="24"/>
        </w:rPr>
      </w:pPr>
      <w:r w:rsidRPr="00D725C0">
        <w:rPr>
          <w:rFonts w:eastAsia="Times New Roman"/>
          <w:szCs w:val="24"/>
        </w:rPr>
        <w:t>Anbar</w:t>
      </w:r>
      <w:r w:rsidR="00AE5F57">
        <w:rPr>
          <w:rFonts w:eastAsia="Times New Roman"/>
          <w:szCs w:val="24"/>
        </w:rPr>
        <w:t>i</w:t>
      </w:r>
      <w:r w:rsidRPr="00D725C0">
        <w:rPr>
          <w:rFonts w:eastAsia="Times New Roman"/>
          <w:szCs w:val="24"/>
        </w:rPr>
        <w:t>c Development Partners requested an update of the 2015 Economic Study and offshore wind scenarios of 8,000 MW, 10,000 MW, and 12,000 MW. Requested metrics include energy market prices, environmental emissions, and impacts on fuel security for a winter 2014/2015 load shape.</w:t>
      </w:r>
    </w:p>
    <w:p w14:paraId="2CD8A060" w14:textId="77777777" w:rsidR="00D725C0" w:rsidRPr="00D725C0" w:rsidRDefault="00D725C0" w:rsidP="00F300A2">
      <w:pPr>
        <w:numPr>
          <w:ilvl w:val="0"/>
          <w:numId w:val="740"/>
        </w:numPr>
      </w:pPr>
      <w:r w:rsidRPr="00D725C0">
        <w:rPr>
          <w:rFonts w:eastAsia="Times New Roman"/>
          <w:szCs w:val="24"/>
        </w:rPr>
        <w:t>RENEW Northeast requested analysis of the Orrington</w:t>
      </w:r>
      <w:r w:rsidR="00A46816">
        <w:rPr>
          <w:rFonts w:eastAsia="Times New Roman"/>
          <w:szCs w:val="24"/>
        </w:rPr>
        <w:t>-</w:t>
      </w:r>
      <w:r w:rsidRPr="00D725C0">
        <w:rPr>
          <w:rFonts w:eastAsia="Times New Roman"/>
          <w:szCs w:val="24"/>
        </w:rPr>
        <w:t xml:space="preserve">South interface in Maine, where the transfer limit varies with the status of generation and transmission facilities being in or out of service. </w:t>
      </w:r>
    </w:p>
    <w:p w14:paraId="0D8D54ED" w14:textId="77777777" w:rsidR="00D725C0" w:rsidRPr="00D725C0" w:rsidRDefault="00D725C0" w:rsidP="00947CFC">
      <w:pPr>
        <w:pStyle w:val="Heading2"/>
        <w:rPr>
          <w:rFonts w:eastAsia="Times New Roman"/>
        </w:rPr>
      </w:pPr>
      <w:bookmarkStart w:id="1000" w:name="_Ref10707070"/>
      <w:bookmarkStart w:id="1001" w:name="_Toc12795257"/>
      <w:r w:rsidRPr="00D725C0">
        <w:rPr>
          <w:rFonts w:eastAsia="Times New Roman"/>
        </w:rPr>
        <w:t>Industry Solutions for Facilitating the Approaches to Grid Transformation</w:t>
      </w:r>
      <w:bookmarkEnd w:id="1000"/>
      <w:bookmarkEnd w:id="1001"/>
    </w:p>
    <w:p w14:paraId="01FFB79B" w14:textId="77777777" w:rsidR="00D47947" w:rsidRPr="00D47947" w:rsidRDefault="00D47947" w:rsidP="00D47947">
      <w:r w:rsidRPr="00D47947">
        <w:t xml:space="preserve">The response to system events by inverter-based technologies must be understood and reflected in planning and operating studies, including voltage and frequency ride-through characteristics, control system responses and interactions with other devices, and variations resulting from changes in system strength (short-circuit </w:t>
      </w:r>
      <w:r w:rsidR="00BC233C">
        <w:t>levels</w:t>
      </w:r>
      <w:r w:rsidRPr="00D47947">
        <w:t xml:space="preserve">, especially during times and in areas with fewer synchronous </w:t>
      </w:r>
      <w:r w:rsidR="00BC233C">
        <w:t>machines</w:t>
      </w:r>
      <w:r w:rsidRPr="00D47947">
        <w:t xml:space="preserve"> operating on the system</w:t>
      </w:r>
      <w:r w:rsidR="006F4154">
        <w:t>)</w:t>
      </w:r>
      <w:r w:rsidRPr="00D47947">
        <w:t>.</w:t>
      </w:r>
    </w:p>
    <w:p w14:paraId="4A336EEE" w14:textId="561C8FA9" w:rsidR="00D725C0" w:rsidRPr="00D725C0" w:rsidRDefault="00D725C0" w:rsidP="00D725C0">
      <w:r w:rsidRPr="00D725C0">
        <w:t>Lead researchers and analysts in the electric power industry have issued white papers, performed considerable analysis, and conducted studies that quantify the extent of grid</w:t>
      </w:r>
      <w:r w:rsidR="00D12018">
        <w:t>-</w:t>
      </w:r>
      <w:r w:rsidRPr="00D725C0">
        <w:t xml:space="preserve">transformation issues and </w:t>
      </w:r>
      <w:r w:rsidR="001B6F1E">
        <w:lastRenderedPageBreak/>
        <w:t xml:space="preserve">have </w:t>
      </w:r>
      <w:r w:rsidRPr="00D725C0">
        <w:t>postulate</w:t>
      </w:r>
      <w:r w:rsidR="001B6F1E">
        <w:t>d</w:t>
      </w:r>
      <w:r w:rsidRPr="00D725C0">
        <w:t xml:space="preserve"> best practices that facilitate the successful integration of inverter-based technologies and demand resources. While not comprehensive, this section summarizes several of the best practices identified by DOE national laboratories, </w:t>
      </w:r>
      <w:r w:rsidR="00ED6479">
        <w:t xml:space="preserve">EIPC, </w:t>
      </w:r>
      <w:r w:rsidR="0000228F">
        <w:t>the Electric Power Research Institute (</w:t>
      </w:r>
      <w:r w:rsidRPr="00D725C0">
        <w:t>EPRI</w:t>
      </w:r>
      <w:r w:rsidR="0000228F">
        <w:t>)</w:t>
      </w:r>
      <w:r w:rsidRPr="00D725C0">
        <w:t xml:space="preserve">, </w:t>
      </w:r>
      <w:r w:rsidR="00ED6479" w:rsidRPr="00D725C0">
        <w:t xml:space="preserve">the Institute of Electrical and Electronics Engineers </w:t>
      </w:r>
      <w:r w:rsidR="00ED6479">
        <w:t>(</w:t>
      </w:r>
      <w:r w:rsidR="00ED6479" w:rsidRPr="00D725C0">
        <w:t>IEEE</w:t>
      </w:r>
      <w:r w:rsidR="00ED6479">
        <w:t xml:space="preserve">), </w:t>
      </w:r>
      <w:r w:rsidR="00E33BE5">
        <w:t xml:space="preserve">the </w:t>
      </w:r>
      <w:r w:rsidR="00E33BE5" w:rsidRPr="001B747C">
        <w:rPr>
          <w:rFonts w:eastAsia="Times New Roman"/>
          <w:szCs w:val="24"/>
        </w:rPr>
        <w:t>International Council on Large Electric Systems</w:t>
      </w:r>
      <w:r w:rsidR="00E33BE5">
        <w:t xml:space="preserve"> (</w:t>
      </w:r>
      <w:r w:rsidR="00693443">
        <w:t>CIGRE</w:t>
      </w:r>
      <w:r w:rsidR="00E33BE5">
        <w:t>)</w:t>
      </w:r>
      <w:r w:rsidR="00693443">
        <w:t xml:space="preserve">, </w:t>
      </w:r>
      <w:r w:rsidRPr="00D725C0">
        <w:t>and</w:t>
      </w:r>
      <w:r w:rsidR="00ED6479" w:rsidRPr="00ED6479">
        <w:t xml:space="preserve"> </w:t>
      </w:r>
      <w:r w:rsidR="00ED6479">
        <w:t xml:space="preserve">the </w:t>
      </w:r>
      <w:r w:rsidR="00ED6479" w:rsidRPr="00D725C0">
        <w:t>Power System Engineering Research Center</w:t>
      </w:r>
      <w:r w:rsidR="00ED6479">
        <w:t xml:space="preserve"> (PSERC)</w:t>
      </w:r>
      <w:r w:rsidRPr="00D725C0">
        <w:t>.</w:t>
      </w:r>
      <w:r w:rsidR="00E33BE5">
        <w:rPr>
          <w:rStyle w:val="FootnoteReference"/>
        </w:rPr>
        <w:footnoteReference w:id="331"/>
      </w:r>
    </w:p>
    <w:p w14:paraId="32336E17" w14:textId="77777777" w:rsidR="00D725C0" w:rsidRPr="00D725C0" w:rsidRDefault="00657C7C" w:rsidP="00947CFC">
      <w:pPr>
        <w:pStyle w:val="Heading3"/>
      </w:pPr>
      <w:bookmarkStart w:id="1002" w:name="_Toc12795258"/>
      <w:r>
        <w:t xml:space="preserve">Improved </w:t>
      </w:r>
      <w:r w:rsidR="00D725C0" w:rsidRPr="00D725C0">
        <w:t>Forecasting</w:t>
      </w:r>
      <w:bookmarkEnd w:id="1002"/>
    </w:p>
    <w:p w14:paraId="7A1339B9" w14:textId="77777777" w:rsidR="00D725C0" w:rsidRPr="00D725C0" w:rsidRDefault="00D725C0" w:rsidP="00D725C0">
      <w:r w:rsidRPr="00D725C0">
        <w:t>Modern forecasting methods improve the accuracy of projecting energy production by wind and PV resources and demand consumption, including by plug-in electric vehicles</w:t>
      </w:r>
      <w:r w:rsidR="00047D8B">
        <w:t>.</w:t>
      </w:r>
      <w:r w:rsidRPr="00D725C0">
        <w:t xml:space="preserve"> However, large penetrations of distributed energy resources and demand response requires more sophisticated measures for ascertaining situational awareness needed for operating and planning the system. Direct measurements, such as smart meters and microphasor measurement units on the distribution system, and indirect measurements, such as artificial intelligence and statistics to establish the most likely state of the system, can be used alone or in combination to address observability. State-estimation techniques use a limited number of system measurements to determine key system quantities</w:t>
      </w:r>
      <w:r w:rsidR="002B396B">
        <w:t xml:space="preserve">. </w:t>
      </w:r>
    </w:p>
    <w:p w14:paraId="4E9A7873" w14:textId="77777777" w:rsidR="00D725C0" w:rsidRPr="00D725C0" w:rsidRDefault="00D725C0" w:rsidP="00947CFC">
      <w:pPr>
        <w:pStyle w:val="Heading3"/>
      </w:pPr>
      <w:bookmarkStart w:id="1003" w:name="_Ref11654465"/>
      <w:bookmarkStart w:id="1004" w:name="_Ref11852062"/>
      <w:bookmarkStart w:id="1005" w:name="_Toc12795259"/>
      <w:r w:rsidRPr="00D725C0">
        <w:t>Integration of Variable Energy Resources</w:t>
      </w:r>
      <w:bookmarkEnd w:id="1003"/>
      <w:bookmarkEnd w:id="1004"/>
      <w:bookmarkEnd w:id="1005"/>
    </w:p>
    <w:p w14:paraId="170BB291" w14:textId="77777777" w:rsidR="00D725C0" w:rsidRPr="00D725C0" w:rsidRDefault="00D725C0" w:rsidP="00D725C0">
      <w:r w:rsidRPr="00D725C0">
        <w:t xml:space="preserve">The US Department of Energy's National Renewable Energy Laboratory (NREL) develops data and tools for analyzing wind and PV resources, and the national labs perform studies that can be used to identify key integration issues. For example, NREL’s publicly available information can be used to determine the locations for developing variable energy resources </w:t>
      </w:r>
      <w:r w:rsidR="00C34EBE">
        <w:t xml:space="preserve">that would be expected to have high energy outputs </w:t>
      </w:r>
      <w:r w:rsidRPr="00D725C0">
        <w:t>based on historical levels of wind and irradiance. The values can also be used to align variable energy resource outputs with historical load shapes that would be suitable for conducting studies</w:t>
      </w:r>
      <w:r w:rsidR="002B396B">
        <w:t xml:space="preserve">. </w:t>
      </w:r>
    </w:p>
    <w:p w14:paraId="36CE0F89" w14:textId="77777777" w:rsidR="00D725C0" w:rsidRPr="00D725C0" w:rsidRDefault="00D725C0" w:rsidP="00D725C0">
      <w:r w:rsidRPr="00D725C0">
        <w:t>NREL also conducted a number of scenario analyses to identify the effects that high amounts of wind and PV resources would have on the power system.</w:t>
      </w:r>
      <w:r w:rsidR="00BC233C">
        <w:rPr>
          <w:rStyle w:val="FootnoteReference"/>
        </w:rPr>
        <w:footnoteReference w:id="332"/>
      </w:r>
      <w:r w:rsidRPr="00D725C0">
        <w:t xml:space="preserve"> The studies showed th</w:t>
      </w:r>
      <w:r w:rsidR="006964DF">
        <w:t xml:space="preserve">at </w:t>
      </w:r>
      <w:r w:rsidR="00D12018">
        <w:t xml:space="preserve">VER </w:t>
      </w:r>
      <w:r w:rsidRPr="00D725C0">
        <w:t>development would reduc</w:t>
      </w:r>
      <w:r w:rsidR="006964DF">
        <w:t>e</w:t>
      </w:r>
      <w:r w:rsidRPr="00D725C0">
        <w:t xml:space="preserve"> system energy costs and emissions. However, the large-scale addition of wind and solar resources would require fossil-fueled generators to ramp up and ramp down more frequently, which could increase unit emissions and degrade their reliability. Studies also showed that considerable transmission development would be required for integrating remote wind resources. </w:t>
      </w:r>
      <w:r w:rsidR="00A941CA">
        <w:t xml:space="preserve">These types of </w:t>
      </w:r>
      <w:r w:rsidRPr="00D725C0">
        <w:t>studies frame issues that must be addressed when</w:t>
      </w:r>
      <w:r w:rsidR="00EB2862">
        <w:t xml:space="preserve"> other entities</w:t>
      </w:r>
      <w:r w:rsidRPr="00D725C0">
        <w:t xml:space="preserve"> conduct studies of their own systems. </w:t>
      </w:r>
    </w:p>
    <w:p w14:paraId="1A36D0B7" w14:textId="081BAD83" w:rsidR="00D725C0" w:rsidRPr="00D725C0" w:rsidRDefault="00D725C0" w:rsidP="00D725C0">
      <w:r w:rsidRPr="00D725C0">
        <w:t>A number of industry studies by NERC and EIPC have quantified the amounts of ancillary services that would be needed for different scenarios of grid development and how these services could be provided. (see Section</w:t>
      </w:r>
      <w:r w:rsidR="0029594F" w:rsidRPr="0029594F">
        <w:t xml:space="preserve">s </w:t>
      </w:r>
      <w:r w:rsidR="0029594F" w:rsidRPr="0029594F">
        <w:fldChar w:fldCharType="begin"/>
      </w:r>
      <w:r w:rsidR="0029594F" w:rsidRPr="0029594F">
        <w:instrText xml:space="preserve"> REF _Ref5632963 \r \h </w:instrText>
      </w:r>
      <w:r w:rsidR="0029594F">
        <w:instrText xml:space="preserve"> \* MERGEFORMAT </w:instrText>
      </w:r>
      <w:r w:rsidR="0029594F" w:rsidRPr="0029594F">
        <w:fldChar w:fldCharType="separate"/>
      </w:r>
      <w:r w:rsidR="005D0B73">
        <w:t>6.2</w:t>
      </w:r>
      <w:r w:rsidR="0029594F" w:rsidRPr="0029594F">
        <w:fldChar w:fldCharType="end"/>
      </w:r>
      <w:r w:rsidR="0029594F" w:rsidRPr="0029594F">
        <w:t xml:space="preserve"> and </w:t>
      </w:r>
      <w:r w:rsidR="0029594F" w:rsidRPr="0029594F">
        <w:fldChar w:fldCharType="begin"/>
      </w:r>
      <w:r w:rsidR="0029594F" w:rsidRPr="0029594F">
        <w:instrText xml:space="preserve"> REF _Ref12131749 \r \h </w:instrText>
      </w:r>
      <w:r w:rsidR="0029594F">
        <w:instrText xml:space="preserve"> \* MERGEFORMAT </w:instrText>
      </w:r>
      <w:r w:rsidR="0029594F" w:rsidRPr="0029594F">
        <w:fldChar w:fldCharType="separate"/>
      </w:r>
      <w:r w:rsidR="005D0B73">
        <w:t>6.3</w:t>
      </w:r>
      <w:r w:rsidR="0029594F" w:rsidRPr="0029594F">
        <w:fldChar w:fldCharType="end"/>
      </w:r>
      <w:r w:rsidRPr="0029594F">
        <w:t>).</w:t>
      </w:r>
      <w:r w:rsidRPr="00D725C0">
        <w:t xml:space="preserve"> </w:t>
      </w:r>
      <w:r w:rsidR="00AA136B">
        <w:t>W</w:t>
      </w:r>
      <w:r w:rsidRPr="00D725C0">
        <w:t>ith ongoing research and studies by DOE, results sugg</w:t>
      </w:r>
      <w:r w:rsidRPr="009B40D0">
        <w:t xml:space="preserve">est </w:t>
      </w:r>
      <w:r w:rsidR="0029594F" w:rsidRPr="009B40D0">
        <w:t xml:space="preserve">that </w:t>
      </w:r>
      <w:r w:rsidRPr="009B40D0">
        <w:t xml:space="preserve">implementing specific types of controls for </w:t>
      </w:r>
      <w:r w:rsidR="006964DF">
        <w:t xml:space="preserve">VERs </w:t>
      </w:r>
      <w:r w:rsidR="0029594F" w:rsidRPr="009B40D0">
        <w:t>and demand</w:t>
      </w:r>
      <w:r w:rsidR="0029594F" w:rsidRPr="00EB2862">
        <w:t xml:space="preserve"> and the</w:t>
      </w:r>
      <w:r w:rsidRPr="009B40D0">
        <w:t xml:space="preserve"> </w:t>
      </w:r>
      <w:r w:rsidR="0029594F" w:rsidRPr="009B40D0">
        <w:t xml:space="preserve">continued </w:t>
      </w:r>
      <w:r w:rsidRPr="009B40D0">
        <w:t xml:space="preserve">reliance on fossil-fueled resources </w:t>
      </w:r>
      <w:r w:rsidR="0029594F" w:rsidRPr="009B40D0">
        <w:t xml:space="preserve">can all help meet system needs. </w:t>
      </w:r>
      <w:r w:rsidRPr="009B40D0">
        <w:t xml:space="preserve">For example, wind resources can decrease the </w:t>
      </w:r>
      <w:r w:rsidR="006F4154">
        <w:t xml:space="preserve">magnitude of the drop in system </w:t>
      </w:r>
      <w:r w:rsidRPr="009B40D0">
        <w:t xml:space="preserve">frequency </w:t>
      </w:r>
      <w:r w:rsidR="006F4154">
        <w:t xml:space="preserve">and the duration of the </w:t>
      </w:r>
      <w:r w:rsidRPr="009B40D0">
        <w:t>low</w:t>
      </w:r>
      <w:r w:rsidR="006F4154">
        <w:t>-</w:t>
      </w:r>
      <w:r w:rsidRPr="009B40D0">
        <w:t xml:space="preserve">frequency </w:t>
      </w:r>
      <w:r w:rsidR="006F4154">
        <w:t xml:space="preserve">system </w:t>
      </w:r>
      <w:r w:rsidRPr="009B40D0">
        <w:t xml:space="preserve">response </w:t>
      </w:r>
      <w:r w:rsidR="006F4154">
        <w:t xml:space="preserve">resulting from </w:t>
      </w:r>
      <w:r w:rsidRPr="009B40D0">
        <w:t>the sudden loss of large generating units. B</w:t>
      </w:r>
      <w:r w:rsidRPr="00D725C0">
        <w:t xml:space="preserve">oth wind and PV resources can provide “down” operating reserves in response to overgeneration situations. They also can provide “up” reserves if they initially operate at lower outputs than physically possible based on the availability of wind or sun, but this could require market reforms </w:t>
      </w:r>
      <w:r w:rsidRPr="00D725C0">
        <w:lastRenderedPageBreak/>
        <w:t>that would pay more for these ancillary services than for providing energy. Fossil-fueled generators provide ancillary services and system inertia, which improves system stability performance. Demand response delivers needed flexibility to the system</w:t>
      </w:r>
      <w:r w:rsidR="00387BCF">
        <w:t>,</w:t>
      </w:r>
      <w:r w:rsidRPr="00D725C0">
        <w:t xml:space="preserve"> and it can assist </w:t>
      </w:r>
      <w:r w:rsidR="00387BCF">
        <w:t xml:space="preserve">in </w:t>
      </w:r>
      <w:r w:rsidRPr="00D725C0">
        <w:t>meetin</w:t>
      </w:r>
      <w:r w:rsidRPr="00407D7F">
        <w:t>g ramping and reserve</w:t>
      </w:r>
      <w:r w:rsidRPr="00AA136B">
        <w:t xml:space="preserve"> requi</w:t>
      </w:r>
      <w:r w:rsidRPr="00D725C0">
        <w:t xml:space="preserve">rements. </w:t>
      </w:r>
      <w:r w:rsidR="00387BCF">
        <w:t>S</w:t>
      </w:r>
      <w:r w:rsidR="00387BCF" w:rsidRPr="00D725C0">
        <w:t>everal power systems worldwide</w:t>
      </w:r>
      <w:r w:rsidRPr="00D725C0">
        <w:t xml:space="preserve"> </w:t>
      </w:r>
      <w:r w:rsidR="00387BCF">
        <w:t>have adopted many of these practices</w:t>
      </w:r>
      <w:r w:rsidR="00387BCF" w:rsidRPr="00387BCF">
        <w:t xml:space="preserve"> </w:t>
      </w:r>
      <w:r w:rsidR="00387BCF">
        <w:t>t</w:t>
      </w:r>
      <w:r w:rsidR="00387BCF" w:rsidRPr="00D725C0">
        <w:t>o achieve higher penetrations of variable energy resources</w:t>
      </w:r>
      <w:r w:rsidR="00387BCF">
        <w:t>.</w:t>
      </w:r>
    </w:p>
    <w:p w14:paraId="43F1BD12" w14:textId="77777777" w:rsidR="00D725C0" w:rsidRPr="00D725C0" w:rsidRDefault="00D725C0" w:rsidP="00D725C0">
      <w:r w:rsidRPr="00D725C0">
        <w:t xml:space="preserve">Several technical papers show </w:t>
      </w:r>
      <w:r w:rsidR="00E903F0">
        <w:t xml:space="preserve">that </w:t>
      </w:r>
      <w:r w:rsidRPr="00D725C0">
        <w:t>demand resources can provide frequency response. For example, heating and ventilation systems using variable-frequency drive systems can be modified at little cost to improve the overall frequency response of the system. The technical literature also discusses how the broad and rapid adoption of internet-connected devices holds promise for using demand to improve the overall security and economic performance of the system, such as by providing price response or allowing direct control by a system operator.</w:t>
      </w:r>
      <w:r w:rsidRPr="00D725C0">
        <w:rPr>
          <w:vertAlign w:val="superscript"/>
        </w:rPr>
        <w:footnoteReference w:id="333"/>
      </w:r>
      <w:r w:rsidRPr="00D725C0">
        <w:t xml:space="preserve"> The industry recognizes and is addressing the cybersecurity issues surrounding </w:t>
      </w:r>
      <w:r w:rsidR="00E903F0">
        <w:t xml:space="preserve">the </w:t>
      </w:r>
      <w:r w:rsidRPr="00D725C0">
        <w:t>increased reliance on distributed resources</w:t>
      </w:r>
      <w:r w:rsidR="00D50B14">
        <w:t>.</w:t>
      </w:r>
    </w:p>
    <w:p w14:paraId="2BEF250C" w14:textId="369B2132" w:rsidR="00D725C0" w:rsidRPr="00D725C0" w:rsidRDefault="00C23444" w:rsidP="00D725C0">
      <w:r>
        <w:t>“</w:t>
      </w:r>
      <w:r w:rsidR="00D725C0" w:rsidRPr="00D725C0">
        <w:t>Smart</w:t>
      </w:r>
      <w:r w:rsidR="00177318">
        <w:t>-</w:t>
      </w:r>
      <w:r w:rsidR="00D725C0" w:rsidRPr="00D725C0">
        <w:t>inverter</w:t>
      </w:r>
      <w:r>
        <w:t>”</w:t>
      </w:r>
      <w:r w:rsidR="00D725C0" w:rsidRPr="00D725C0">
        <w:t xml:space="preserve"> applications to DERs provide dynamic voltage support</w:t>
      </w:r>
      <w:r w:rsidR="00A941CA">
        <w:t xml:space="preserve"> and may offer other </w:t>
      </w:r>
      <w:r w:rsidR="00177318">
        <w:t xml:space="preserve">ancillary </w:t>
      </w:r>
      <w:r w:rsidR="00A941CA">
        <w:t>control optio</w:t>
      </w:r>
      <w:r w:rsidR="00A941CA" w:rsidRPr="00407D7F">
        <w:t>ns</w:t>
      </w:r>
      <w:r w:rsidR="00D725C0" w:rsidRPr="00AC2D19">
        <w:t>.</w:t>
      </w:r>
      <w:r w:rsidR="00D725C0" w:rsidRPr="00D725C0">
        <w:t xml:space="preserve"> DOE and EPRI studies show that smart inverters increase hosting capacity of DERs, improve power quality, provide voltage regulation, and exhibit synergies with bulk power system </w:t>
      </w:r>
      <w:r w:rsidR="00D725C0" w:rsidRPr="005B4380">
        <w:t xml:space="preserve">operations that increase transmission system transfer limits, which allows for greater production by wind generators. </w:t>
      </w:r>
      <w:r w:rsidR="003F2232" w:rsidRPr="005B4380">
        <w:t xml:space="preserve">Advanced smart inverters that can facilitate network operations under conditions of low inertia and provide blackstart capability are in the early stages of development and application. Work is ongoing by grid operators, </w:t>
      </w:r>
      <w:r w:rsidR="00476A93">
        <w:t xml:space="preserve">equipment owners, </w:t>
      </w:r>
      <w:r w:rsidR="003F2232" w:rsidRPr="005B4380">
        <w:t xml:space="preserve">manufacturers, and policymakers. </w:t>
      </w:r>
      <w:r w:rsidR="00D725C0" w:rsidRPr="005B4380">
        <w:t>Al</w:t>
      </w:r>
      <w:r w:rsidR="00D725C0" w:rsidRPr="00D725C0">
        <w:t xml:space="preserve">though smart inverters have been implemented worldwide, </w:t>
      </w:r>
      <w:r w:rsidR="00177318">
        <w:t>they</w:t>
      </w:r>
      <w:r w:rsidR="00AC2D19">
        <w:t xml:space="preserve"> </w:t>
      </w:r>
      <w:r w:rsidR="00D725C0" w:rsidRPr="00D725C0">
        <w:t xml:space="preserve">may present several barriers that must be overcome, including liability issues, longer interconnection study times, the need for system protection improvements, and the </w:t>
      </w:r>
      <w:r w:rsidR="00AC2D19">
        <w:t xml:space="preserve">promulgation of </w:t>
      </w:r>
      <w:r w:rsidR="00D725C0" w:rsidRPr="00D725C0">
        <w:t xml:space="preserve">policies and procedures that improve safety and system performance. </w:t>
      </w:r>
    </w:p>
    <w:p w14:paraId="106CF81B" w14:textId="77777777" w:rsidR="00D725C0" w:rsidRPr="00D725C0" w:rsidRDefault="00D725C0" w:rsidP="00947CFC">
      <w:pPr>
        <w:pStyle w:val="Heading3"/>
      </w:pPr>
      <w:bookmarkStart w:id="1006" w:name="_Toc12795260"/>
      <w:r w:rsidRPr="00D725C0">
        <w:t>Microgrids</w:t>
      </w:r>
      <w:bookmarkEnd w:id="1006"/>
    </w:p>
    <w:p w14:paraId="3F76E6DF" w14:textId="474348BC" w:rsidR="00D725C0" w:rsidRPr="00D725C0" w:rsidRDefault="00D725C0" w:rsidP="00D725C0">
      <w:r w:rsidRPr="00D725C0">
        <w:t>Microgrids meet resiliency and reliability needs by effectively providing an uninterruptable power supply t</w:t>
      </w:r>
      <w:r w:rsidRPr="003F2232">
        <w:t>o critical loads.</w:t>
      </w:r>
      <w:r w:rsidR="00F71420" w:rsidRPr="003F2232">
        <w:rPr>
          <w:rStyle w:val="FootnoteReference"/>
        </w:rPr>
        <w:footnoteReference w:id="334"/>
      </w:r>
      <w:r w:rsidRPr="003F2232">
        <w:t xml:space="preserve"> Th</w:t>
      </w:r>
      <w:r w:rsidRPr="00D725C0">
        <w:t>ey may also improve environmental performance by facilitating renewable resource integration, such as photovoltaics and combined heat and power plants. Microgrids afford opportunities for economically delivering energy, capacity, and ancillary services to their demand, but in most installations they feature the ability to interchange power with the local grid. A number of microgrids have been installed, such as the one at the Philadelphia Navy Yard, and technical work continues to facilitate their development.</w:t>
      </w:r>
      <w:r w:rsidR="006F4154">
        <w:rPr>
          <w:rStyle w:val="FootnoteReference"/>
        </w:rPr>
        <w:footnoteReference w:id="335"/>
      </w:r>
      <w:r w:rsidRPr="00D725C0">
        <w:t xml:space="preserve"> </w:t>
      </w:r>
    </w:p>
    <w:p w14:paraId="4F83C24A" w14:textId="77777777" w:rsidR="00D725C0" w:rsidRPr="00D725C0" w:rsidRDefault="007D45F7" w:rsidP="00947CFC">
      <w:pPr>
        <w:pStyle w:val="Heading3"/>
      </w:pPr>
      <w:bookmarkStart w:id="1007" w:name="_Toc12795261"/>
      <w:r>
        <w:t xml:space="preserve">Energy </w:t>
      </w:r>
      <w:r w:rsidR="00D725C0" w:rsidRPr="00D725C0">
        <w:t>Storage</w:t>
      </w:r>
      <w:bookmarkEnd w:id="1007"/>
    </w:p>
    <w:p w14:paraId="0CC18374" w14:textId="68559B4B" w:rsidR="005D0BDF" w:rsidRDefault="00D725C0" w:rsidP="00D725C0">
      <w:r w:rsidRPr="00D725C0">
        <w:t xml:space="preserve">Energy storage can mitigate </w:t>
      </w:r>
      <w:r w:rsidR="003E5EA0">
        <w:t xml:space="preserve">overall system </w:t>
      </w:r>
      <w:r w:rsidRPr="00D725C0">
        <w:t xml:space="preserve">variability and improve the use and economics of the </w:t>
      </w:r>
      <w:r w:rsidR="001558C0">
        <w:t>T&amp;D</w:t>
      </w:r>
      <w:r w:rsidRPr="00D725C0">
        <w:t xml:space="preserve"> system</w:t>
      </w:r>
      <w:r w:rsidR="001558C0">
        <w:t>s</w:t>
      </w:r>
      <w:r w:rsidRPr="00D725C0">
        <w:t xml:space="preserve"> by shaving peaks and increasing valleys of net demand. </w:t>
      </w:r>
      <w:r w:rsidR="00EB3898">
        <w:t>However, t</w:t>
      </w:r>
      <w:r w:rsidR="00EB3898" w:rsidRPr="00E3322A">
        <w:t xml:space="preserve">he more storage added to </w:t>
      </w:r>
      <w:r w:rsidR="00EB3898" w:rsidRPr="00E3322A">
        <w:lastRenderedPageBreak/>
        <w:t>system, the less economical it may become for providing energy arbitrage in the energy markets as a result of reduced differences between peak and off-peak prices of electricity.</w:t>
      </w:r>
    </w:p>
    <w:p w14:paraId="76DCA233" w14:textId="2120FAC9" w:rsidR="00D725C0" w:rsidRPr="00D725C0" w:rsidRDefault="00D725C0" w:rsidP="00B51B09">
      <w:r w:rsidRPr="00D725C0">
        <w:t xml:space="preserve">Energy can be stored in a variety of ways, such as by using water and temperature variations, </w:t>
      </w:r>
      <w:r w:rsidR="00645B29">
        <w:t xml:space="preserve">compressed air, </w:t>
      </w:r>
      <w:r w:rsidRPr="00645B29">
        <w:t>flywheels, and batteries.</w:t>
      </w:r>
      <w:r w:rsidR="001558C0" w:rsidRPr="00645B29">
        <w:t xml:space="preserve"> </w:t>
      </w:r>
      <w:r w:rsidRPr="00645B29">
        <w:t>Water storage has long been used at pumped</w:t>
      </w:r>
      <w:r w:rsidR="001558C0" w:rsidRPr="00645B29">
        <w:t>-</w:t>
      </w:r>
      <w:r w:rsidRPr="00645B29">
        <w:t xml:space="preserve">storage plants and </w:t>
      </w:r>
      <w:r w:rsidR="003F2232" w:rsidRPr="007A50DE">
        <w:t>at hydroelectric plants that have peaking and ponding capabilities.</w:t>
      </w:r>
      <w:r w:rsidR="005B4380" w:rsidRPr="007A50DE">
        <w:rPr>
          <w:rStyle w:val="FootnoteReference"/>
        </w:rPr>
        <w:footnoteReference w:id="336"/>
      </w:r>
      <w:r w:rsidRPr="00645B29">
        <w:t xml:space="preserve"> Smart thermostats can vary temperatures used to heat and cool environments and processes. </w:t>
      </w:r>
      <w:r w:rsidR="001558C0" w:rsidRPr="00645B29">
        <w:t>Creating hydrogen as a fuel using renewable energy</w:t>
      </w:r>
      <w:r w:rsidR="00645B29" w:rsidRPr="00645B29">
        <w:t xml:space="preserve"> </w:t>
      </w:r>
      <w:r w:rsidR="001558C0" w:rsidRPr="00645B29">
        <w:t xml:space="preserve">is another technology for storing energy. </w:t>
      </w:r>
      <w:r w:rsidR="00B51B09">
        <w:t>In addition, v</w:t>
      </w:r>
      <w:r w:rsidR="00B51B09" w:rsidRPr="00645B29">
        <w:t xml:space="preserve">arying the time of operation of water pumps and agitators in water treatment plants provides an opportunity </w:t>
      </w:r>
      <w:r w:rsidR="00B51B09">
        <w:t xml:space="preserve">to shift load and provide </w:t>
      </w:r>
      <w:r w:rsidR="00B51B09" w:rsidRPr="00645B29">
        <w:t>demand response.</w:t>
      </w:r>
    </w:p>
    <w:p w14:paraId="0D8FE192" w14:textId="354ECD80" w:rsidR="00EB3898" w:rsidRDefault="00D725C0" w:rsidP="00D725C0">
      <w:r w:rsidRPr="003816F6">
        <w:t xml:space="preserve">Battery </w:t>
      </w:r>
      <w:r w:rsidR="00F60FD6">
        <w:t xml:space="preserve">and other types of </w:t>
      </w:r>
      <w:r w:rsidRPr="003816F6">
        <w:t>energy</w:t>
      </w:r>
      <w:r w:rsidR="00C3334D" w:rsidRPr="003816F6">
        <w:t>-</w:t>
      </w:r>
      <w:r w:rsidRPr="003816F6">
        <w:t>storage systems can provide rapid electrical responses and improve distribution system performance and hosting capacity of DERs, provide resource capacity, deliver ancillary services (e.g., regulation, ramping, reserves, and voltage control), increase transmission system capacity and flexibility of response, enhance power plant efficiencies, and provide blackstart.</w:t>
      </w:r>
      <w:r w:rsidR="00645B29" w:rsidRPr="003816F6">
        <w:rPr>
          <w:rStyle w:val="FootnoteReference"/>
        </w:rPr>
        <w:footnoteReference w:id="337"/>
      </w:r>
      <w:r w:rsidRPr="003816F6">
        <w:t xml:space="preserve"> </w:t>
      </w:r>
      <w:r w:rsidR="00476A93" w:rsidRPr="00D725C0">
        <w:t>Storage can be a critical component of microgrids.</w:t>
      </w:r>
      <w:r w:rsidR="00476A93">
        <w:t xml:space="preserve"> </w:t>
      </w:r>
      <w:r w:rsidRPr="003816F6">
        <w:t>Collocating these systems with PV or wind resources can decrease the net variability of output, reduce</w:t>
      </w:r>
      <w:r w:rsidRPr="005D0BDF">
        <w:t xml:space="preserve"> </w:t>
      </w:r>
      <w:r w:rsidRPr="00EB3898">
        <w:t>the amount of spilled resources</w:t>
      </w:r>
      <w:r w:rsidR="005D0BDF" w:rsidRPr="00EB3898">
        <w:t xml:space="preserve"> (i.e., the output that must be curtailed to respect </w:t>
      </w:r>
      <w:r w:rsidR="001C0D8C" w:rsidRPr="00EB3898">
        <w:t>system</w:t>
      </w:r>
      <w:r w:rsidR="005D0BDF" w:rsidRPr="00EB3898">
        <w:t xml:space="preserve"> constraint</w:t>
      </w:r>
      <w:r w:rsidR="005D0BDF" w:rsidRPr="003E5EA0">
        <w:t>s)</w:t>
      </w:r>
      <w:r w:rsidRPr="003A0CAB">
        <w:t>, and improve the overall reliable and economic performance of the VER. Storage, however, consumes more energy than it can provide, and limitations of the extent of energy that can be stored may limit applications.</w:t>
      </w:r>
    </w:p>
    <w:p w14:paraId="142F3C34" w14:textId="77777777" w:rsidR="00D725C0" w:rsidRPr="00D725C0" w:rsidRDefault="00D725C0" w:rsidP="00947CFC">
      <w:pPr>
        <w:pStyle w:val="Heading3"/>
      </w:pPr>
      <w:bookmarkStart w:id="1008" w:name="_Toc12795262"/>
      <w:r w:rsidRPr="00D725C0">
        <w:t>Other Effects</w:t>
      </w:r>
      <w:bookmarkEnd w:id="1008"/>
    </w:p>
    <w:p w14:paraId="73255E5F" w14:textId="77777777" w:rsidR="00D725C0" w:rsidRPr="00D725C0" w:rsidRDefault="00D725C0" w:rsidP="00FB4745">
      <w:r w:rsidRPr="0013687B">
        <w:t xml:space="preserve">The overall structure of </w:t>
      </w:r>
      <w:r w:rsidR="006D0571" w:rsidRPr="0013687B">
        <w:t xml:space="preserve">the </w:t>
      </w:r>
      <w:r w:rsidRPr="0013687B">
        <w:t xml:space="preserve">electric power system will need to change, especially to improve coordination between the </w:t>
      </w:r>
      <w:r w:rsidR="001558C0">
        <w:t>T&amp;D</w:t>
      </w:r>
      <w:r w:rsidRPr="0013687B">
        <w:t xml:space="preserve"> systems. Pacific Northwest National Laboratory has performed considerable work on developing grid architectures that consider regulatory structures, markets, control performance, stakeholder inputs, and a variety of other issues. One structure, sometimes referred to as the </w:t>
      </w:r>
      <w:r w:rsidRPr="00F300A2">
        <w:rPr>
          <w:i/>
        </w:rPr>
        <w:t>hybrid grid</w:t>
      </w:r>
      <w:r w:rsidRPr="0013687B">
        <w:t xml:space="preserve">, </w:t>
      </w:r>
      <w:r w:rsidR="00C34EBE" w:rsidRPr="0013687B">
        <w:t xml:space="preserve">has large generators and other power resources connected to the regional transmission system in combination with thousands of small resources connected behind-the-meter </w:t>
      </w:r>
      <w:r w:rsidR="00E10A16" w:rsidRPr="0013687B">
        <w:t xml:space="preserve">directly to retail customer sites or local distribution utilities. </w:t>
      </w:r>
      <w:r w:rsidR="00C80D17" w:rsidRPr="0013687B">
        <w:t xml:space="preserve">The transmission system operator optimizes </w:t>
      </w:r>
      <w:r w:rsidR="00785614" w:rsidRPr="0013687B">
        <w:t xml:space="preserve">the use of </w:t>
      </w:r>
      <w:r w:rsidR="00C80D17" w:rsidRPr="0013687B">
        <w:t>the overall power system, including the dispatch of all wholesale DER services, but has no visibility into the distribution system</w:t>
      </w:r>
      <w:r w:rsidR="002B396B" w:rsidRPr="0013687B">
        <w:t xml:space="preserve">. </w:t>
      </w:r>
      <w:r w:rsidR="00E10A16" w:rsidRPr="0013687B">
        <w:t>Th</w:t>
      </w:r>
      <w:r w:rsidR="00F61D49" w:rsidRPr="0013687B">
        <w:t>e</w:t>
      </w:r>
      <w:r w:rsidR="008337FD" w:rsidRPr="0013687B">
        <w:t xml:space="preserve"> </w:t>
      </w:r>
      <w:r w:rsidR="00E10A16" w:rsidRPr="0013687B">
        <w:t xml:space="preserve">structure </w:t>
      </w:r>
      <w:r w:rsidR="00C80D17" w:rsidRPr="0013687B">
        <w:t xml:space="preserve">includes </w:t>
      </w:r>
      <w:r w:rsidRPr="0013687B">
        <w:t xml:space="preserve">a </w:t>
      </w:r>
      <w:r w:rsidRPr="002C396D">
        <w:t xml:space="preserve">distribution system operator </w:t>
      </w:r>
      <w:r w:rsidR="004A09A0">
        <w:t xml:space="preserve">(DSO) </w:t>
      </w:r>
      <w:r w:rsidR="00C80D17" w:rsidRPr="004A09A0">
        <w:t xml:space="preserve">who optimizes the dispatch of the distribution system and </w:t>
      </w:r>
      <w:r w:rsidRPr="0013687B">
        <w:t>provid</w:t>
      </w:r>
      <w:r w:rsidR="00C80D17" w:rsidRPr="0013687B">
        <w:t>es</w:t>
      </w:r>
      <w:r w:rsidRPr="0013687B">
        <w:t xml:space="preserve"> </w:t>
      </w:r>
      <w:r w:rsidR="00E10A16" w:rsidRPr="0013687B">
        <w:t xml:space="preserve">system </w:t>
      </w:r>
      <w:r w:rsidRPr="0013687B">
        <w:t>information need</w:t>
      </w:r>
      <w:r w:rsidRPr="004A09A0">
        <w:t>ed by the transmission system operator.</w:t>
      </w:r>
      <w:r w:rsidR="00FB4745" w:rsidRPr="0013687B">
        <w:t xml:space="preserve"> This is because distribution utilities and local customers must address issues posed by </w:t>
      </w:r>
      <w:r w:rsidR="00511085">
        <w:t xml:space="preserve">VER </w:t>
      </w:r>
      <w:r w:rsidR="00FB4745" w:rsidRPr="0013687B">
        <w:t>integration on the distribution system, such as voltage regulation and power quality, and may need to apply local storage and grid</w:t>
      </w:r>
      <w:r w:rsidR="00D12018">
        <w:t>-</w:t>
      </w:r>
      <w:r w:rsidR="00FB4745" w:rsidRPr="0013687B">
        <w:t>transformation technologies to improve electrical performance.</w:t>
      </w:r>
      <w:r w:rsidR="00C80D17" w:rsidRPr="0013687B">
        <w:t xml:space="preserve"> The hybrid grid model </w:t>
      </w:r>
      <w:r w:rsidR="00785614" w:rsidRPr="0013687B">
        <w:t xml:space="preserve">also </w:t>
      </w:r>
      <w:r w:rsidR="00C80D17" w:rsidRPr="0013687B">
        <w:t xml:space="preserve">includes customer aggregators who coordinate with both the transmission system operator and the </w:t>
      </w:r>
      <w:r w:rsidR="004A09A0">
        <w:t>DSO</w:t>
      </w:r>
      <w:r w:rsidR="00C80D17" w:rsidRPr="004A09A0">
        <w:t>.</w:t>
      </w:r>
    </w:p>
    <w:p w14:paraId="7BA24749" w14:textId="77777777" w:rsidR="00507450" w:rsidRPr="00D725C0" w:rsidRDefault="00D725C0" w:rsidP="00D725C0">
      <w:r w:rsidRPr="00D725C0">
        <w:t xml:space="preserve">The variability of the system state, including power flows and voltages, requires new methods of analyzing the system and </w:t>
      </w:r>
      <w:r w:rsidR="00770E94">
        <w:t xml:space="preserve">assessing </w:t>
      </w:r>
      <w:r w:rsidRPr="00D725C0">
        <w:t xml:space="preserve">system security. Physical system improvements would also be required, including those that provide situational awareness, allow for flexible system responses, and </w:t>
      </w:r>
      <w:r w:rsidRPr="00D725C0">
        <w:lastRenderedPageBreak/>
        <w:t>accommodate distribution power flows that could feed or draw from the transmission sy</w:t>
      </w:r>
      <w:r w:rsidRPr="00407D7F">
        <w:t>stem.</w:t>
      </w:r>
      <w:r w:rsidRPr="00407D7F">
        <w:rPr>
          <w:vertAlign w:val="superscript"/>
        </w:rPr>
        <w:footnoteReference w:id="338"/>
      </w:r>
      <w:r w:rsidRPr="00407D7F">
        <w:t xml:space="preserve"> </w:t>
      </w:r>
      <w:r w:rsidRPr="009459DF">
        <w:t xml:space="preserve">The variability in power flows and short-circuit availability requires </w:t>
      </w:r>
      <w:r w:rsidR="009459DF">
        <w:t xml:space="preserve">the </w:t>
      </w:r>
      <w:r w:rsidRPr="009459DF">
        <w:t>use of adaptive protection and control systems</w:t>
      </w:r>
      <w:r w:rsidR="002B396B" w:rsidRPr="009459DF">
        <w:t>.</w:t>
      </w:r>
      <w:r w:rsidR="002B396B">
        <w:t xml:space="preserve"> </w:t>
      </w:r>
      <w:r w:rsidR="00507450" w:rsidRPr="00507450">
        <w:t xml:space="preserve">Transmission additions that connect </w:t>
      </w:r>
      <w:r w:rsidR="00507450">
        <w:t>VERs</w:t>
      </w:r>
      <w:r w:rsidR="00507450" w:rsidRPr="00507450">
        <w:t xml:space="preserve"> over wide areas can </w:t>
      </w:r>
      <w:r w:rsidR="00507450">
        <w:t xml:space="preserve">also </w:t>
      </w:r>
      <w:r w:rsidR="00507450" w:rsidRPr="00507450">
        <w:t>mitigate the need for systemwide flexibility and ancillary services because different weather conditions decrease the variability of the total production of wind and PV.</w:t>
      </w:r>
      <w:r w:rsidR="00507450">
        <w:rPr>
          <w:rStyle w:val="FootnoteReference"/>
        </w:rPr>
        <w:footnoteReference w:id="339"/>
      </w:r>
    </w:p>
    <w:p w14:paraId="1B95C790" w14:textId="72A89775" w:rsidR="00D725C0" w:rsidRPr="00D725C0" w:rsidRDefault="00D725C0" w:rsidP="00947CFC">
      <w:pPr>
        <w:pStyle w:val="Heading3"/>
      </w:pPr>
      <w:bookmarkStart w:id="1009" w:name="_Ref11238464"/>
      <w:bookmarkStart w:id="1010" w:name="_Toc12795263"/>
      <w:bookmarkEnd w:id="969"/>
      <w:bookmarkEnd w:id="970"/>
      <w:bookmarkEnd w:id="971"/>
      <w:bookmarkEnd w:id="972"/>
      <w:bookmarkEnd w:id="973"/>
      <w:bookmarkEnd w:id="974"/>
      <w:bookmarkEnd w:id="975"/>
      <w:r w:rsidRPr="00D725C0">
        <w:t>Research Participation and Technical Support</w:t>
      </w:r>
      <w:bookmarkEnd w:id="1009"/>
      <w:bookmarkEnd w:id="1010"/>
    </w:p>
    <w:p w14:paraId="5C15A585" w14:textId="77777777" w:rsidR="00D725C0" w:rsidRPr="00D725C0" w:rsidRDefault="00D725C0" w:rsidP="00D725C0">
      <w:r w:rsidRPr="00D725C0">
        <w:t>The ISO strives to keep up to date with new technologies that can have an impact on the region’s electric power grid. As policymakers set targets and allocate public funds for developing smart grid initiatives and renewable resource generation, the ISO analyzes the effects of these technologies on system operations and reliability.</w:t>
      </w:r>
      <w:r w:rsidRPr="00D725C0">
        <w:rPr>
          <w:vertAlign w:val="superscript"/>
        </w:rPr>
        <w:footnoteReference w:id="340"/>
      </w:r>
    </w:p>
    <w:p w14:paraId="457BC0B9" w14:textId="77777777" w:rsidR="00D725C0" w:rsidRPr="00D725C0" w:rsidRDefault="00D725C0" w:rsidP="00D725C0">
      <w:r w:rsidRPr="00D725C0">
        <w:t>The ISO currently participates in several research projects sponsored by DOE, PSERC, and E</w:t>
      </w:r>
      <w:r w:rsidR="0000228F">
        <w:t>PRI</w:t>
      </w:r>
      <w:r w:rsidRPr="00D725C0">
        <w:t xml:space="preserve"> that support the successful integration of advanced technologies. Additionally, the ISO is providing technical and other support for the development of demand-response-related and other market-related standards by the North American Energy Standards Board (NAESB).</w:t>
      </w:r>
      <w:r w:rsidRPr="00D725C0">
        <w:rPr>
          <w:vertAlign w:val="superscript"/>
        </w:rPr>
        <w:footnoteReference w:id="341"/>
      </w:r>
      <w:r w:rsidRPr="00D725C0">
        <w:t xml:space="preserve"> The ISO staff and stakeholders remain professionally active in IEEE, a society that</w:t>
      </w:r>
      <w:r w:rsidR="00F71FBD">
        <w:t>,</w:t>
      </w:r>
      <w:r w:rsidRPr="00D725C0">
        <w:t xml:space="preserve"> </w:t>
      </w:r>
      <w:r w:rsidR="00F71FBD">
        <w:t xml:space="preserve">among other functions, </w:t>
      </w:r>
      <w:r w:rsidRPr="00D725C0">
        <w:t>develops standards for the interconnection and operation of smart grid technologies.</w:t>
      </w:r>
      <w:r w:rsidRPr="00D725C0">
        <w:rPr>
          <w:vertAlign w:val="superscript"/>
        </w:rPr>
        <w:footnoteReference w:id="342"/>
      </w:r>
      <w:r w:rsidRPr="00D725C0">
        <w:t xml:space="preserve"> </w:t>
      </w:r>
    </w:p>
    <w:p w14:paraId="379D5824" w14:textId="77777777" w:rsidR="00D725C0" w:rsidRPr="00D725C0" w:rsidRDefault="00D725C0" w:rsidP="00947CFC">
      <w:pPr>
        <w:pStyle w:val="Heading2"/>
        <w:rPr>
          <w:rFonts w:eastAsia="Times New Roman"/>
        </w:rPr>
      </w:pPr>
      <w:bookmarkStart w:id="1011" w:name="_Toc12795264"/>
      <w:r w:rsidRPr="00D725C0">
        <w:rPr>
          <w:rFonts w:eastAsia="Times New Roman"/>
        </w:rPr>
        <w:t>IEEE 1547 Standard for Interconnecting Distributed Energy Resources</w:t>
      </w:r>
      <w:bookmarkEnd w:id="1011"/>
    </w:p>
    <w:p w14:paraId="2A4B3C3D" w14:textId="5557F1FB" w:rsidR="00D725C0" w:rsidRPr="00D725C0" w:rsidRDefault="00D725C0" w:rsidP="00D725C0">
      <w:r w:rsidRPr="00D725C0">
        <w:t>IEEE Standard 1547</w:t>
      </w:r>
      <w:r w:rsidR="00C14CDC">
        <w:t xml:space="preserve">, </w:t>
      </w:r>
      <w:r w:rsidRPr="00D725C0">
        <w:rPr>
          <w:i/>
        </w:rPr>
        <w:t>Standard for Interconnection and Interoperability of Distributed Energy Resources with Associated Electric Power Systems Interfaces</w:t>
      </w:r>
      <w:r w:rsidR="00C14CDC">
        <w:rPr>
          <w:i/>
        </w:rPr>
        <w:t xml:space="preserve">, </w:t>
      </w:r>
      <w:r w:rsidR="00C14CDC" w:rsidRPr="00F300A2">
        <w:t>establishes criteria and requirements for the interconnection of distributed resources with electric power systems.</w:t>
      </w:r>
      <w:r w:rsidR="00FE3A65">
        <w:rPr>
          <w:rStyle w:val="FootnoteReference"/>
        </w:rPr>
        <w:footnoteReference w:id="343"/>
      </w:r>
      <w:r w:rsidR="00C14CDC" w:rsidRPr="00F300A2">
        <w:t xml:space="preserve"> This document provides a uniform standard for the performance, operation, testing, safety considerations, and maintenance of the interconnection</w:t>
      </w:r>
      <w:r w:rsidRPr="00C14CDC">
        <w:t>.</w:t>
      </w:r>
      <w:r w:rsidRPr="00D725C0">
        <w:t xml:space="preserve"> Its requirements apply to interconnections of DERs, including synchronous machines, induction machines, and power inverters/converters. The criteria and requirements are applicable to all DER technologies interconnected to electric power systems at typical primary and secondary distribution voltages. </w:t>
      </w:r>
    </w:p>
    <w:p w14:paraId="2352BDDD" w14:textId="4330F64D" w:rsidR="00D725C0" w:rsidRPr="00D725C0" w:rsidRDefault="00D725C0" w:rsidP="00D725C0">
      <w:r w:rsidRPr="00D725C0">
        <w:lastRenderedPageBreak/>
        <w:t>IEEE Standard 1547w</w:t>
      </w:r>
      <w:r w:rsidR="00785614">
        <w:t>as</w:t>
      </w:r>
      <w:r w:rsidRPr="00D725C0">
        <w:t xml:space="preserve"> originally designed for relatively small penetrations of DERs and did not require resources, such as distributed PV, to be able to “ride through” a fault on the transmission system.</w:t>
      </w:r>
      <w:r w:rsidRPr="00D725C0">
        <w:rPr>
          <w:vertAlign w:val="superscript"/>
        </w:rPr>
        <w:footnoteReference w:id="344"/>
      </w:r>
      <w:r w:rsidRPr="00D725C0">
        <w:t xml:space="preserve"> This is because the original standard was written to meet distribution system requirements, and the lack of ride-through capabilities did not have a material effect on transmission system performance for small penetrations of DERs. </w:t>
      </w:r>
    </w:p>
    <w:p w14:paraId="384A88A0" w14:textId="3A99F8DC" w:rsidR="00D725C0" w:rsidRPr="00D725C0" w:rsidRDefault="009D1EAE" w:rsidP="005A4AE7">
      <w:r>
        <w:t>A</w:t>
      </w:r>
      <w:r w:rsidR="00D725C0" w:rsidRPr="00D725C0">
        <w:t xml:space="preserve"> revision</w:t>
      </w:r>
      <w:r>
        <w:t xml:space="preserve"> effective in April 2018</w:t>
      </w:r>
      <w:r w:rsidR="00D725C0" w:rsidRPr="00D725C0">
        <w:t xml:space="preserve"> </w:t>
      </w:r>
      <w:r w:rsidRPr="00F300A2">
        <w:t>(i.e., IEEE 1547-2018)</w:t>
      </w:r>
      <w:r>
        <w:t xml:space="preserve"> </w:t>
      </w:r>
      <w:r w:rsidR="00D725C0" w:rsidRPr="00D725C0">
        <w:t xml:space="preserve">reflects performance requirements appropriate for large penetrations of distributed generation and represents an important step for the industry defining performance requirements and expectations for DERs. The revised standard identifies required performance capabilities for voltage and frequency response and voltage and frequency ride-through. Power quality, islanding performance, and interoperability on distribution networks are also covered. In addition, the standard recognizes </w:t>
      </w:r>
      <w:r w:rsidR="00D725C0" w:rsidRPr="00C23444">
        <w:t>applications of smart inverters</w:t>
      </w:r>
      <w:r w:rsidR="00C23444" w:rsidRPr="00720C4C">
        <w:t>,</w:t>
      </w:r>
      <w:r w:rsidR="00D725C0" w:rsidRPr="00C23444">
        <w:t xml:space="preserve"> </w:t>
      </w:r>
      <w:r w:rsidR="00C23444" w:rsidRPr="00720C4C">
        <w:t xml:space="preserve">as described in Section </w:t>
      </w:r>
      <w:r w:rsidR="00C23444" w:rsidRPr="00720C4C">
        <w:fldChar w:fldCharType="begin"/>
      </w:r>
      <w:r w:rsidR="00C23444" w:rsidRPr="00720C4C">
        <w:instrText xml:space="preserve"> REF _Ref11654465 \r \h </w:instrText>
      </w:r>
      <w:r w:rsidR="00C23444">
        <w:instrText xml:space="preserve"> \* MERGEFORMAT </w:instrText>
      </w:r>
      <w:r w:rsidR="00C23444" w:rsidRPr="00720C4C">
        <w:fldChar w:fldCharType="separate"/>
      </w:r>
      <w:r w:rsidR="005D0B73">
        <w:t>9.4.2</w:t>
      </w:r>
      <w:r w:rsidR="00C23444" w:rsidRPr="00720C4C">
        <w:fldChar w:fldCharType="end"/>
      </w:r>
      <w:r w:rsidR="00D725C0" w:rsidRPr="00C23444">
        <w:t>. Adoption</w:t>
      </w:r>
      <w:r w:rsidR="00D725C0" w:rsidRPr="00D725C0">
        <w:t xml:space="preserve"> of the new features in IEEE Standard 1547 will improve transmission and distribution reliability and facilitate the successful integration and operation of additional DERs that could not otherwise be allowed to </w:t>
      </w:r>
      <w:r w:rsidR="00986EC5">
        <w:t xml:space="preserve">reliably and safely </w:t>
      </w:r>
      <w:r w:rsidR="00D725C0" w:rsidRPr="00D725C0">
        <w:t xml:space="preserve">interconnect to the system. </w:t>
      </w:r>
    </w:p>
    <w:p w14:paraId="1E682497" w14:textId="77777777" w:rsidR="000E01A5" w:rsidRPr="00D725C0" w:rsidRDefault="00D725C0" w:rsidP="00D725C0">
      <w:r w:rsidRPr="00D725C0">
        <w:t>Additional standards for testing inverters to fully implement all features of IEEE 1547 (IEEE 1547.1 and UL 1741) are underway. Approval of the new standards is expected no earlier than 2020. Fortunately, all the New England states adopted the voltage and frequency ride-through provisions of IE</w:t>
      </w:r>
      <w:r w:rsidRPr="00986EC5">
        <w:t xml:space="preserve">EE </w:t>
      </w:r>
      <w:r w:rsidRPr="00613737">
        <w:t>1547-2018</w:t>
      </w:r>
      <w:r w:rsidRPr="00D725C0">
        <w:t xml:space="preserve"> by </w:t>
      </w:r>
      <w:r w:rsidR="00E10A16">
        <w:t>November 2018</w:t>
      </w:r>
      <w:r w:rsidRPr="00D725C0">
        <w:t>. This action greatly improves system reliability by preventing the likelihood of widespread trips of DER interconnections, which could result in unacceptable system performance for the New England transmi</w:t>
      </w:r>
      <w:r w:rsidRPr="000E01A5">
        <w:t>ssion system</w:t>
      </w:r>
      <w:r w:rsidR="0002396A">
        <w:t>.</w:t>
      </w:r>
      <w:r w:rsidRPr="002C7F9F">
        <w:rPr>
          <w:vertAlign w:val="superscript"/>
        </w:rPr>
        <w:footnoteReference w:id="345"/>
      </w:r>
      <w:r w:rsidRPr="000E01A5">
        <w:t xml:space="preserve"> </w:t>
      </w:r>
    </w:p>
    <w:p w14:paraId="1C506CC1" w14:textId="77777777" w:rsidR="00D725C0" w:rsidRPr="00D725C0" w:rsidRDefault="00D725C0" w:rsidP="00947CFC">
      <w:pPr>
        <w:pStyle w:val="Heading2"/>
        <w:rPr>
          <w:rFonts w:eastAsia="Times New Roman"/>
        </w:rPr>
      </w:pPr>
      <w:bookmarkStart w:id="1012" w:name="_Toc12795265"/>
      <w:r w:rsidRPr="00D725C0">
        <w:t xml:space="preserve">Regional </w:t>
      </w:r>
      <w:bookmarkStart w:id="1013" w:name="_Ref419722213"/>
      <w:bookmarkStart w:id="1014" w:name="_Toc429063461"/>
      <w:bookmarkStart w:id="1015" w:name="_Toc490323092"/>
      <w:r w:rsidRPr="00D725C0">
        <w:rPr>
          <w:rFonts w:eastAsia="Times New Roman"/>
        </w:rPr>
        <w:t>Integration of Variable Energy Resource</w:t>
      </w:r>
      <w:bookmarkEnd w:id="1013"/>
      <w:bookmarkEnd w:id="1014"/>
      <w:bookmarkEnd w:id="1015"/>
      <w:r w:rsidRPr="00D725C0">
        <w:rPr>
          <w:rFonts w:eastAsia="Times New Roman"/>
        </w:rPr>
        <w:t>s, Demand Response, and Storage</w:t>
      </w:r>
      <w:bookmarkEnd w:id="1012"/>
    </w:p>
    <w:p w14:paraId="5468EEEB" w14:textId="77777777" w:rsidR="00D725C0" w:rsidRDefault="00D47947" w:rsidP="00947CFC">
      <w:r w:rsidRPr="00D47947">
        <w:t>The response to system events by inverter-based technologies must be understood and reflected in planning and operating studies</w:t>
      </w:r>
      <w:r w:rsidR="0002396A">
        <w:t xml:space="preserve">. These responses </w:t>
      </w:r>
      <w:r w:rsidRPr="00D47947">
        <w:t>includ</w:t>
      </w:r>
      <w:r w:rsidR="0002396A">
        <w:t>e</w:t>
      </w:r>
      <w:r w:rsidRPr="00D47947">
        <w:t xml:space="preserve"> voltage and frequency ride-through characteristics, control system responses and interactions with other devices, and variations resulting from changes in system strength, especially </w:t>
      </w:r>
      <w:r w:rsidR="0002396A">
        <w:t xml:space="preserve">when and where </w:t>
      </w:r>
      <w:r w:rsidRPr="00D47947">
        <w:t xml:space="preserve">fewer synchronous generators </w:t>
      </w:r>
      <w:r w:rsidR="0002396A">
        <w:t xml:space="preserve">are </w:t>
      </w:r>
      <w:r w:rsidRPr="00D47947">
        <w:t xml:space="preserve">operating on the system. </w:t>
      </w:r>
      <w:r w:rsidR="00D725C0" w:rsidRPr="00D725C0">
        <w:t xml:space="preserve">New England remains a technical leader in successfully integrating wind, PV, storage, demand response, </w:t>
      </w:r>
      <w:r w:rsidR="0002396A">
        <w:t xml:space="preserve">and </w:t>
      </w:r>
      <w:r w:rsidR="00D725C0" w:rsidRPr="00D725C0">
        <w:t>HVDC and FACTS</w:t>
      </w:r>
      <w:r w:rsidR="0002396A">
        <w:t xml:space="preserve"> devices</w:t>
      </w:r>
      <w:r w:rsidR="00D725C0" w:rsidRPr="00D725C0">
        <w:t>. Several improvements to planning and operating improvements are in place</w:t>
      </w:r>
      <w:r>
        <w:t>,</w:t>
      </w:r>
      <w:r w:rsidR="00D725C0" w:rsidRPr="00D725C0">
        <w:t xml:space="preserve"> and the ISO has implemented several updates to the wholesale electric</w:t>
      </w:r>
      <w:r w:rsidR="0002396A">
        <w:t>ity</w:t>
      </w:r>
      <w:r w:rsidR="00D725C0" w:rsidRPr="00D725C0">
        <w:t xml:space="preserve"> markets. Several of the technology developments and challenges affecting the planning of the New England region involve integrating </w:t>
      </w:r>
      <w:r w:rsidR="00E10A16">
        <w:t>grid</w:t>
      </w:r>
      <w:r w:rsidR="00D12018">
        <w:t>-</w:t>
      </w:r>
      <w:r w:rsidR="00E10A16">
        <w:t>transformation</w:t>
      </w:r>
      <w:r w:rsidR="00D725C0" w:rsidRPr="00D725C0">
        <w:t xml:space="preserve"> equipment, improving operator awareness and system modeling, and using phasor measurement units (PMUs).</w:t>
      </w:r>
      <w:r w:rsidR="00D725C0" w:rsidRPr="00D725C0" w:rsidDel="00DF4D1C">
        <w:t xml:space="preserve"> </w:t>
      </w:r>
    </w:p>
    <w:p w14:paraId="58A2A029" w14:textId="77777777" w:rsidR="00D725C0" w:rsidRPr="00D725C0" w:rsidRDefault="0012111D" w:rsidP="00947CFC">
      <w:pPr>
        <w:pStyle w:val="Heading3"/>
      </w:pPr>
      <w:bookmarkStart w:id="1016" w:name="_Toc12795266"/>
      <w:r>
        <w:t xml:space="preserve">Improved </w:t>
      </w:r>
      <w:r w:rsidR="00D725C0" w:rsidRPr="00D725C0">
        <w:t>Forecasts</w:t>
      </w:r>
      <w:r>
        <w:t xml:space="preserve"> for Wind, PV, and Demand</w:t>
      </w:r>
      <w:bookmarkEnd w:id="1016"/>
    </w:p>
    <w:p w14:paraId="71E72939" w14:textId="77777777" w:rsidR="00D725C0" w:rsidRPr="00D725C0" w:rsidRDefault="00D725C0" w:rsidP="00D725C0">
      <w:r w:rsidRPr="0012111D">
        <w:t xml:space="preserve">ISO </w:t>
      </w:r>
      <w:r w:rsidR="002C7F9F">
        <w:t xml:space="preserve">New England </w:t>
      </w:r>
      <w:r w:rsidRPr="0012111D">
        <w:t>has implemented improvements to forecasting techniques that account for wind, PV, and demand</w:t>
      </w:r>
      <w:r w:rsidR="0012111D" w:rsidRPr="0012111D">
        <w:t>.</w:t>
      </w:r>
      <w:r w:rsidR="0012111D">
        <w:t xml:space="preserve"> </w:t>
      </w:r>
      <w:r w:rsidR="002C7F9F">
        <w:t xml:space="preserve">The </w:t>
      </w:r>
      <w:r w:rsidR="0012111D" w:rsidRPr="00D725C0">
        <w:t>ISO incorporates VER forecasting into ISO processes, scheduling, and dispatch services.</w:t>
      </w:r>
      <w:r w:rsidR="0012111D">
        <w:t xml:space="preserve"> </w:t>
      </w:r>
      <w:r w:rsidR="002C7F9F" w:rsidRPr="00D725C0">
        <w:t xml:space="preserve">Wind generators participating in the wholesale markets can download individual unit forecasts of their expected output, which can help market participants build a strategy for bidding in the Day-Ahead </w:t>
      </w:r>
      <w:r w:rsidR="002C7F9F" w:rsidRPr="00D725C0">
        <w:lastRenderedPageBreak/>
        <w:t>Energy Market.</w:t>
      </w:r>
      <w:r w:rsidR="002C7F9F" w:rsidRPr="0012111D">
        <w:t xml:space="preserve"> </w:t>
      </w:r>
      <w:r w:rsidR="0012111D">
        <w:t xml:space="preserve">The operational forecasts </w:t>
      </w:r>
      <w:r w:rsidR="0012111D" w:rsidRPr="00D725C0">
        <w:t xml:space="preserve">provide better situational awareness </w:t>
      </w:r>
      <w:r w:rsidR="0012111D">
        <w:t xml:space="preserve">and </w:t>
      </w:r>
      <w:r w:rsidRPr="00D725C0">
        <w:t>result in more reliable and economical operation of the system.</w:t>
      </w:r>
      <w:r w:rsidR="0012111D" w:rsidRPr="0012111D">
        <w:t xml:space="preserve"> </w:t>
      </w:r>
      <w:r w:rsidR="002C7F9F" w:rsidRPr="00D725C0">
        <w:t>As the amount of wind and PV grows, operational forecasts of variable energy resources take on increasing importance.</w:t>
      </w:r>
      <w:r w:rsidR="002C7F9F">
        <w:t xml:space="preserve"> </w:t>
      </w:r>
      <w:r w:rsidRPr="002C7F9F">
        <w:t>The ISO is also working to improve</w:t>
      </w:r>
      <w:r w:rsidRPr="00D725C0">
        <w:t xml:space="preserve"> its longer-term forecasts of PV and demand used for planning. </w:t>
      </w:r>
    </w:p>
    <w:p w14:paraId="4C2551DD" w14:textId="77777777" w:rsidR="00D725C0" w:rsidRPr="00D725C0" w:rsidRDefault="00D725C0" w:rsidP="00947CFC">
      <w:pPr>
        <w:pStyle w:val="Heading3"/>
        <w:rPr>
          <w:rFonts w:eastAsia="Times New Roman"/>
        </w:rPr>
      </w:pPr>
      <w:bookmarkStart w:id="1017" w:name="_Ref12190404"/>
      <w:bookmarkStart w:id="1018" w:name="_Toc12795267"/>
      <w:r w:rsidRPr="00D725C0">
        <w:rPr>
          <w:rFonts w:eastAsia="Times New Roman"/>
        </w:rPr>
        <w:t>Regional Integration of Wind Resources</w:t>
      </w:r>
      <w:bookmarkEnd w:id="1017"/>
      <w:bookmarkEnd w:id="1018"/>
    </w:p>
    <w:p w14:paraId="4EC26353" w14:textId="77777777" w:rsidR="00D725C0" w:rsidRPr="00D725C0" w:rsidRDefault="00D725C0" w:rsidP="00D725C0">
      <w:r w:rsidRPr="00D725C0">
        <w:t>The ISO’s interconnection process requires accurate models of wind generator units for steady-state, stability, and transient analyses, which become particularly important in areas of the system with</w:t>
      </w:r>
      <w:r w:rsidR="003E727D">
        <w:t xml:space="preserve"> low</w:t>
      </w:r>
      <w:r w:rsidR="00ED5C2D">
        <w:t xml:space="preserve"> </w:t>
      </w:r>
      <w:r w:rsidRPr="00D725C0">
        <w:t>short-circuit ratios.</w:t>
      </w:r>
      <w:r w:rsidRPr="00D725C0">
        <w:rPr>
          <w:vertAlign w:val="superscript"/>
        </w:rPr>
        <w:footnoteReference w:id="346"/>
      </w:r>
      <w:r w:rsidRPr="00D725C0">
        <w:t xml:space="preserve"> </w:t>
      </w:r>
    </w:p>
    <w:p w14:paraId="12695167" w14:textId="77777777" w:rsidR="00D725C0" w:rsidRPr="001F4447" w:rsidRDefault="00D725C0" w:rsidP="00D725C0">
      <w:r w:rsidRPr="00D725C0">
        <w:t xml:space="preserve">Limited transmission infrastructure in northern and western Maine poses the primary obstacle to interconnecting new onshore wind resources. A number of generators currently connected leave this part of the transmission system at its performance limit with little to no remaining margin. Each interconnection request for new resources involves lengthy and complex study work to identify the </w:t>
      </w:r>
      <w:r w:rsidRPr="00EB2862">
        <w:t>significant transmission infrastructure, and individual projects are not able or willing on an individual basis to make the scale of system upgrade investments warranted.</w:t>
      </w:r>
    </w:p>
    <w:p w14:paraId="6D64A59F" w14:textId="5B4B6BC1" w:rsidR="00D725C0" w:rsidRPr="00D725C0" w:rsidRDefault="007232EC" w:rsidP="00D725C0">
      <w:r w:rsidRPr="001F4447">
        <w:t xml:space="preserve">As discussed in Section </w:t>
      </w:r>
      <w:r w:rsidRPr="001F4447">
        <w:fldChar w:fldCharType="begin"/>
      </w:r>
      <w:r w:rsidRPr="001F4447">
        <w:instrText xml:space="preserve"> REF _Ref11870792 \r \h </w:instrText>
      </w:r>
      <w:r w:rsidR="00EB2862">
        <w:instrText xml:space="preserve"> \* MERGEFORMAT </w:instrText>
      </w:r>
      <w:r w:rsidRPr="001F4447">
        <w:fldChar w:fldCharType="separate"/>
      </w:r>
      <w:r w:rsidR="005D0B73">
        <w:t>4.5.3.2</w:t>
      </w:r>
      <w:r w:rsidRPr="001F4447">
        <w:fldChar w:fldCharType="end"/>
      </w:r>
      <w:r w:rsidRPr="001F4447">
        <w:t>, t</w:t>
      </w:r>
      <w:r w:rsidR="00D725C0" w:rsidRPr="001F4447">
        <w:t xml:space="preserve">he ISO’s developed a set of clustering revisions to the interconnection procedures for </w:t>
      </w:r>
      <w:r w:rsidR="00EB2862" w:rsidRPr="001F4447">
        <w:t>reducing the time for performing system impact studies</w:t>
      </w:r>
      <w:r w:rsidR="00D725C0" w:rsidRPr="00F300A2">
        <w:t xml:space="preserve"> i</w:t>
      </w:r>
      <w:r w:rsidR="00D725C0" w:rsidRPr="001F4447">
        <w:t>n Maine and elsewhere on the New England transmission system</w:t>
      </w:r>
      <w:r w:rsidR="00EB2862" w:rsidRPr="001F4447">
        <w:t>,</w:t>
      </w:r>
      <w:r w:rsidR="00D725C0" w:rsidRPr="001F4447">
        <w:t xml:space="preserve"> should similar conditions arise</w:t>
      </w:r>
      <w:r w:rsidR="00EB2862" w:rsidRPr="001F4447">
        <w:t xml:space="preserve">. It also </w:t>
      </w:r>
      <w:r w:rsidR="00D725C0" w:rsidRPr="001F4447">
        <w:t xml:space="preserve">conducted a strategic infrastructure study—the </w:t>
      </w:r>
      <w:r w:rsidR="00D725C0" w:rsidRPr="001F4447">
        <w:rPr>
          <w:i/>
        </w:rPr>
        <w:t>Maine Resource Integration Study</w:t>
      </w:r>
      <w:r w:rsidRPr="001F4447">
        <w:rPr>
          <w:i/>
        </w:rPr>
        <w:t xml:space="preserve"> </w:t>
      </w:r>
      <w:r w:rsidR="00D725C0" w:rsidRPr="001F4447">
        <w:t>to identify the transmission upgrades necessary for interconnecting proposed resources in Maine.</w:t>
      </w:r>
      <w:r w:rsidR="00D725C0" w:rsidRPr="00D725C0">
        <w:t xml:space="preserve"> </w:t>
      </w:r>
    </w:p>
    <w:p w14:paraId="4932B05C" w14:textId="77777777" w:rsidR="00D725C0" w:rsidRPr="00D725C0" w:rsidRDefault="00D725C0" w:rsidP="007D15D1">
      <w:pPr>
        <w:pStyle w:val="Heading3"/>
        <w:rPr>
          <w:rFonts w:eastAsia="Times New Roman"/>
        </w:rPr>
      </w:pPr>
      <w:bookmarkStart w:id="1019" w:name="_Toc12795268"/>
      <w:r w:rsidRPr="00D725C0">
        <w:t xml:space="preserve">Regional Integration of </w:t>
      </w:r>
      <w:r w:rsidRPr="00D725C0">
        <w:rPr>
          <w:rFonts w:eastAsia="Times New Roman"/>
        </w:rPr>
        <w:t>Photovoltaic Resources and Other Distributed Generation Resources</w:t>
      </w:r>
      <w:bookmarkEnd w:id="1019"/>
    </w:p>
    <w:p w14:paraId="38A48CF8" w14:textId="621C04E9" w:rsidR="00D725C0" w:rsidRPr="00D725C0" w:rsidRDefault="00D725C0" w:rsidP="00D725C0">
      <w:pPr>
        <w:rPr>
          <w:rFonts w:eastAsia="Times New Roman"/>
        </w:rPr>
      </w:pPr>
      <w:r w:rsidRPr="00D725C0">
        <w:t>New England has witnessed significant growth in the development of solar photovoltaic resources over the past few years, and continued growth of PV is anticipate</w:t>
      </w:r>
      <w:r w:rsidRPr="0013321E">
        <w:t xml:space="preserve">d (see Section </w:t>
      </w:r>
      <w:r w:rsidR="0013321E" w:rsidRPr="0013321E">
        <w:fldChar w:fldCharType="begin"/>
      </w:r>
      <w:r w:rsidR="0013321E" w:rsidRPr="0013321E">
        <w:instrText xml:space="preserve"> REF _Ref12191561 \r \h </w:instrText>
      </w:r>
      <w:r w:rsidR="0013321E">
        <w:instrText xml:space="preserve"> \* MERGEFORMAT </w:instrText>
      </w:r>
      <w:r w:rsidR="0013321E" w:rsidRPr="0013321E">
        <w:fldChar w:fldCharType="separate"/>
      </w:r>
      <w:r w:rsidR="005D0B73">
        <w:t>3.3</w:t>
      </w:r>
      <w:r w:rsidR="0013321E" w:rsidRPr="0013321E">
        <w:fldChar w:fldCharType="end"/>
      </w:r>
      <w:r w:rsidRPr="0013321E">
        <w:t xml:space="preserve">). </w:t>
      </w:r>
      <w:r w:rsidRPr="0013321E">
        <w:rPr>
          <w:rFonts w:eastAsia="Times New Roman"/>
        </w:rPr>
        <w:t>Exi</w:t>
      </w:r>
      <w:r w:rsidRPr="00D725C0">
        <w:rPr>
          <w:rFonts w:eastAsia="Times New Roman"/>
        </w:rPr>
        <w:t xml:space="preserve">sting amounts of PV have caused noticeable effects on system operation </w:t>
      </w:r>
      <w:r w:rsidR="00412E03">
        <w:rPr>
          <w:rFonts w:eastAsia="Times New Roman"/>
        </w:rPr>
        <w:t>and</w:t>
      </w:r>
      <w:r w:rsidR="00E97621">
        <w:rPr>
          <w:rFonts w:eastAsia="Times New Roman"/>
        </w:rPr>
        <w:t>, as they grow,</w:t>
      </w:r>
      <w:r w:rsidR="00412E03">
        <w:rPr>
          <w:rFonts w:eastAsia="Times New Roman"/>
        </w:rPr>
        <w:t xml:space="preserve"> are </w:t>
      </w:r>
      <w:r w:rsidRPr="00D725C0">
        <w:rPr>
          <w:rFonts w:eastAsia="Times New Roman"/>
        </w:rPr>
        <w:t xml:space="preserve">anticipated to have a greater </w:t>
      </w:r>
      <w:r w:rsidRPr="0013321E">
        <w:rPr>
          <w:rFonts w:eastAsia="Times New Roman"/>
        </w:rPr>
        <w:t>effect</w:t>
      </w:r>
      <w:r w:rsidR="00E97621" w:rsidRPr="0013321E">
        <w:rPr>
          <w:rFonts w:eastAsia="Times New Roman"/>
        </w:rPr>
        <w:t xml:space="preserve"> on the system</w:t>
      </w:r>
      <w:r w:rsidR="0013321E" w:rsidRPr="0013321E">
        <w:rPr>
          <w:rFonts w:eastAsia="Times New Roman"/>
        </w:rPr>
        <w:t>’s</w:t>
      </w:r>
      <w:r w:rsidR="00E97621" w:rsidRPr="0013321E">
        <w:rPr>
          <w:rFonts w:eastAsia="Times New Roman"/>
        </w:rPr>
        <w:t xml:space="preserve"> need </w:t>
      </w:r>
      <w:r w:rsidR="0013321E" w:rsidRPr="0013321E">
        <w:rPr>
          <w:rFonts w:eastAsia="Times New Roman"/>
        </w:rPr>
        <w:t xml:space="preserve">for </w:t>
      </w:r>
      <w:r w:rsidR="00E97621" w:rsidRPr="0013321E">
        <w:rPr>
          <w:rFonts w:eastAsia="Times New Roman"/>
        </w:rPr>
        <w:t>regulation, ramping, reserves, and voltage support.</w:t>
      </w:r>
      <w:r w:rsidRPr="00D725C0">
        <w:rPr>
          <w:rFonts w:eastAsia="Times New Roman"/>
        </w:rPr>
        <w:t xml:space="preserve"> </w:t>
      </w:r>
      <w:r w:rsidR="00E97621">
        <w:rPr>
          <w:rFonts w:eastAsia="Times New Roman"/>
        </w:rPr>
        <w:t xml:space="preserve">Interestingly, new flow patterns from distribution substations into (instead of out of) the transmission system </w:t>
      </w:r>
      <w:r w:rsidR="0013321E">
        <w:rPr>
          <w:rFonts w:eastAsia="Times New Roman"/>
        </w:rPr>
        <w:t xml:space="preserve">when </w:t>
      </w:r>
      <w:r w:rsidR="007104D4">
        <w:rPr>
          <w:rFonts w:eastAsia="Times New Roman"/>
        </w:rPr>
        <w:t>P</w:t>
      </w:r>
      <w:r w:rsidR="00E97621">
        <w:rPr>
          <w:rFonts w:eastAsia="Times New Roman"/>
        </w:rPr>
        <w:t xml:space="preserve">V production </w:t>
      </w:r>
      <w:r w:rsidR="0013321E">
        <w:rPr>
          <w:rFonts w:eastAsia="Times New Roman"/>
        </w:rPr>
        <w:t xml:space="preserve">is high </w:t>
      </w:r>
      <w:r w:rsidR="00E97621">
        <w:rPr>
          <w:rFonts w:eastAsia="Times New Roman"/>
        </w:rPr>
        <w:t>have resulted in new use</w:t>
      </w:r>
      <w:r w:rsidR="007104D4">
        <w:rPr>
          <w:rFonts w:eastAsia="Times New Roman"/>
        </w:rPr>
        <w:t>s</w:t>
      </w:r>
      <w:r w:rsidR="00E97621">
        <w:rPr>
          <w:rFonts w:eastAsia="Times New Roman"/>
        </w:rPr>
        <w:t xml:space="preserve"> of the transmission system and </w:t>
      </w:r>
      <w:r w:rsidR="007104D4">
        <w:rPr>
          <w:rFonts w:eastAsia="Times New Roman"/>
        </w:rPr>
        <w:t>ha</w:t>
      </w:r>
      <w:r w:rsidR="00555573">
        <w:rPr>
          <w:rFonts w:eastAsia="Times New Roman"/>
        </w:rPr>
        <w:t>ve</w:t>
      </w:r>
      <w:r w:rsidR="00770E94">
        <w:rPr>
          <w:rFonts w:eastAsia="Times New Roman"/>
        </w:rPr>
        <w:t xml:space="preserve"> </w:t>
      </w:r>
      <w:r w:rsidR="00E97621">
        <w:rPr>
          <w:rFonts w:eastAsia="Times New Roman"/>
        </w:rPr>
        <w:t>increased the need</w:t>
      </w:r>
      <w:r w:rsidR="007104D4">
        <w:rPr>
          <w:rFonts w:eastAsia="Times New Roman"/>
        </w:rPr>
        <w:t xml:space="preserve"> </w:t>
      </w:r>
      <w:r w:rsidR="00E97621">
        <w:rPr>
          <w:rFonts w:eastAsia="Times New Roman"/>
        </w:rPr>
        <w:t xml:space="preserve">for dynamic voltage support. </w:t>
      </w:r>
      <w:r w:rsidRPr="00D725C0">
        <w:rPr>
          <w:rFonts w:eastAsia="Times New Roman"/>
        </w:rPr>
        <w:t>The ISO has engaged in a number of actions to examine and prepare for the effects of large-scale PV development in the region.</w:t>
      </w:r>
    </w:p>
    <w:p w14:paraId="1BC0CDE1" w14:textId="453FC1D3" w:rsidR="00D725C0" w:rsidRPr="00D725C0" w:rsidRDefault="00D725C0" w:rsidP="00D725C0">
      <w:pPr>
        <w:spacing w:after="200" w:line="276" w:lineRule="auto"/>
      </w:pPr>
      <w:r w:rsidRPr="00D725C0">
        <w:t xml:space="preserve">At present, the ISO’s demand-forecast method considers demand history as an input, which captures the growth and production non-PV DERs. To date, the region has not </w:t>
      </w:r>
      <w:r w:rsidR="00555573">
        <w:t>experienced</w:t>
      </w:r>
      <w:r w:rsidRPr="00D725C0">
        <w:t xml:space="preserve"> the large-scale growth of other types of DERs, which would present challenges similar to PV. The ISO continues to monitor this situation and actively examines its processes for improving its demand forecasts (see S</w:t>
      </w:r>
      <w:r w:rsidRPr="0013321E">
        <w:t xml:space="preserve">ection </w:t>
      </w:r>
      <w:r w:rsidR="0013321E" w:rsidRPr="0013321E">
        <w:fldChar w:fldCharType="begin"/>
      </w:r>
      <w:r w:rsidR="0013321E" w:rsidRPr="0013321E">
        <w:instrText xml:space="preserve"> REF _Ref12191561 \r \h  \* MERGEFORMAT </w:instrText>
      </w:r>
      <w:r w:rsidR="0013321E" w:rsidRPr="0013321E">
        <w:fldChar w:fldCharType="separate"/>
      </w:r>
      <w:r w:rsidR="005D0B73">
        <w:t>3.3</w:t>
      </w:r>
      <w:r w:rsidR="0013321E" w:rsidRPr="0013321E">
        <w:fldChar w:fldCharType="end"/>
      </w:r>
      <w:r w:rsidRPr="0013321E">
        <w:t xml:space="preserve">). </w:t>
      </w:r>
      <w:r w:rsidRPr="00D725C0">
        <w:t>This includes applications of modern analysis techniques, such</w:t>
      </w:r>
      <w:r w:rsidR="0013321E">
        <w:t xml:space="preserve"> as</w:t>
      </w:r>
      <w:r w:rsidRPr="00D725C0">
        <w:t xml:space="preserve"> the latest methods of big data analysis and artificial intelligence</w:t>
      </w:r>
      <w:r w:rsidR="002B396B">
        <w:t xml:space="preserve">. </w:t>
      </w:r>
    </w:p>
    <w:p w14:paraId="4EA6E4AA" w14:textId="3D0AEC99" w:rsidR="007104D4" w:rsidRDefault="00D725C0" w:rsidP="00D725C0">
      <w:pPr>
        <w:spacing w:after="200" w:line="276" w:lineRule="auto"/>
      </w:pPr>
      <w:r w:rsidRPr="00D725C0">
        <w:t>With more behind-the-meter technologies and time-varying retail rates, demand could become more price</w:t>
      </w:r>
      <w:r w:rsidR="002457E7">
        <w:t xml:space="preserve"> </w:t>
      </w:r>
      <w:r w:rsidRPr="00D725C0">
        <w:t>responsive and less predictable</w:t>
      </w:r>
      <w:r w:rsidR="003F2232">
        <w:t xml:space="preserve"> </w:t>
      </w:r>
      <w:r w:rsidR="003E5EA0">
        <w:t>to</w:t>
      </w:r>
      <w:r w:rsidR="008E486E" w:rsidRPr="003A0CAB">
        <w:t xml:space="preserve"> operat</w:t>
      </w:r>
      <w:r w:rsidR="003E5EA0">
        <w:t xml:space="preserve">ors of </w:t>
      </w:r>
      <w:r w:rsidR="003F2232" w:rsidRPr="008E486E">
        <w:t xml:space="preserve">the bulk </w:t>
      </w:r>
      <w:r w:rsidR="008E486E" w:rsidRPr="003A0CAB">
        <w:t xml:space="preserve">power </w:t>
      </w:r>
      <w:r w:rsidR="003F2232" w:rsidRPr="008E486E">
        <w:t>system</w:t>
      </w:r>
      <w:r w:rsidRPr="008E486E">
        <w:t>.</w:t>
      </w:r>
      <w:r w:rsidRPr="00D725C0">
        <w:t xml:space="preserve"> The ISO’s work with regional stakeholders will help position the region to best integrate rapidly growing DER resources in a way that maintains reliability and allows the states to realize the public policy benefits they have </w:t>
      </w:r>
      <w:r w:rsidRPr="00D725C0">
        <w:lastRenderedPageBreak/>
        <w:t>identified as the basis for their DER progr</w:t>
      </w:r>
      <w:r w:rsidRPr="004B7400">
        <w:t xml:space="preserve">ams. </w:t>
      </w:r>
      <w:r w:rsidR="0013321E" w:rsidRPr="004B7400">
        <w:t xml:space="preserve">The </w:t>
      </w:r>
      <w:r w:rsidRPr="004B7400">
        <w:t>ISO continuously works to improve its demand forecast methods to account for additional variations in the net demand.</w:t>
      </w:r>
      <w:r w:rsidRPr="00D725C0">
        <w:t xml:space="preserve"> </w:t>
      </w:r>
    </w:p>
    <w:p w14:paraId="739F22E0" w14:textId="77777777" w:rsidR="00D725C0" w:rsidRPr="00D725C0" w:rsidRDefault="007104D4" w:rsidP="00D725C0">
      <w:pPr>
        <w:spacing w:after="200" w:line="276" w:lineRule="auto"/>
      </w:pPr>
      <w:r>
        <w:t>Distribution o</w:t>
      </w:r>
      <w:r w:rsidRPr="007104D4">
        <w:t>wners are reviewing and improving processes</w:t>
      </w:r>
      <w:r>
        <w:t xml:space="preserve"> and</w:t>
      </w:r>
      <w:r w:rsidRPr="007104D4">
        <w:t xml:space="preserve"> methodologies for integrating DER</w:t>
      </w:r>
      <w:r w:rsidR="00073715">
        <w:t>s</w:t>
      </w:r>
      <w:r w:rsidR="002B396B">
        <w:t xml:space="preserve">. </w:t>
      </w:r>
      <w:r w:rsidRPr="007104D4">
        <w:t>These activities address u</w:t>
      </w:r>
      <w:r>
        <w:t>sing</w:t>
      </w:r>
      <w:r w:rsidRPr="007104D4">
        <w:t xml:space="preserve"> cluster an</w:t>
      </w:r>
      <w:r>
        <w:t>alyses for non-FERC-</w:t>
      </w:r>
      <w:r w:rsidRPr="007104D4">
        <w:t>jurisdictional resources, providing information on the hosting capacity of distribution circuits, and making better u</w:t>
      </w:r>
      <w:r>
        <w:t>se</w:t>
      </w:r>
      <w:r w:rsidRPr="007104D4">
        <w:t xml:space="preserve"> of smart inverters. Distribution </w:t>
      </w:r>
      <w:r>
        <w:t>o</w:t>
      </w:r>
      <w:r w:rsidRPr="007104D4">
        <w:t>wners are also modernizing distribution system equipment to better accommodate the large</w:t>
      </w:r>
      <w:r>
        <w:t>-</w:t>
      </w:r>
      <w:r w:rsidRPr="007104D4">
        <w:t>scale development of DER</w:t>
      </w:r>
      <w:r w:rsidR="00073715">
        <w:t>s</w:t>
      </w:r>
      <w:r w:rsidRPr="007104D4">
        <w:t>.</w:t>
      </w:r>
    </w:p>
    <w:p w14:paraId="3B09D267" w14:textId="77777777" w:rsidR="00D725C0" w:rsidRPr="00D725C0" w:rsidRDefault="00D725C0" w:rsidP="00947CFC">
      <w:pPr>
        <w:pStyle w:val="Heading3"/>
      </w:pPr>
      <w:bookmarkStart w:id="1020" w:name="_Toc12795269"/>
      <w:r w:rsidRPr="00D725C0">
        <w:t>Energy-Storage Resources</w:t>
      </w:r>
      <w:bookmarkEnd w:id="1020"/>
    </w:p>
    <w:p w14:paraId="02D989F8" w14:textId="0124B129" w:rsidR="00D725C0" w:rsidRPr="00D725C0" w:rsidRDefault="00D725C0" w:rsidP="00D725C0">
      <w:pPr>
        <w:spacing w:after="200" w:line="276" w:lineRule="auto"/>
      </w:pPr>
      <w:r w:rsidRPr="00D725C0">
        <w:t>Since 2015, the ISO has been preparing for the arrival of grid-scale (in-front-of-the-meter) battery-storage resources. The ISO has successfully processed interconnection requests for electric-storage resources using the existing interconnection procedures and agreements</w:t>
      </w:r>
      <w:r w:rsidR="00AF6B35">
        <w:t xml:space="preserve"> (see Section </w:t>
      </w:r>
      <w:r w:rsidR="00AF6B35">
        <w:fldChar w:fldCharType="begin"/>
      </w:r>
      <w:r w:rsidR="00AF6B35">
        <w:instrText xml:space="preserve"> REF _Ref419300248 \r \h </w:instrText>
      </w:r>
      <w:r w:rsidR="00AF6B35">
        <w:fldChar w:fldCharType="separate"/>
      </w:r>
      <w:r w:rsidR="005D0B73">
        <w:t>4.5</w:t>
      </w:r>
      <w:r w:rsidR="00AF6B35">
        <w:fldChar w:fldCharType="end"/>
      </w:r>
      <w:r w:rsidR="00AF6B35">
        <w:t>)</w:t>
      </w:r>
      <w:r w:rsidRPr="00D725C0">
        <w:t xml:space="preserve">. Most new proposals for electric-storage resources make use of inverter-based technologies, and for the ISO to </w:t>
      </w:r>
      <w:r w:rsidR="002457E7">
        <w:t xml:space="preserve">efficiently </w:t>
      </w:r>
      <w:r w:rsidRPr="00D725C0">
        <w:t xml:space="preserve">process the interconnection requests for these technologies, the requests must include appropriately robust equipment design. The power system models must perform well in the network study analysis, and the equipment must meet established performance requirements, such as power-factor, ride-through, and frequency requirements. </w:t>
      </w:r>
    </w:p>
    <w:p w14:paraId="6E8EACAF" w14:textId="77777777" w:rsidR="00D725C0" w:rsidRPr="00D725C0" w:rsidRDefault="00D725C0" w:rsidP="00947CFC">
      <w:pPr>
        <w:pStyle w:val="Heading3"/>
      </w:pPr>
      <w:bookmarkStart w:id="1021" w:name="_Toc12795270"/>
      <w:r w:rsidRPr="00D725C0">
        <w:t>Operational Efficiencies through Advanced Technology</w:t>
      </w:r>
      <w:bookmarkEnd w:id="1021"/>
    </w:p>
    <w:p w14:paraId="72839B40" w14:textId="77777777" w:rsidR="00D725C0" w:rsidRPr="00F84EA9" w:rsidRDefault="00D725C0" w:rsidP="00D725C0">
      <w:pPr>
        <w:autoSpaceDE w:val="0"/>
        <w:autoSpaceDN w:val="0"/>
        <w:adjustRightInd w:val="0"/>
      </w:pPr>
      <w:r w:rsidRPr="00D725C0">
        <w:t>To satisfy an increasing number of required transmission plan studies and enhance the ISO’s ability, speed, and costs of using more detailed and sophisticated system models and scenarios, the ISO uses cloud computing. The initiative—the first of its kind for large-scale power system simulation studies in the industry—is already yielding successful early results.</w:t>
      </w:r>
      <w:r w:rsidRPr="00D725C0">
        <w:rPr>
          <w:vertAlign w:val="superscript"/>
        </w:rPr>
        <w:footnoteReference w:id="347"/>
      </w:r>
      <w:r w:rsidRPr="00D725C0">
        <w:t xml:space="preserve"> In addition, various projects to create new systems and tools for great</w:t>
      </w:r>
      <w:r w:rsidRPr="00F84EA9">
        <w:t>er operational and planning efficiencies and performance are also underway.</w:t>
      </w:r>
    </w:p>
    <w:p w14:paraId="3DE7E9C0" w14:textId="77777777" w:rsidR="00555573" w:rsidRDefault="00D725C0" w:rsidP="00D725C0">
      <w:pPr>
        <w:autoSpaceDE w:val="0"/>
        <w:autoSpaceDN w:val="0"/>
        <w:adjustRightInd w:val="0"/>
      </w:pPr>
      <w:r w:rsidRPr="00F84EA9">
        <w:t>The ISO remains a leader in t</w:t>
      </w:r>
      <w:r w:rsidRPr="00D725C0">
        <w:t>he applicat</w:t>
      </w:r>
      <w:r w:rsidRPr="0067623C">
        <w:t xml:space="preserve">ion of </w:t>
      </w:r>
      <w:r w:rsidRPr="00F300A2">
        <w:t>phasor measurement units,</w:t>
      </w:r>
      <w:r w:rsidRPr="0067623C">
        <w:t xml:space="preserve"> wh</w:t>
      </w:r>
      <w:r w:rsidRPr="00D725C0">
        <w:t>ich include projects related to voltage stability, control room visualization, and power system modeling. The ISO uses PMUs for detecting oscillation sources, which identifies potential control system issues in power system equipment and improves the overall modeling of the system.</w:t>
      </w:r>
      <w:r w:rsidRPr="00D725C0">
        <w:rPr>
          <w:vertAlign w:val="superscript"/>
        </w:rPr>
        <w:footnoteReference w:id="348"/>
      </w:r>
      <w:r w:rsidRPr="00D725C0">
        <w:t xml:space="preserve"> The revised OP 22, </w:t>
      </w:r>
      <w:r w:rsidRPr="00D725C0">
        <w:rPr>
          <w:i/>
        </w:rPr>
        <w:t>Disturbance Monitoring Requirements,</w:t>
      </w:r>
      <w:r w:rsidRPr="00D725C0">
        <w:t xml:space="preserve"> requires transmission owners to install new PMUs at points of interconnection for all new and existing generation units over 100 MW, all new 345 kV substations, new elements at existing 345 kV substations, and other locations designated by the ISO.</w:t>
      </w:r>
      <w:r w:rsidRPr="00D725C0">
        <w:rPr>
          <w:vertAlign w:val="superscript"/>
        </w:rPr>
        <w:footnoteReference w:id="349"/>
      </w:r>
      <w:r w:rsidRPr="00D725C0">
        <w:t xml:space="preserve"> The ISO also uses PMUs as a backup for emergency monitoring and control for a complete loss of the System Control and Data Acquisition and Energy Management System (SCADA/EMS).</w:t>
      </w:r>
    </w:p>
    <w:p w14:paraId="04FF3C33" w14:textId="77777777" w:rsidR="00D725C0" w:rsidRPr="00D725C0" w:rsidRDefault="00D725C0" w:rsidP="00F90873">
      <w:pPr>
        <w:autoSpaceDE w:val="0"/>
        <w:autoSpaceDN w:val="0"/>
        <w:adjustRightInd w:val="0"/>
      </w:pPr>
      <w:r w:rsidRPr="00D725C0">
        <w:t xml:space="preserve">Where appropriate and cost effective, the application of power electronics to the power system through </w:t>
      </w:r>
      <w:r w:rsidR="0067623C">
        <w:t>HVDC</w:t>
      </w:r>
      <w:r w:rsidRPr="00D725C0">
        <w:t xml:space="preserve"> and </w:t>
      </w:r>
      <w:r w:rsidR="0067623C">
        <w:t>FACTS</w:t>
      </w:r>
      <w:r w:rsidRPr="00D725C0">
        <w:t xml:space="preserve"> </w:t>
      </w:r>
      <w:r w:rsidR="002457E7">
        <w:t xml:space="preserve">devices </w:t>
      </w:r>
      <w:r w:rsidR="00555573">
        <w:t xml:space="preserve">and other advanced </w:t>
      </w:r>
      <w:r w:rsidRPr="00D725C0">
        <w:t>technologies can address performance concerns on the transmission sys</w:t>
      </w:r>
      <w:r w:rsidRPr="00F84EA9">
        <w:t>tem.</w:t>
      </w:r>
      <w:r w:rsidR="002B396B" w:rsidRPr="00F84EA9">
        <w:t xml:space="preserve"> </w:t>
      </w:r>
      <w:r w:rsidRPr="00F84EA9">
        <w:t>The ISO is also a leader in sim</w:t>
      </w:r>
      <w:r w:rsidRPr="00D725C0">
        <w:t xml:space="preserve">ulating detailed models of demand characteristics, HVDC, FACTS, and wind and PV resources and accounting for potential adverse interactions resulting </w:t>
      </w:r>
      <w:r w:rsidRPr="00D725C0">
        <w:lastRenderedPageBreak/>
        <w:t>from the widespread use of inverter-based technologies. These types of simulations increase the complexity of system studies, which must accurately model control and protection systems and their interactions.</w:t>
      </w:r>
    </w:p>
    <w:p w14:paraId="4EB53503" w14:textId="77777777" w:rsidR="00D725C0" w:rsidRPr="00D725C0" w:rsidRDefault="00D725C0" w:rsidP="00947CFC">
      <w:pPr>
        <w:pStyle w:val="Heading3"/>
      </w:pPr>
      <w:bookmarkStart w:id="1022" w:name="_Toc12795271"/>
      <w:r w:rsidRPr="00D725C0">
        <w:t>Market Updates to Achieve Grid Transformation</w:t>
      </w:r>
      <w:bookmarkEnd w:id="1022"/>
    </w:p>
    <w:p w14:paraId="18BF8EAE" w14:textId="77777777" w:rsidR="00D725C0" w:rsidRPr="00D725C0" w:rsidRDefault="00400949" w:rsidP="00D725C0">
      <w:r>
        <w:t xml:space="preserve">The </w:t>
      </w:r>
      <w:r w:rsidR="00D725C0" w:rsidRPr="00D725C0">
        <w:t>ISO has employed a number of changes to the wholesale electric</w:t>
      </w:r>
      <w:r w:rsidR="00433A01">
        <w:t>ity</w:t>
      </w:r>
      <w:r w:rsidR="00D725C0" w:rsidRPr="00D725C0">
        <w:t xml:space="preserve"> markets that improve the overall economic efficiency and reliability of the system. Several of these changes also facilitate grid transformation</w:t>
      </w:r>
      <w:r w:rsidR="00D50B14">
        <w:t>.</w:t>
      </w:r>
    </w:p>
    <w:p w14:paraId="07D173D8" w14:textId="77777777" w:rsidR="00D725C0" w:rsidRPr="00D725C0" w:rsidRDefault="00D725C0" w:rsidP="00D725C0">
      <w:r w:rsidRPr="00D725C0">
        <w:t>The ISO implemented “do-not-exceed” (DNE) dispatch that subjects wind and hydro VERs to economic dispatch and participation in energy price formation in real time.</w:t>
      </w:r>
      <w:r w:rsidR="00433A01">
        <w:rPr>
          <w:rStyle w:val="FootnoteReference"/>
        </w:rPr>
        <w:footnoteReference w:id="350"/>
      </w:r>
      <w:r w:rsidRPr="00D725C0">
        <w:t xml:space="preserve"> Thus, when transmission limits start to bind, the dispatch reflects the energy supply offers of wind and hydro resources, which can be dispatched down and set the price when marginal. Compared with the manual curtailment of resources, which does not reflect the congestion price, DNE dispatch reflects the lower value of energy in an export-constrained area. The DNE dispatch changes enhance reliable system operation by eliminating much of the need for the manual curtailment of these resources. These improved price signals better inform future decisions about </w:t>
      </w:r>
      <w:r w:rsidR="00433A01">
        <w:t xml:space="preserve">resource </w:t>
      </w:r>
      <w:r w:rsidRPr="00D725C0">
        <w:t>siting.</w:t>
      </w:r>
    </w:p>
    <w:p w14:paraId="0955D5A7" w14:textId="77777777" w:rsidR="00D725C0" w:rsidRPr="00D725C0" w:rsidRDefault="00D725C0" w:rsidP="00D725C0">
      <w:r w:rsidRPr="00D725C0">
        <w:t>Additional revisions to the market rules, referred to as the “resource-dispatchability changes,” broaden the range of resources subject to economic dispatch.</w:t>
      </w:r>
      <w:r w:rsidRPr="00D725C0">
        <w:rPr>
          <w:vertAlign w:val="superscript"/>
        </w:rPr>
        <w:footnoteReference w:id="351"/>
      </w:r>
      <w:r w:rsidRPr="00D725C0">
        <w:t xml:space="preserve"> The resource-dispatchability changes further improve price formation</w:t>
      </w:r>
      <w:r w:rsidR="00263751">
        <w:t xml:space="preserve"> and </w:t>
      </w:r>
      <w:r w:rsidRPr="00D725C0">
        <w:t>provide</w:t>
      </w:r>
      <w:r w:rsidR="00263751">
        <w:t>s</w:t>
      </w:r>
      <w:r w:rsidRPr="00D725C0">
        <w:t xml:space="preserve"> more accurate locational signals to developers when considering where to locate new resources. Other changes to the wholesale electricity markets affecting grid transformation are as follows:</w:t>
      </w:r>
    </w:p>
    <w:p w14:paraId="3CF21347" w14:textId="77777777" w:rsidR="00D725C0" w:rsidRPr="00D725C0" w:rsidRDefault="00D725C0" w:rsidP="00D725C0">
      <w:pPr>
        <w:numPr>
          <w:ilvl w:val="0"/>
          <w:numId w:val="738"/>
        </w:numPr>
        <w:spacing w:after="120"/>
        <w:rPr>
          <w:rFonts w:eastAsia="Times New Roman"/>
          <w:szCs w:val="24"/>
        </w:rPr>
      </w:pPr>
      <w:r w:rsidRPr="00D725C0">
        <w:rPr>
          <w:rFonts w:eastAsia="Times New Roman"/>
          <w:szCs w:val="24"/>
        </w:rPr>
        <w:t xml:space="preserve">Fast-start pricing, which helps incentivize power resources that can quickly ramp up their output to bridge the steep increase in grid demand that occurs </w:t>
      </w:r>
      <w:r w:rsidR="00263751">
        <w:rPr>
          <w:rFonts w:eastAsia="Times New Roman"/>
          <w:szCs w:val="24"/>
        </w:rPr>
        <w:t>after</w:t>
      </w:r>
      <w:r w:rsidRPr="00D725C0">
        <w:rPr>
          <w:rFonts w:eastAsia="Times New Roman"/>
          <w:szCs w:val="24"/>
        </w:rPr>
        <w:t xml:space="preserve"> the sun </w:t>
      </w:r>
      <w:r w:rsidR="00263751">
        <w:rPr>
          <w:rFonts w:eastAsia="Times New Roman"/>
          <w:szCs w:val="24"/>
        </w:rPr>
        <w:t xml:space="preserve">has </w:t>
      </w:r>
      <w:r w:rsidRPr="00D725C0">
        <w:rPr>
          <w:rFonts w:eastAsia="Times New Roman"/>
          <w:szCs w:val="24"/>
        </w:rPr>
        <w:t>set.</w:t>
      </w:r>
    </w:p>
    <w:p w14:paraId="2DDA59B2" w14:textId="77777777" w:rsidR="00D725C0" w:rsidRPr="00D725C0" w:rsidRDefault="00D725C0" w:rsidP="00D725C0">
      <w:pPr>
        <w:numPr>
          <w:ilvl w:val="0"/>
          <w:numId w:val="738"/>
        </w:numPr>
        <w:spacing w:after="120"/>
        <w:rPr>
          <w:rFonts w:eastAsia="Times New Roman"/>
          <w:szCs w:val="24"/>
        </w:rPr>
      </w:pPr>
      <w:r w:rsidRPr="00D725C0">
        <w:rPr>
          <w:rFonts w:eastAsia="Times New Roman"/>
          <w:szCs w:val="24"/>
        </w:rPr>
        <w:t>Negative pricing bids in the energy market, which creates a disincentive for grid resources to operate when the</w:t>
      </w:r>
      <w:r w:rsidR="00263751">
        <w:rPr>
          <w:rFonts w:eastAsia="Times New Roman"/>
          <w:szCs w:val="24"/>
        </w:rPr>
        <w:t xml:space="preserve"> system has </w:t>
      </w:r>
      <w:r w:rsidRPr="00D725C0">
        <w:rPr>
          <w:rFonts w:eastAsia="Times New Roman"/>
          <w:szCs w:val="24"/>
        </w:rPr>
        <w:t xml:space="preserve">surplus power. Negative pricing also provides a market-based way to manage resources such as wind that may choose to continue producing electricity at prices below zero because they receive other sources of income, </w:t>
      </w:r>
      <w:r w:rsidR="00BC5B80">
        <w:rPr>
          <w:rFonts w:eastAsia="Times New Roman"/>
          <w:szCs w:val="24"/>
        </w:rPr>
        <w:t xml:space="preserve">for example, </w:t>
      </w:r>
      <w:r w:rsidRPr="00D725C0">
        <w:rPr>
          <w:rFonts w:eastAsia="Times New Roman"/>
          <w:szCs w:val="24"/>
        </w:rPr>
        <w:t>the federal production tax credit.</w:t>
      </w:r>
      <w:r w:rsidR="00BC5B80">
        <w:rPr>
          <w:rStyle w:val="FootnoteReference"/>
          <w:rFonts w:eastAsia="Times New Roman"/>
          <w:szCs w:val="24"/>
        </w:rPr>
        <w:footnoteReference w:id="352"/>
      </w:r>
    </w:p>
    <w:p w14:paraId="2CAFBF68" w14:textId="39071827" w:rsidR="00D725C0" w:rsidRPr="004B7400" w:rsidRDefault="00D725C0" w:rsidP="00D725C0">
      <w:pPr>
        <w:numPr>
          <w:ilvl w:val="0"/>
          <w:numId w:val="738"/>
        </w:numPr>
        <w:spacing w:after="120"/>
        <w:rPr>
          <w:rFonts w:eastAsia="Times New Roman"/>
          <w:szCs w:val="24"/>
        </w:rPr>
      </w:pPr>
      <w:r w:rsidRPr="00D725C0">
        <w:rPr>
          <w:rFonts w:eastAsia="Times New Roman"/>
          <w:szCs w:val="24"/>
        </w:rPr>
        <w:t>Beginning with FCA 13, Competitive Auctions with Sponsored Policy Resources accommodate the entry of New England state-sponsored new resources. This market mechanism u</w:t>
      </w:r>
      <w:r w:rsidR="00263751">
        <w:rPr>
          <w:rFonts w:eastAsia="Times New Roman"/>
          <w:szCs w:val="24"/>
        </w:rPr>
        <w:t>ses</w:t>
      </w:r>
      <w:r w:rsidRPr="00D725C0">
        <w:rPr>
          <w:rFonts w:eastAsia="Times New Roman"/>
          <w:szCs w:val="24"/>
        </w:rPr>
        <w:t xml:space="preserve"> a substitution auction to enable new resources unable to acquire </w:t>
      </w:r>
      <w:r w:rsidRPr="004B7400">
        <w:rPr>
          <w:rFonts w:eastAsia="Times New Roman"/>
          <w:szCs w:val="24"/>
        </w:rPr>
        <w:t xml:space="preserve">a CSO in </w:t>
      </w:r>
      <w:r w:rsidR="00263751" w:rsidRPr="004B7400">
        <w:rPr>
          <w:rFonts w:eastAsia="Times New Roman"/>
          <w:szCs w:val="24"/>
        </w:rPr>
        <w:t xml:space="preserve">a </w:t>
      </w:r>
      <w:r w:rsidRPr="004B7400">
        <w:rPr>
          <w:rFonts w:eastAsia="Times New Roman"/>
          <w:szCs w:val="24"/>
        </w:rPr>
        <w:t xml:space="preserve">primary auction (due </w:t>
      </w:r>
      <w:r w:rsidRPr="004B7400">
        <w:rPr>
          <w:rFonts w:eastAsia="Times New Roman"/>
          <w:szCs w:val="24"/>
        </w:rPr>
        <w:lastRenderedPageBreak/>
        <w:t xml:space="preserve">to its </w:t>
      </w:r>
      <w:r w:rsidR="00263751" w:rsidRPr="004B7400">
        <w:rPr>
          <w:rFonts w:eastAsia="Times New Roman"/>
          <w:szCs w:val="24"/>
        </w:rPr>
        <w:t>Minimum-Offer Price Rule</w:t>
      </w:r>
      <w:r w:rsidRPr="004B7400">
        <w:rPr>
          <w:rFonts w:eastAsia="Times New Roman"/>
          <w:szCs w:val="24"/>
        </w:rPr>
        <w:t xml:space="preserve">) </w:t>
      </w:r>
      <w:r w:rsidR="003F2232">
        <w:rPr>
          <w:rFonts w:eastAsia="Times New Roman"/>
          <w:szCs w:val="24"/>
        </w:rPr>
        <w:t xml:space="preserve">the potential </w:t>
      </w:r>
      <w:r w:rsidRPr="004B7400">
        <w:rPr>
          <w:rFonts w:eastAsia="Times New Roman"/>
          <w:szCs w:val="24"/>
        </w:rPr>
        <w:t>to obtain a CSO from an existing resource seeking to retire (see Section 4.1.3.3.).</w:t>
      </w:r>
    </w:p>
    <w:p w14:paraId="6D4EC608" w14:textId="77777777" w:rsidR="00D725C0" w:rsidRPr="004B7400" w:rsidRDefault="00D725C0" w:rsidP="00D725C0">
      <w:pPr>
        <w:numPr>
          <w:ilvl w:val="0"/>
          <w:numId w:val="738"/>
        </w:numPr>
        <w:spacing w:after="120"/>
        <w:rPr>
          <w:rFonts w:eastAsia="Times New Roman"/>
          <w:szCs w:val="24"/>
        </w:rPr>
      </w:pPr>
      <w:r w:rsidRPr="004B7400">
        <w:rPr>
          <w:rFonts w:eastAsia="Times New Roman"/>
          <w:szCs w:val="24"/>
        </w:rPr>
        <w:t xml:space="preserve">Demand-response resources have been fully integrated into the wholesale energy, reserves, and capacity markets since June 1, 2018. FERC Order No. 745, </w:t>
      </w:r>
      <w:r w:rsidRPr="00F300A2">
        <w:rPr>
          <w:rFonts w:eastAsia="Times New Roman"/>
          <w:i/>
          <w:szCs w:val="24"/>
        </w:rPr>
        <w:t>Demand-Response Compensation in Organized Wholesale Energy Markets</w:t>
      </w:r>
      <w:r w:rsidRPr="004B7400">
        <w:rPr>
          <w:rFonts w:eastAsia="Times New Roman"/>
          <w:szCs w:val="24"/>
        </w:rPr>
        <w:t>, requires organized wholesale energy markets to pay demand-response providers the market price for electric energy for reducing consumption below expected levels, when doing so lowers costs to consumers and helps balance real-time supply and demand.</w:t>
      </w:r>
      <w:r w:rsidRPr="004B7400">
        <w:rPr>
          <w:rFonts w:eastAsia="Times New Roman"/>
          <w:szCs w:val="24"/>
          <w:vertAlign w:val="superscript"/>
        </w:rPr>
        <w:footnoteReference w:id="353"/>
      </w:r>
      <w:r w:rsidRPr="004B7400">
        <w:rPr>
          <w:rFonts w:eastAsia="Times New Roman"/>
          <w:szCs w:val="24"/>
        </w:rPr>
        <w:t xml:space="preserve"> To comply with the order, the ISO modified its existing demand-response programs and is implementing various market-rule changes for fully integrating demand response and further improving overall market efficiency. </w:t>
      </w:r>
      <w:r w:rsidR="00896268" w:rsidRPr="00F300A2">
        <w:rPr>
          <w:rFonts w:eastAsia="Times New Roman"/>
          <w:szCs w:val="24"/>
        </w:rPr>
        <w:t xml:space="preserve">The </w:t>
      </w:r>
      <w:r w:rsidR="00B60B6E" w:rsidRPr="00B60B6E">
        <w:rPr>
          <w:rFonts w:eastAsia="Times New Roman"/>
          <w:i/>
          <w:szCs w:val="24"/>
        </w:rPr>
        <w:t>price-responsive demand</w:t>
      </w:r>
      <w:r w:rsidR="00B60B6E">
        <w:rPr>
          <w:rFonts w:eastAsia="Times New Roman"/>
          <w:szCs w:val="24"/>
        </w:rPr>
        <w:t xml:space="preserve"> (</w:t>
      </w:r>
      <w:r w:rsidR="00896268" w:rsidRPr="00F300A2">
        <w:rPr>
          <w:rFonts w:eastAsia="Times New Roman"/>
          <w:szCs w:val="24"/>
        </w:rPr>
        <w:t>PRD</w:t>
      </w:r>
      <w:r w:rsidR="00B60B6E">
        <w:rPr>
          <w:rFonts w:eastAsia="Times New Roman"/>
          <w:szCs w:val="24"/>
        </w:rPr>
        <w:t>)</w:t>
      </w:r>
      <w:r w:rsidR="00896268" w:rsidRPr="00F300A2">
        <w:rPr>
          <w:rFonts w:eastAsia="Times New Roman"/>
          <w:szCs w:val="24"/>
        </w:rPr>
        <w:t xml:space="preserve"> design enabled active demand response to participate in the energy market as a dispatchable, price-responsive product accessed based only on price in the same manner as generation.</w:t>
      </w:r>
      <w:r w:rsidR="00896268" w:rsidRPr="00F300A2">
        <w:rPr>
          <w:rFonts w:eastAsia="Times New Roman"/>
          <w:szCs w:val="24"/>
          <w:vertAlign w:val="superscript"/>
        </w:rPr>
        <w:footnoteReference w:id="354"/>
      </w:r>
      <w:r w:rsidR="00896268" w:rsidRPr="00F300A2">
        <w:rPr>
          <w:rFonts w:eastAsia="Times New Roman"/>
          <w:szCs w:val="24"/>
        </w:rPr>
        <w:t xml:space="preserve"> </w:t>
      </w:r>
      <w:r w:rsidRPr="004B7400">
        <w:rPr>
          <w:rFonts w:eastAsia="Times New Roman"/>
          <w:szCs w:val="24"/>
        </w:rPr>
        <w:t xml:space="preserve">The ISO also has proposed modifications to the market rules to allow demand-response resources that participate in the energy market to also provide reserves, similar to other supply resources. </w:t>
      </w:r>
    </w:p>
    <w:p w14:paraId="0210052A" w14:textId="42CB8247" w:rsidR="00D725C0" w:rsidRPr="004B7400" w:rsidRDefault="009257C3" w:rsidP="00D725C0">
      <w:pPr>
        <w:numPr>
          <w:ilvl w:val="0"/>
          <w:numId w:val="738"/>
        </w:numPr>
        <w:spacing w:after="120"/>
        <w:rPr>
          <w:rFonts w:eastAsia="Times New Roman"/>
          <w:szCs w:val="24"/>
        </w:rPr>
      </w:pPr>
      <w:r w:rsidRPr="00F300A2">
        <w:rPr>
          <w:rFonts w:eastAsia="Times New Roman"/>
          <w:szCs w:val="24"/>
        </w:rPr>
        <w:t>In response to FERC Order No. 841, t</w:t>
      </w:r>
      <w:r w:rsidR="00D725C0" w:rsidRPr="009257C3">
        <w:rPr>
          <w:rFonts w:eastAsia="Times New Roman"/>
          <w:szCs w:val="24"/>
        </w:rPr>
        <w:t xml:space="preserve">wo sets of tariff changes took effect in April 2019 </w:t>
      </w:r>
      <w:r w:rsidR="00D725C0" w:rsidRPr="00F84EA9">
        <w:rPr>
          <w:rFonts w:eastAsia="Times New Roman"/>
          <w:szCs w:val="24"/>
        </w:rPr>
        <w:t>to better</w:t>
      </w:r>
      <w:r w:rsidR="00D725C0" w:rsidRPr="009257C3">
        <w:rPr>
          <w:rFonts w:eastAsia="Times New Roman"/>
          <w:szCs w:val="24"/>
        </w:rPr>
        <w:t xml:space="preserve"> enable batteries and other new storage technologies to participate in New England markets.</w:t>
      </w:r>
      <w:r w:rsidR="00930ED2" w:rsidRPr="009257C3">
        <w:rPr>
          <w:rStyle w:val="FootnoteReference"/>
          <w:rFonts w:eastAsia="Times New Roman"/>
          <w:szCs w:val="24"/>
        </w:rPr>
        <w:footnoteReference w:id="355"/>
      </w:r>
      <w:r w:rsidR="00D725C0" w:rsidRPr="009257C3">
        <w:rPr>
          <w:rFonts w:eastAsia="Times New Roman"/>
          <w:szCs w:val="24"/>
        </w:rPr>
        <w:t xml:space="preserve"> </w:t>
      </w:r>
      <w:r w:rsidRPr="00F300A2">
        <w:rPr>
          <w:rFonts w:eastAsia="Times New Roman"/>
          <w:szCs w:val="24"/>
        </w:rPr>
        <w:t xml:space="preserve">As part of the compliance filing, </w:t>
      </w:r>
      <w:r w:rsidR="00D725C0" w:rsidRPr="00F300A2">
        <w:rPr>
          <w:rFonts w:eastAsia="Times New Roman"/>
          <w:szCs w:val="24"/>
        </w:rPr>
        <w:t>the</w:t>
      </w:r>
      <w:r w:rsidR="00D725C0" w:rsidRPr="009257C3">
        <w:rPr>
          <w:rFonts w:eastAsia="Times New Roman"/>
          <w:szCs w:val="24"/>
        </w:rPr>
        <w:t xml:space="preserve"> ISO modified it</w:t>
      </w:r>
      <w:r w:rsidR="00F90873">
        <w:rPr>
          <w:rFonts w:eastAsia="Times New Roman"/>
          <w:szCs w:val="24"/>
        </w:rPr>
        <w:t>s</w:t>
      </w:r>
      <w:r w:rsidR="00D725C0" w:rsidRPr="009257C3">
        <w:rPr>
          <w:rFonts w:eastAsia="Times New Roman"/>
          <w:szCs w:val="24"/>
        </w:rPr>
        <w:t xml:space="preserve"> market rules to recognize the physical and operational characteristics of electric</w:t>
      </w:r>
      <w:r w:rsidR="00930ED2" w:rsidRPr="009257C3">
        <w:rPr>
          <w:rFonts w:eastAsia="Times New Roman"/>
          <w:szCs w:val="24"/>
        </w:rPr>
        <w:t>-</w:t>
      </w:r>
      <w:r w:rsidR="00D725C0" w:rsidRPr="009257C3">
        <w:rPr>
          <w:rFonts w:eastAsia="Times New Roman"/>
          <w:szCs w:val="24"/>
        </w:rPr>
        <w:t xml:space="preserve">storage resources to </w:t>
      </w:r>
      <w:r w:rsidR="00BD6652">
        <w:rPr>
          <w:rFonts w:eastAsia="Times New Roman"/>
          <w:szCs w:val="24"/>
        </w:rPr>
        <w:t>further</w:t>
      </w:r>
      <w:r w:rsidR="00D725C0" w:rsidRPr="009257C3">
        <w:rPr>
          <w:rFonts w:eastAsia="Times New Roman"/>
          <w:szCs w:val="24"/>
        </w:rPr>
        <w:t xml:space="preserve"> facilitate their participation in </w:t>
      </w:r>
      <w:r>
        <w:rPr>
          <w:rFonts w:eastAsia="Times New Roman"/>
          <w:szCs w:val="24"/>
        </w:rPr>
        <w:t>all</w:t>
      </w:r>
      <w:r w:rsidR="00D725C0" w:rsidRPr="009257C3">
        <w:rPr>
          <w:rFonts w:eastAsia="Times New Roman"/>
          <w:szCs w:val="24"/>
        </w:rPr>
        <w:t xml:space="preserve"> markets. The “participation model” for energy storage is applicable to all types of electric</w:t>
      </w:r>
      <w:r w:rsidR="00930ED2" w:rsidRPr="00F300A2">
        <w:rPr>
          <w:rFonts w:eastAsia="Times New Roman"/>
          <w:szCs w:val="24"/>
        </w:rPr>
        <w:t>-</w:t>
      </w:r>
      <w:r w:rsidR="00D725C0" w:rsidRPr="009257C3">
        <w:rPr>
          <w:rFonts w:eastAsia="Times New Roman"/>
          <w:szCs w:val="24"/>
        </w:rPr>
        <w:t>storage technologies 100 kW or greater where the energy</w:t>
      </w:r>
      <w:r w:rsidR="00930ED2" w:rsidRPr="00F300A2">
        <w:rPr>
          <w:rFonts w:eastAsia="Times New Roman"/>
          <w:szCs w:val="24"/>
        </w:rPr>
        <w:t>-</w:t>
      </w:r>
      <w:r w:rsidR="00D725C0" w:rsidRPr="009257C3">
        <w:rPr>
          <w:rFonts w:eastAsia="Times New Roman"/>
          <w:szCs w:val="24"/>
        </w:rPr>
        <w:t xml:space="preserve">storage resource can participate in markets to provide all services </w:t>
      </w:r>
      <w:r w:rsidR="00930ED2" w:rsidRPr="00F300A2">
        <w:rPr>
          <w:rFonts w:eastAsia="Times New Roman"/>
          <w:szCs w:val="24"/>
        </w:rPr>
        <w:t xml:space="preserve">within their </w:t>
      </w:r>
      <w:r w:rsidR="00D725C0" w:rsidRPr="009257C3">
        <w:rPr>
          <w:rFonts w:eastAsia="Times New Roman"/>
          <w:szCs w:val="24"/>
        </w:rPr>
        <w:t>capab</w:t>
      </w:r>
      <w:r w:rsidR="00930ED2" w:rsidRPr="00F300A2">
        <w:rPr>
          <w:rFonts w:eastAsia="Times New Roman"/>
          <w:szCs w:val="24"/>
        </w:rPr>
        <w:t>ilities</w:t>
      </w:r>
      <w:r w:rsidR="002C396D" w:rsidRPr="00F300A2">
        <w:rPr>
          <w:rFonts w:eastAsia="Times New Roman"/>
          <w:szCs w:val="24"/>
        </w:rPr>
        <w:t xml:space="preserve"> </w:t>
      </w:r>
      <w:r w:rsidR="00D725C0" w:rsidRPr="009257C3">
        <w:rPr>
          <w:rFonts w:eastAsia="Times New Roman"/>
          <w:szCs w:val="24"/>
        </w:rPr>
        <w:t xml:space="preserve">and manage their own state of charge. </w:t>
      </w:r>
      <w:r>
        <w:rPr>
          <w:rFonts w:eastAsia="Times New Roman"/>
          <w:szCs w:val="24"/>
        </w:rPr>
        <w:t xml:space="preserve">In </w:t>
      </w:r>
      <w:r w:rsidRPr="009257C3">
        <w:rPr>
          <w:rFonts w:eastAsia="Times New Roman"/>
          <w:szCs w:val="24"/>
        </w:rPr>
        <w:t>a</w:t>
      </w:r>
      <w:r w:rsidR="00D725C0" w:rsidRPr="009257C3">
        <w:rPr>
          <w:rFonts w:eastAsia="Times New Roman"/>
          <w:szCs w:val="24"/>
        </w:rPr>
        <w:t>ddition</w:t>
      </w:r>
      <w:r w:rsidRPr="00F300A2">
        <w:rPr>
          <w:rFonts w:eastAsia="Times New Roman"/>
          <w:szCs w:val="24"/>
        </w:rPr>
        <w:t>, as part of the Enhanced Storage Participation R</w:t>
      </w:r>
      <w:r w:rsidR="00D725C0" w:rsidRPr="009257C3">
        <w:rPr>
          <w:rFonts w:eastAsia="Times New Roman"/>
          <w:szCs w:val="24"/>
        </w:rPr>
        <w:t>ules</w:t>
      </w:r>
      <w:r w:rsidRPr="00F300A2">
        <w:rPr>
          <w:rFonts w:eastAsia="Times New Roman"/>
          <w:szCs w:val="24"/>
        </w:rPr>
        <w:t>, grid-scale batteries and other emerging storage technologies can be dispatched and priced in the Real-Time Energy Market in a manner that more fully recognizes their ability to transition continuously and rapidly between a charging state (as demand) and a discharging state (as generation)</w:t>
      </w:r>
      <w:r w:rsidR="007D15D1">
        <w:rPr>
          <w:rFonts w:eastAsia="Times New Roman"/>
          <w:szCs w:val="24"/>
        </w:rPr>
        <w:t>.</w:t>
      </w:r>
      <w:r w:rsidR="00930ED2" w:rsidRPr="00F300A2">
        <w:rPr>
          <w:rFonts w:eastAsia="Times New Roman"/>
          <w:szCs w:val="24"/>
          <w:vertAlign w:val="superscript"/>
        </w:rPr>
        <w:footnoteReference w:id="356"/>
      </w:r>
    </w:p>
    <w:p w14:paraId="3BA2D13C" w14:textId="77777777" w:rsidR="007104D4" w:rsidRPr="007104D4" w:rsidRDefault="00601169" w:rsidP="004B7400">
      <w:pPr>
        <w:numPr>
          <w:ilvl w:val="0"/>
          <w:numId w:val="756"/>
        </w:numPr>
        <w:spacing w:line="276" w:lineRule="auto"/>
      </w:pPr>
      <w:r w:rsidRPr="007104D4">
        <w:t xml:space="preserve">The ISO now performs subhourly settlements over shorter periods, which rewards desired resource performance responding to rapid changes in the system. </w:t>
      </w:r>
    </w:p>
    <w:p w14:paraId="7041AE62" w14:textId="77777777" w:rsidR="00D725C0" w:rsidRPr="00D725C0" w:rsidRDefault="00D725C0" w:rsidP="00D725C0">
      <w:r w:rsidRPr="00D725C0">
        <w:t xml:space="preserve">ISO New England has long recognized the role of distributed energy resources in the wholesale electricity markets. The ISO has been adapting (and will continue to adapt) its market design to accommodate the transition to a growing level of DERs. A distribution system operator could determine the feasibility of operating DERs in the system’s footprint and coordinate </w:t>
      </w:r>
      <w:r w:rsidR="004A09A0">
        <w:t xml:space="preserve">the </w:t>
      </w:r>
      <w:r w:rsidRPr="00D725C0">
        <w:t xml:space="preserve">economic dispatch of </w:t>
      </w:r>
      <w:r w:rsidR="000A1A0B">
        <w:t xml:space="preserve">these resources </w:t>
      </w:r>
      <w:r w:rsidRPr="00D725C0">
        <w:t>with the ISO</w:t>
      </w:r>
      <w:r w:rsidR="000A1A0B">
        <w:t xml:space="preserve">, which </w:t>
      </w:r>
      <w:r w:rsidR="001C5E19">
        <w:t xml:space="preserve">would develop a systemwide </w:t>
      </w:r>
      <w:r w:rsidRPr="007104D4">
        <w:t xml:space="preserve">demand curve for power that reflects distributed energy </w:t>
      </w:r>
      <w:r w:rsidRPr="007104D4">
        <w:lastRenderedPageBreak/>
        <w:t>resource costs. Clearly identify</w:t>
      </w:r>
      <w:r w:rsidRPr="00D725C0">
        <w:t>ing which entity will be responsible for functioning as the distribution system operator in a high-DER future will be essential early in this transition.</w:t>
      </w:r>
    </w:p>
    <w:p w14:paraId="22CBD04D" w14:textId="77777777" w:rsidR="00D725C0" w:rsidRPr="00D725C0" w:rsidRDefault="00D725C0" w:rsidP="00947CFC">
      <w:pPr>
        <w:pStyle w:val="Heading2"/>
        <w:rPr>
          <w:rFonts w:eastAsia="Times New Roman"/>
        </w:rPr>
      </w:pPr>
      <w:bookmarkStart w:id="1023" w:name="_Toc396807681"/>
      <w:bookmarkStart w:id="1024" w:name="_Toc429063472"/>
      <w:bookmarkStart w:id="1025" w:name="_Toc490323106"/>
      <w:bookmarkStart w:id="1026" w:name="_Toc12795272"/>
      <w:r w:rsidRPr="00D725C0">
        <w:rPr>
          <w:rFonts w:eastAsia="Times New Roman"/>
        </w:rPr>
        <w:t>Summary</w:t>
      </w:r>
      <w:bookmarkEnd w:id="1023"/>
      <w:bookmarkEnd w:id="1024"/>
      <w:bookmarkEnd w:id="1025"/>
      <w:bookmarkEnd w:id="1026"/>
      <w:r w:rsidRPr="00D725C0">
        <w:rPr>
          <w:rFonts w:eastAsia="Times New Roman"/>
        </w:rPr>
        <w:t xml:space="preserve"> </w:t>
      </w:r>
    </w:p>
    <w:p w14:paraId="0002E6A1" w14:textId="77777777" w:rsidR="00D725C0" w:rsidRPr="00D725C0" w:rsidRDefault="00D725C0" w:rsidP="00D725C0">
      <w:r w:rsidRPr="00D725C0">
        <w:t>New England’s electric power grid is rapidly changing</w:t>
      </w:r>
      <w:r w:rsidR="000A1A0B">
        <w:t>,</w:t>
      </w:r>
      <w:r w:rsidRPr="00D725C0">
        <w:t xml:space="preserve"> in large measure in response to public policies. The growth of inverter-based resources an</w:t>
      </w:r>
      <w:r w:rsidRPr="00F84EA9">
        <w:t>d demand resources</w:t>
      </w:r>
      <w:r w:rsidRPr="00D725C0">
        <w:t xml:space="preserve"> provides many advantages of reduced energy costs, lower emissions, and less dependence on natural gas-fired generation. However, it also increases the complexity of real-time operations, regional planning, and the economic performance of the system. </w:t>
      </w:r>
    </w:p>
    <w:p w14:paraId="0A565B00" w14:textId="77777777" w:rsidR="00D725C0" w:rsidRPr="00D725C0" w:rsidRDefault="00D725C0" w:rsidP="00D725C0">
      <w:r w:rsidRPr="00D725C0">
        <w:t>The ISO and outside organizations have performed research and conducted analyses that have helped frame grid</w:t>
      </w:r>
      <w:r w:rsidR="00D12018">
        <w:t>-</w:t>
      </w:r>
      <w:r w:rsidRPr="00D725C0">
        <w:t xml:space="preserve">transformation issues and work toward possible solutions. ISO </w:t>
      </w:r>
      <w:r w:rsidR="00315751">
        <w:t>e</w:t>
      </w:r>
      <w:r w:rsidRPr="00D725C0">
        <w:t xml:space="preserve">conomic </w:t>
      </w:r>
      <w:r w:rsidR="00315751">
        <w:t>s</w:t>
      </w:r>
      <w:r w:rsidRPr="00D725C0">
        <w:t>tudies show the effects of the large-scale development of inverter</w:t>
      </w:r>
      <w:r w:rsidR="00CE4A97">
        <w:t>-</w:t>
      </w:r>
      <w:r w:rsidRPr="00D725C0">
        <w:t xml:space="preserve">based technologies and build on work provided by NREL and other organizations. </w:t>
      </w:r>
      <w:r w:rsidR="00910051" w:rsidRPr="00502D19">
        <w:t xml:space="preserve">For example, ISO </w:t>
      </w:r>
      <w:r w:rsidR="00896268">
        <w:t xml:space="preserve">economic </w:t>
      </w:r>
      <w:r w:rsidR="00910051" w:rsidRPr="00502D19">
        <w:t>studies rely on NREL data sets critical for modeling hypothetical wind and PV resources in its planning studies.</w:t>
      </w:r>
      <w:r w:rsidR="00910051">
        <w:t xml:space="preserve"> </w:t>
      </w:r>
      <w:r w:rsidRPr="00D725C0">
        <w:t>The ISO will continue to track industry research and monitor the effects that increased amounts of VERs have on system performance.</w:t>
      </w:r>
    </w:p>
    <w:p w14:paraId="2DEDBE6F" w14:textId="77777777" w:rsidR="00D725C0" w:rsidRPr="00D725C0" w:rsidRDefault="00D725C0" w:rsidP="00D725C0">
      <w:r w:rsidRPr="00D725C0">
        <w:t>The development of renewables is facilitated by advances in transmission technologies (e.g., FACTS, HVDC, and adaptive protection). Analysis tools for more accurate forecasting of the state of the system and accounting for its</w:t>
      </w:r>
      <w:r w:rsidR="00896268">
        <w:t xml:space="preserve"> probabilistic</w:t>
      </w:r>
      <w:r w:rsidRPr="00D725C0">
        <w:t xml:space="preserve"> nature in studies can improve the overall operations and planning of the system. The application of phasor measurement units and modern analysis techniques also provide improved measurements of key data, estimates of the state of the system, and security analysis. Special controls, especially on inverter-based technologies and demand, can help achieve more reliable and economic performance of the system. </w:t>
      </w:r>
    </w:p>
    <w:p w14:paraId="14AF68D0" w14:textId="77777777" w:rsidR="00D725C0" w:rsidRPr="00D725C0" w:rsidRDefault="00D725C0" w:rsidP="00D725C0">
      <w:r w:rsidRPr="00D725C0">
        <w:t>The ISO is actively enabling the reliable integration of renewable an</w:t>
      </w:r>
      <w:r w:rsidRPr="008B4C47">
        <w:t xml:space="preserve">d distributed resources through improvements in regional planning, operations, and markets processes. </w:t>
      </w:r>
      <w:r w:rsidR="007104D4" w:rsidRPr="008B4C47">
        <w:t xml:space="preserve">The implementation of </w:t>
      </w:r>
      <w:r w:rsidR="0000250A" w:rsidRPr="008B4C47">
        <w:t xml:space="preserve">a </w:t>
      </w:r>
      <w:r w:rsidR="007104D4" w:rsidRPr="008B4C47">
        <w:t>cluster stud</w:t>
      </w:r>
      <w:r w:rsidR="0000250A" w:rsidRPr="008B4C47">
        <w:t>y methodology</w:t>
      </w:r>
      <w:r w:rsidR="007104D4" w:rsidRPr="008B4C47">
        <w:t xml:space="preserve"> </w:t>
      </w:r>
      <w:r w:rsidR="0000250A" w:rsidRPr="008B4C47">
        <w:t xml:space="preserve">as part of </w:t>
      </w:r>
      <w:r w:rsidR="007104D4" w:rsidRPr="008B4C47">
        <w:t>the ISO</w:t>
      </w:r>
      <w:r w:rsidR="0000250A" w:rsidRPr="008B4C47">
        <w:t>’s</w:t>
      </w:r>
      <w:r w:rsidR="007104D4" w:rsidRPr="008B4C47">
        <w:t xml:space="preserve"> interconnection </w:t>
      </w:r>
      <w:r w:rsidR="00896268" w:rsidRPr="008B4C47">
        <w:t>process</w:t>
      </w:r>
      <w:r w:rsidR="007104D4" w:rsidRPr="008B4C47">
        <w:t xml:space="preserve"> </w:t>
      </w:r>
      <w:r w:rsidR="00D02A11">
        <w:t xml:space="preserve">better </w:t>
      </w:r>
      <w:r w:rsidR="007104D4" w:rsidRPr="008B4C47">
        <w:t xml:space="preserve">facilitates the planning of new wind resources. </w:t>
      </w:r>
      <w:r w:rsidRPr="008B4C47">
        <w:t xml:space="preserve">The ISO </w:t>
      </w:r>
      <w:r w:rsidR="0000250A" w:rsidRPr="008B4C47">
        <w:t xml:space="preserve">also </w:t>
      </w:r>
      <w:r w:rsidR="00073715" w:rsidRPr="008B4C47">
        <w:t xml:space="preserve">improved its </w:t>
      </w:r>
      <w:r w:rsidRPr="008B4C47">
        <w:t>forecast</w:t>
      </w:r>
      <w:r w:rsidR="00073715" w:rsidRPr="008B4C47">
        <w:t xml:space="preserve">ing of </w:t>
      </w:r>
      <w:r w:rsidRPr="008B4C47">
        <w:t>wind resource and PV production and the dispatch methods used for operating the system. The region currently applies the voltage and frequency ride-through characteristics required by recently approved standards for interconnecting distributed energy resources. A number of improvements to the wholesale markets promote resource responses</w:t>
      </w:r>
      <w:r w:rsidR="008B4C47" w:rsidRPr="008B4C47">
        <w:t xml:space="preserve">, such as system flexibility, </w:t>
      </w:r>
      <w:r w:rsidRPr="008B4C47">
        <w:t>that facilitate grid transformation.</w:t>
      </w:r>
      <w:r w:rsidRPr="00D725C0">
        <w:t xml:space="preserve"> </w:t>
      </w:r>
    </w:p>
    <w:p w14:paraId="2854AEAF" w14:textId="77777777" w:rsidR="00D725C0" w:rsidRPr="00D725C0" w:rsidRDefault="00D725C0" w:rsidP="00D725C0">
      <w:r w:rsidRPr="00D725C0">
        <w:t>Demand resources and storage technologies hold the promise of providing needed system flexibility. Cyber- and physical security requirements must be met to ensure a secure operation independent of any potential changes in the industry structure.</w:t>
      </w:r>
    </w:p>
    <w:p w14:paraId="53BE2F1D" w14:textId="77777777" w:rsidR="00A76C4B" w:rsidRDefault="00D725C0" w:rsidP="00D725C0">
      <w:pPr>
        <w:sectPr w:rsidR="00A76C4B" w:rsidSect="0035003E">
          <w:pgSz w:w="12240" w:h="15840"/>
          <w:pgMar w:top="1440" w:right="1440" w:bottom="1440" w:left="1800" w:header="720" w:footer="720" w:gutter="0"/>
          <w:cols w:space="720"/>
          <w:docGrid w:linePitch="360"/>
        </w:sectPr>
      </w:pPr>
      <w:r w:rsidRPr="00D725C0">
        <w:t>Operational coordination between the wholesale market and retail-level distributed resources and microgrids is complex, and it will remain important for all resources that provide wholesale grid reliability services to have the same obligations and performance incentives. At present</w:t>
      </w:r>
      <w:r w:rsidR="00073715">
        <w:t>,</w:t>
      </w:r>
      <w:r w:rsidRPr="00D725C0">
        <w:t xml:space="preserve"> the ISO relies on aggregators to integrate small-scale distributed resources into the wholesale market, much as the ISO does with demand-response providers. For example, the ISO’s integration of demand response paved the way for the full integration of storage and microgrids.</w:t>
      </w:r>
      <w:r w:rsidR="00CE4A97">
        <w:t xml:space="preserve"> </w:t>
      </w:r>
      <w:r w:rsidR="00CE4A97" w:rsidRPr="00827529">
        <w:t xml:space="preserve">Non-FERC-jurisdictional cluster studies administered by distribution owners should facilitate the interconnection of new </w:t>
      </w:r>
      <w:r w:rsidR="00073715" w:rsidRPr="00827529">
        <w:t>distributed energy resources</w:t>
      </w:r>
      <w:r w:rsidR="00CE4A97" w:rsidRPr="00827529">
        <w:t>.</w:t>
      </w:r>
    </w:p>
    <w:p w14:paraId="42224693" w14:textId="77777777" w:rsidR="00A22EB7" w:rsidRPr="00A22EB7" w:rsidRDefault="00A22EB7" w:rsidP="0035003E">
      <w:pPr>
        <w:pStyle w:val="Heading1"/>
      </w:pPr>
      <w:bookmarkStart w:id="1027" w:name="_Ref418359320"/>
      <w:bookmarkStart w:id="1028" w:name="_Ref418860448"/>
      <w:bookmarkStart w:id="1029" w:name="_Ref418861997"/>
      <w:bookmarkStart w:id="1030" w:name="_Ref418883909"/>
      <w:bookmarkStart w:id="1031" w:name="_Ref418891206"/>
      <w:bookmarkStart w:id="1032" w:name="_Toc429063473"/>
      <w:r w:rsidRPr="00A22EB7">
        <w:lastRenderedPageBreak/>
        <w:br/>
      </w:r>
      <w:bookmarkStart w:id="1033" w:name="_Toc485367335"/>
      <w:bookmarkStart w:id="1034" w:name="_Ref485718449"/>
      <w:bookmarkStart w:id="1035" w:name="_Ref485736810"/>
      <w:bookmarkStart w:id="1036" w:name="_Toc490323107"/>
      <w:bookmarkStart w:id="1037" w:name="_Ref8982370"/>
      <w:bookmarkStart w:id="1038" w:name="_Ref12273421"/>
      <w:bookmarkStart w:id="1039" w:name="_Toc12795273"/>
      <w:r w:rsidRPr="00A22EB7">
        <w:t>Multistate and State Initiatives</w:t>
      </w:r>
      <w:bookmarkEnd w:id="1033"/>
      <w:bookmarkEnd w:id="1034"/>
      <w:bookmarkEnd w:id="1035"/>
      <w:bookmarkEnd w:id="1036"/>
      <w:bookmarkEnd w:id="1037"/>
      <w:bookmarkEnd w:id="1038"/>
      <w:bookmarkEnd w:id="1039"/>
    </w:p>
    <w:p w14:paraId="37FA437A" w14:textId="77777777" w:rsidR="00A22EB7" w:rsidRPr="00A22EB7" w:rsidRDefault="00A22EB7" w:rsidP="00A22EB7">
      <w:r w:rsidRPr="00A22EB7">
        <w:t xml:space="preserve">As described throughout RSP19, the ISO is involved in a number of initiatives aimed at developing and integrating new technologies, </w:t>
      </w:r>
      <w:r w:rsidR="00C46FFA">
        <w:t>improving</w:t>
      </w:r>
      <w:r w:rsidRPr="00A22EB7">
        <w:t xml:space="preserve"> operating and planning procedures, and updating the wholesale markets to enhance system reliability. Federal initiatives, by FERC, DOE, and the White House, also address reliability as well as security issues. At the state and multistate levels, the focus of this section, a number of initiatives and policies have a significant impact on the wholesale electricity markets and transmission developed to meet system needs, specifically influencing the timing, type, and location of resources and transmission infrastructure. Initiatives and policies of each of the six New England states, and jointly, also address renewable energy and environmental concerns. </w:t>
      </w:r>
    </w:p>
    <w:p w14:paraId="16FB8381" w14:textId="77777777" w:rsidR="00A22EB7" w:rsidRPr="00A22EB7" w:rsidRDefault="00A22EB7" w:rsidP="007D15D1">
      <w:pPr>
        <w:pStyle w:val="Heading2"/>
        <w:rPr>
          <w:rFonts w:eastAsia="Times New Roman"/>
        </w:rPr>
      </w:pPr>
      <w:bookmarkStart w:id="1040" w:name="_Ref360787033"/>
      <w:bookmarkStart w:id="1041" w:name="_Toc365441062"/>
      <w:bookmarkStart w:id="1042" w:name="_Toc396807696"/>
      <w:bookmarkStart w:id="1043" w:name="_Toc485367337"/>
      <w:bookmarkStart w:id="1044" w:name="_Toc490323109"/>
      <w:bookmarkStart w:id="1045" w:name="_Toc12795274"/>
      <w:r w:rsidRPr="00A22EB7">
        <w:rPr>
          <w:rFonts w:eastAsia="Times New Roman"/>
        </w:rPr>
        <w:t>Multistate Initiatives</w:t>
      </w:r>
      <w:bookmarkEnd w:id="1040"/>
      <w:bookmarkEnd w:id="1041"/>
      <w:bookmarkEnd w:id="1042"/>
      <w:bookmarkEnd w:id="1043"/>
      <w:bookmarkEnd w:id="1044"/>
      <w:bookmarkEnd w:id="1045"/>
    </w:p>
    <w:p w14:paraId="49F099B8" w14:textId="77777777" w:rsidR="00A22EB7" w:rsidRPr="00A22EB7" w:rsidRDefault="00A22EB7" w:rsidP="00A22EB7">
      <w:r w:rsidRPr="00A22EB7">
        <w:t xml:space="preserve">While each New England state has a unique set of energy policy objectives and goals, they have worked together continually to identify, discuss, and address energy issues of common interest. This section discusses activities at the multistate level that affect the regional power system. </w:t>
      </w:r>
    </w:p>
    <w:p w14:paraId="2E4607FA" w14:textId="77777777" w:rsidR="00A22EB7" w:rsidRPr="00A22EB7" w:rsidRDefault="00A22EB7" w:rsidP="005A61B1">
      <w:pPr>
        <w:pStyle w:val="Heading3"/>
      </w:pPr>
      <w:bookmarkStart w:id="1046" w:name="_Toc365441063"/>
      <w:bookmarkStart w:id="1047" w:name="_Ref388278697"/>
      <w:bookmarkStart w:id="1048" w:name="_Ref388711066"/>
      <w:bookmarkStart w:id="1049" w:name="_Ref388962933"/>
      <w:bookmarkStart w:id="1050" w:name="_Toc396807697"/>
      <w:bookmarkStart w:id="1051" w:name="_Ref416425488"/>
      <w:bookmarkStart w:id="1052" w:name="_Ref419639926"/>
      <w:bookmarkStart w:id="1053" w:name="_Toc485367338"/>
      <w:bookmarkStart w:id="1054" w:name="_Toc490323111"/>
      <w:bookmarkStart w:id="1055" w:name="_Ref10812974"/>
      <w:bookmarkStart w:id="1056" w:name="_Toc12795275"/>
      <w:r w:rsidRPr="00A22EB7">
        <w:t>Coordination among the New England States</w:t>
      </w:r>
      <w:bookmarkEnd w:id="1046"/>
      <w:bookmarkEnd w:id="1047"/>
      <w:bookmarkEnd w:id="1048"/>
      <w:bookmarkEnd w:id="1049"/>
      <w:bookmarkEnd w:id="1050"/>
      <w:bookmarkEnd w:id="1051"/>
      <w:bookmarkEnd w:id="1052"/>
      <w:bookmarkEnd w:id="1053"/>
      <w:bookmarkEnd w:id="1054"/>
      <w:bookmarkEnd w:id="1055"/>
      <w:bookmarkEnd w:id="1056"/>
      <w:r w:rsidRPr="00A22EB7">
        <w:t xml:space="preserve"> </w:t>
      </w:r>
    </w:p>
    <w:p w14:paraId="4FACDD62" w14:textId="77777777" w:rsidR="00A22EB7" w:rsidRPr="00A22EB7" w:rsidRDefault="00A22EB7" w:rsidP="00A22EB7">
      <w:bookmarkStart w:id="1057" w:name="_Toc365441065"/>
      <w:bookmarkStart w:id="1058" w:name="_Toc396807698"/>
      <w:r w:rsidRPr="00A22EB7">
        <w:t>Each of the New England states is actively involved in the ISO’s regional planning process, individually and through the New England States Committee on Electricity (NESCOE).</w:t>
      </w:r>
      <w:r w:rsidRPr="00A22EB7">
        <w:rPr>
          <w:vertAlign w:val="superscript"/>
        </w:rPr>
        <w:footnoteReference w:id="357"/>
      </w:r>
      <w:r w:rsidRPr="00A22EB7">
        <w:t xml:space="preserve"> NESCOE serves as one forum for representatives from the states to participate in the ISO's decision-making processes, including those dealing with resource adequacy and system planning and infrastructure expansion. </w:t>
      </w:r>
    </w:p>
    <w:p w14:paraId="35B5D118" w14:textId="77777777" w:rsidR="00A22EB7" w:rsidRPr="00A22EB7" w:rsidRDefault="00A22EB7" w:rsidP="00A22EB7">
      <w:pPr>
        <w:rPr>
          <w:rFonts w:eastAsia="Times New Roman"/>
        </w:rPr>
      </w:pPr>
      <w:r w:rsidRPr="00A22EB7">
        <w:rPr>
          <w:rFonts w:eastAsia="Times New Roman"/>
        </w:rPr>
        <w:t>In addition to NESCOE, the ISO works collaboratively with the New England Conference of Public Utilities Commissioners (NECPUC), the New England governors’ offices, and the states’ consumer advocates. The ISO provides monthly updates to the states on regional stakeholder discussions regarding the regional planning process and the wholesale electricity markets.</w:t>
      </w:r>
      <w:r w:rsidRPr="00A22EB7">
        <w:rPr>
          <w:rFonts w:eastAsia="Times New Roman"/>
          <w:vertAlign w:val="superscript"/>
        </w:rPr>
        <w:footnoteReference w:id="358"/>
      </w:r>
      <w:r w:rsidRPr="00A22EB7">
        <w:rPr>
          <w:rFonts w:eastAsia="Times New Roman"/>
        </w:rPr>
        <w:t xml:space="preserve"> </w:t>
      </w:r>
    </w:p>
    <w:p w14:paraId="1B234D0E" w14:textId="77777777" w:rsidR="00DD66C1" w:rsidRDefault="00A22EB7" w:rsidP="00A22EB7">
      <w:pPr>
        <w:rPr>
          <w:iCs/>
        </w:rPr>
      </w:pPr>
      <w:r w:rsidRPr="00A22EB7">
        <w:rPr>
          <w:rFonts w:eastAsia="Times New Roman"/>
        </w:rPr>
        <w:t xml:space="preserve">The New England </w:t>
      </w:r>
      <w:r w:rsidR="00547C88">
        <w:rPr>
          <w:rFonts w:eastAsia="Times New Roman"/>
        </w:rPr>
        <w:t>s</w:t>
      </w:r>
      <w:r w:rsidRPr="00A22EB7">
        <w:rPr>
          <w:rFonts w:eastAsia="Times New Roman"/>
        </w:rPr>
        <w:t xml:space="preserve">tates also participate in national organizations, such as </w:t>
      </w:r>
      <w:r w:rsidRPr="00A22EB7">
        <w:rPr>
          <w:iCs/>
        </w:rPr>
        <w:t xml:space="preserve">the </w:t>
      </w:r>
      <w:r w:rsidR="00547C88">
        <w:rPr>
          <w:iCs/>
        </w:rPr>
        <w:t xml:space="preserve">National Association of State Energy Offices (NASEO) and the </w:t>
      </w:r>
      <w:r w:rsidRPr="00A22EB7">
        <w:rPr>
          <w:iCs/>
        </w:rPr>
        <w:t>National Council on Electricity Policy (NCEP), recently reinvigorated by the National Association of Regulatory Utility Commissioners (NARUC).</w:t>
      </w:r>
      <w:r>
        <w:rPr>
          <w:rStyle w:val="FootnoteReference"/>
          <w:iCs/>
        </w:rPr>
        <w:footnoteReference w:id="359"/>
      </w:r>
      <w:r w:rsidRPr="00A22EB7">
        <w:rPr>
          <w:iCs/>
        </w:rPr>
        <w:t xml:space="preserve"> </w:t>
      </w:r>
      <w:r w:rsidR="00547C88">
        <w:rPr>
          <w:iCs/>
        </w:rPr>
        <w:t>In 2018, NASEO and NARUC established a joint task force on comprehensive energy planning.</w:t>
      </w:r>
      <w:r w:rsidR="00547C88" w:rsidRPr="00547C88">
        <w:rPr>
          <w:iCs/>
          <w:vertAlign w:val="superscript"/>
        </w:rPr>
        <w:footnoteReference w:id="360"/>
      </w:r>
      <w:r w:rsidR="00547C88" w:rsidRPr="00547C88">
        <w:rPr>
          <w:iCs/>
        </w:rPr>
        <w:t xml:space="preserve"> </w:t>
      </w:r>
      <w:r w:rsidRPr="00A22EB7">
        <w:rPr>
          <w:iCs/>
        </w:rPr>
        <w:t xml:space="preserve">As requested, the ISO and committees it supports (e.g., the Eastern Interconnection Planning Collaborative) provide information and coordinate on key issues affecting large national areas. </w:t>
      </w:r>
    </w:p>
    <w:p w14:paraId="344FC291" w14:textId="77777777" w:rsidR="00DD66C1" w:rsidRPr="00A22EB7" w:rsidRDefault="00DD66C1" w:rsidP="00A22EB7">
      <w:pPr>
        <w:rPr>
          <w:rFonts w:eastAsia="Times New Roman"/>
        </w:rPr>
      </w:pPr>
    </w:p>
    <w:p w14:paraId="72E7FC28" w14:textId="77777777" w:rsidR="00A22EB7" w:rsidRPr="00A22EB7" w:rsidRDefault="00A22EB7" w:rsidP="005A61B1">
      <w:pPr>
        <w:pStyle w:val="Heading3"/>
      </w:pPr>
      <w:bookmarkStart w:id="1059" w:name="_Toc485367339"/>
      <w:bookmarkStart w:id="1060" w:name="_Toc490323112"/>
      <w:bookmarkStart w:id="1061" w:name="_Toc12795276"/>
      <w:r w:rsidRPr="00A22EB7">
        <w:lastRenderedPageBreak/>
        <w:t>Consumer Liaison Group</w:t>
      </w:r>
      <w:bookmarkEnd w:id="1057"/>
      <w:bookmarkEnd w:id="1058"/>
      <w:bookmarkEnd w:id="1059"/>
      <w:bookmarkEnd w:id="1060"/>
      <w:bookmarkEnd w:id="1061"/>
    </w:p>
    <w:p w14:paraId="48C16F4F" w14:textId="77777777" w:rsidR="00A22EB7" w:rsidRPr="00A22EB7" w:rsidRDefault="00A22EB7" w:rsidP="00A22EB7">
      <w:bookmarkStart w:id="1062" w:name="_Ref419278782"/>
      <w:r w:rsidRPr="00A22EB7">
        <w:t>The ISO and regional electricity market stakeholders created the Consumer Liaison Group (CLG) in 2009 as an additional means to facilitate the consideration of consumer interests in determining the needs and solutions for the region’s power system.</w:t>
      </w:r>
      <w:r w:rsidRPr="00A22EB7">
        <w:rPr>
          <w:vertAlign w:val="superscript"/>
        </w:rPr>
        <w:footnoteReference w:id="361"/>
      </w:r>
      <w:r w:rsidRPr="00A22EB7">
        <w:t xml:space="preserve"> With representatives from state offices of consumer advocates and attorneys general, large industrial and commercial consumers, chambers of commerce, and others, the CLG meets quarterly to address various electricity issues affecting consumers. With the input of CLG members, a Coordinating Committee guides CLG meeting agendas and ideas for special guest speakers and discussion topics.</w:t>
      </w:r>
    </w:p>
    <w:p w14:paraId="3FD80F61" w14:textId="77777777" w:rsidR="00A22EB7" w:rsidRPr="00A22EB7" w:rsidRDefault="00A22EB7" w:rsidP="00A22EB7">
      <w:r w:rsidRPr="00A22EB7">
        <w:t xml:space="preserve">In 2018, the CLG discussed the changing wholesale electricity markets, the evolution of energy efficiency, and the electrification of the heating sector. On March 12, 2019, the CLG Coordinating Committee </w:t>
      </w:r>
      <w:r w:rsidR="00D04E3D">
        <w:t xml:space="preserve">(CLGCC) </w:t>
      </w:r>
      <w:r w:rsidRPr="00A22EB7">
        <w:t xml:space="preserve">and the ISO issued the </w:t>
      </w:r>
      <w:r w:rsidRPr="00A22EB7">
        <w:rPr>
          <w:i/>
        </w:rPr>
        <w:t>2018 Report of the Consumer Liaison Group</w:t>
      </w:r>
      <w:r w:rsidRPr="00A22EB7">
        <w:t>, which summarizes the activities of the CLG in 2018.</w:t>
      </w:r>
      <w:r w:rsidRPr="00A22EB7">
        <w:rPr>
          <w:vertAlign w:val="superscript"/>
        </w:rPr>
        <w:footnoteReference w:id="362"/>
      </w:r>
      <w:r w:rsidRPr="00A22EB7">
        <w:t xml:space="preserve"> It also provides an update on ISO activities and initiatives, as well as wholesale electricity costs and retail electricity rates.</w:t>
      </w:r>
    </w:p>
    <w:p w14:paraId="5ED2C25F" w14:textId="3F137F36" w:rsidR="00A22EB7" w:rsidRPr="00A73CC1" w:rsidRDefault="00A22EB7" w:rsidP="005A61B1">
      <w:pPr>
        <w:pStyle w:val="Heading3"/>
      </w:pPr>
      <w:bookmarkStart w:id="1063" w:name="_Toc485367340"/>
      <w:bookmarkStart w:id="1064" w:name="_Ref486240401"/>
      <w:bookmarkStart w:id="1065" w:name="_Ref486240479"/>
      <w:bookmarkStart w:id="1066" w:name="_Toc490323113"/>
      <w:bookmarkStart w:id="1067" w:name="_Toc12795277"/>
      <w:r w:rsidRPr="007D78BD">
        <w:t>New England State Governors’ Actions</w:t>
      </w:r>
      <w:bookmarkEnd w:id="1062"/>
      <w:bookmarkEnd w:id="1063"/>
      <w:bookmarkEnd w:id="1064"/>
      <w:bookmarkEnd w:id="1065"/>
      <w:bookmarkEnd w:id="1066"/>
      <w:bookmarkEnd w:id="1067"/>
    </w:p>
    <w:p w14:paraId="567790F3" w14:textId="599AD0F6" w:rsidR="00A22EB7" w:rsidRPr="007D78BD" w:rsidRDefault="00A22EB7" w:rsidP="00A22EB7">
      <w:bookmarkStart w:id="1068" w:name="_Toc365441066"/>
      <w:bookmarkStart w:id="1069" w:name="_Toc396807699"/>
      <w:r w:rsidRPr="00A22EB7">
        <w:t xml:space="preserve">The six New England governors </w:t>
      </w:r>
      <w:r w:rsidR="00C500DF">
        <w:t xml:space="preserve">collaborate across borders to advance their common goals. </w:t>
      </w:r>
      <w:bookmarkStart w:id="1070" w:name="_Toc485367341"/>
      <w:bookmarkStart w:id="1071" w:name="_Toc490323114"/>
      <w:r w:rsidR="004739C9">
        <w:t>As a</w:t>
      </w:r>
      <w:r w:rsidR="00C500DF">
        <w:t xml:space="preserve"> recent</w:t>
      </w:r>
      <w:r w:rsidR="004739C9">
        <w:t xml:space="preserve"> example</w:t>
      </w:r>
      <w:r w:rsidR="00C500DF">
        <w:t xml:space="preserve"> of these efforts</w:t>
      </w:r>
      <w:r w:rsidR="004739C9">
        <w:t>, o</w:t>
      </w:r>
      <w:r w:rsidRPr="00A22EB7">
        <w:t xml:space="preserve">n March 15, 2019, the six New England governors </w:t>
      </w:r>
      <w:r w:rsidR="00C500DF">
        <w:t xml:space="preserve">issued a joint statement </w:t>
      </w:r>
      <w:r w:rsidRPr="00A22EB7">
        <w:t>announc</w:t>
      </w:r>
      <w:r w:rsidR="00C500DF">
        <w:t>ing</w:t>
      </w:r>
      <w:r w:rsidRPr="00A22EB7">
        <w:t xml:space="preserve"> a commitment to </w:t>
      </w:r>
      <w:r w:rsidR="006C6BE1">
        <w:t>regional</w:t>
      </w:r>
      <w:r w:rsidR="00C500DF">
        <w:t xml:space="preserve"> cooperation on </w:t>
      </w:r>
      <w:r w:rsidR="006C6BE1">
        <w:t>energy issues</w:t>
      </w:r>
      <w:r w:rsidR="00C500DF">
        <w:t xml:space="preserve"> and to</w:t>
      </w:r>
      <w:r w:rsidRPr="00A22EB7">
        <w:t xml:space="preserve"> </w:t>
      </w:r>
      <w:r w:rsidR="00C500DF">
        <w:t xml:space="preserve">work in </w:t>
      </w:r>
      <w:r w:rsidRPr="00A22EB7">
        <w:t>coordinat</w:t>
      </w:r>
      <w:r w:rsidR="00C500DF">
        <w:t xml:space="preserve">ion </w:t>
      </w:r>
      <w:r w:rsidRPr="00A22EB7">
        <w:t>with ISO New England and through NESCOE</w:t>
      </w:r>
      <w:r w:rsidR="00C500DF">
        <w:t>.</w:t>
      </w:r>
      <w:r w:rsidR="00C500DF" w:rsidRPr="00C500DF">
        <w:rPr>
          <w:vertAlign w:val="superscript"/>
        </w:rPr>
        <w:footnoteReference w:id="363"/>
      </w:r>
      <w:r w:rsidR="00C500DF">
        <w:t xml:space="preserve"> </w:t>
      </w:r>
      <w:r w:rsidRPr="007D78BD">
        <w:t xml:space="preserve"> </w:t>
      </w:r>
    </w:p>
    <w:p w14:paraId="66A0A4A9" w14:textId="77777777" w:rsidR="00A22EB7" w:rsidRPr="00A22EB7" w:rsidRDefault="00A22EB7" w:rsidP="005A61B1">
      <w:pPr>
        <w:pStyle w:val="Heading3"/>
      </w:pPr>
      <w:bookmarkStart w:id="1072" w:name="_Ref12114919"/>
      <w:bookmarkStart w:id="1073" w:name="_Toc12795278"/>
      <w:r w:rsidRPr="00A22EB7">
        <w:t>New England Governors and Eastern C</w:t>
      </w:r>
      <w:r w:rsidR="000230B4">
        <w:t>anadian</w:t>
      </w:r>
      <w:r w:rsidRPr="00A22EB7">
        <w:t xml:space="preserve"> Premiers</w:t>
      </w:r>
      <w:bookmarkEnd w:id="1072"/>
      <w:bookmarkEnd w:id="1073"/>
    </w:p>
    <w:p w14:paraId="3BD9DEFB" w14:textId="77777777" w:rsidR="00A22EB7" w:rsidRPr="00A22EB7" w:rsidRDefault="00A22EB7" w:rsidP="00A22EB7">
      <w:r w:rsidRPr="00A22EB7">
        <w:t>At their August 2018 meeting, the New England Governors and Eastern C</w:t>
      </w:r>
      <w:r w:rsidR="000230B4">
        <w:t>anadian</w:t>
      </w:r>
      <w:r w:rsidRPr="00A22EB7">
        <w:t xml:space="preserve"> Premiers (NEG ECP) reaffirmed their commitment toward clean energy sources and their focus on regional opportunities to reduce greenhouse gas emissions through the Regional Climate Change Action Plan.</w:t>
      </w:r>
      <w:r w:rsidRPr="00A22EB7">
        <w:rPr>
          <w:vertAlign w:val="superscript"/>
        </w:rPr>
        <w:footnoteReference w:id="364"/>
      </w:r>
      <w:r w:rsidRPr="00A22EB7">
        <w:t xml:space="preserve"> Among other provisions, they acknowledged that the extreme temperatures in recent years have caused spikes in energy demand, resulting in high costs for consumers and </w:t>
      </w:r>
      <w:r w:rsidR="00250A71">
        <w:t xml:space="preserve">an </w:t>
      </w:r>
      <w:r w:rsidRPr="00A22EB7">
        <w:t>increased reliance on energy sources with high GHG emission rates</w:t>
      </w:r>
      <w:r w:rsidR="00250A71">
        <w:t xml:space="preserve">. This reliance on high-emitting resources is attributable to a system with </w:t>
      </w:r>
      <w:r w:rsidRPr="00A22EB7">
        <w:t>limited energy diversification and storage, particularly during winter</w:t>
      </w:r>
      <w:r w:rsidR="00250A71">
        <w:t xml:space="preserve">. </w:t>
      </w:r>
      <w:r w:rsidRPr="00A22EB7">
        <w:t>They also acknowledged that diversifying the resource mix and using clean energy sources during extreme-temperature events will decrease energy costs and increase environmental benefits. The group resolved the following:</w:t>
      </w:r>
    </w:p>
    <w:p w14:paraId="304C1921" w14:textId="77777777" w:rsidR="00A22EB7" w:rsidRPr="00A22EB7" w:rsidRDefault="00A22EB7" w:rsidP="00A22EB7">
      <w:pPr>
        <w:numPr>
          <w:ilvl w:val="0"/>
          <w:numId w:val="729"/>
        </w:numPr>
        <w:spacing w:after="120"/>
        <w:rPr>
          <w:rFonts w:eastAsia="Times New Roman"/>
          <w:szCs w:val="24"/>
        </w:rPr>
      </w:pPr>
      <w:r w:rsidRPr="00A22EB7">
        <w:rPr>
          <w:rFonts w:eastAsia="Times New Roman"/>
          <w:szCs w:val="24"/>
        </w:rPr>
        <w:t>Encouraging policies that diversi</w:t>
      </w:r>
      <w:r w:rsidR="0047506F">
        <w:rPr>
          <w:rFonts w:eastAsia="Times New Roman"/>
          <w:szCs w:val="24"/>
        </w:rPr>
        <w:t>f</w:t>
      </w:r>
      <w:r w:rsidRPr="00A22EB7">
        <w:rPr>
          <w:rFonts w:eastAsia="Times New Roman"/>
          <w:szCs w:val="24"/>
        </w:rPr>
        <w:t xml:space="preserve">y resources and target affordable clean energy sources, including during peak periods, is important. </w:t>
      </w:r>
    </w:p>
    <w:p w14:paraId="726CC793" w14:textId="77777777" w:rsidR="00A22EB7" w:rsidRPr="00A22EB7" w:rsidRDefault="00A22EB7" w:rsidP="00A22EB7">
      <w:pPr>
        <w:numPr>
          <w:ilvl w:val="0"/>
          <w:numId w:val="729"/>
        </w:numPr>
        <w:spacing w:after="120"/>
        <w:rPr>
          <w:rFonts w:eastAsia="Times New Roman"/>
          <w:szCs w:val="24"/>
        </w:rPr>
      </w:pPr>
      <w:r w:rsidRPr="00A22EB7">
        <w:rPr>
          <w:rFonts w:eastAsia="Times New Roman"/>
          <w:szCs w:val="24"/>
        </w:rPr>
        <w:lastRenderedPageBreak/>
        <w:t>System planners and operators should strengthen and diversify the generation resource mix and storage capabilities to reduce energy costs and improve system resilience during periods of extreme temperatures.</w:t>
      </w:r>
    </w:p>
    <w:p w14:paraId="52314245" w14:textId="77777777" w:rsidR="00A22EB7" w:rsidRPr="00A22EB7" w:rsidRDefault="00A22EB7" w:rsidP="00A22EB7">
      <w:pPr>
        <w:numPr>
          <w:ilvl w:val="0"/>
          <w:numId w:val="729"/>
        </w:numPr>
        <w:spacing w:after="120"/>
        <w:rPr>
          <w:rFonts w:eastAsia="Times New Roman"/>
          <w:szCs w:val="24"/>
        </w:rPr>
      </w:pPr>
      <w:r w:rsidRPr="00A22EB7">
        <w:rPr>
          <w:rFonts w:eastAsia="Times New Roman"/>
          <w:szCs w:val="24"/>
        </w:rPr>
        <w:t>Clean energy resources needed to serve winter peaks and reduce GHG emissions should include onshore and offshore wind, large hydro, demand response, energy efficiency, and advanced battery and storage systems.</w:t>
      </w:r>
    </w:p>
    <w:p w14:paraId="46C83240" w14:textId="77777777" w:rsidR="001457C4" w:rsidRPr="004C121E" w:rsidRDefault="00A22EB7" w:rsidP="004C121E">
      <w:pPr>
        <w:numPr>
          <w:ilvl w:val="0"/>
          <w:numId w:val="729"/>
        </w:numPr>
        <w:rPr>
          <w:rFonts w:eastAsia="Times New Roman"/>
          <w:szCs w:val="24"/>
        </w:rPr>
      </w:pPr>
      <w:r w:rsidRPr="00A22EB7">
        <w:rPr>
          <w:rFonts w:eastAsia="Times New Roman"/>
          <w:szCs w:val="24"/>
        </w:rPr>
        <w:t xml:space="preserve">The Northeast International Committee on Energy (NICE) should research policies to reduce barriers and improve operational standards for encouraging </w:t>
      </w:r>
      <w:r w:rsidR="0047506F">
        <w:rPr>
          <w:rFonts w:eastAsia="Times New Roman"/>
          <w:szCs w:val="24"/>
        </w:rPr>
        <w:t xml:space="preserve">a </w:t>
      </w:r>
      <w:r w:rsidRPr="00A22EB7">
        <w:rPr>
          <w:rFonts w:eastAsia="Times New Roman"/>
          <w:szCs w:val="24"/>
        </w:rPr>
        <w:t>greater reliance on energy storage, resource diversity, and the use of clean energy.</w:t>
      </w:r>
    </w:p>
    <w:p w14:paraId="093C8B48" w14:textId="77777777" w:rsidR="00A22EB7" w:rsidRPr="00A22EB7" w:rsidRDefault="00A22EB7" w:rsidP="005A61B1">
      <w:pPr>
        <w:pStyle w:val="Heading2"/>
        <w:rPr>
          <w:rFonts w:eastAsia="Times New Roman"/>
        </w:rPr>
      </w:pPr>
      <w:bookmarkStart w:id="1074" w:name="_Toc365441070"/>
      <w:bookmarkStart w:id="1075" w:name="_Ref388278661"/>
      <w:bookmarkStart w:id="1076" w:name="_Toc396807703"/>
      <w:bookmarkStart w:id="1077" w:name="_Toc485367345"/>
      <w:bookmarkStart w:id="1078" w:name="_Ref487012046"/>
      <w:bookmarkStart w:id="1079" w:name="_Toc490323118"/>
      <w:bookmarkStart w:id="1080" w:name="_Ref12735810"/>
      <w:bookmarkStart w:id="1081" w:name="_Toc12795279"/>
      <w:bookmarkStart w:id="1082" w:name="_Ref13054996"/>
      <w:bookmarkStart w:id="1083" w:name="_Ref13137461"/>
      <w:bookmarkStart w:id="1084" w:name="_Ref16844307"/>
      <w:bookmarkStart w:id="1085" w:name="_Ref12103183"/>
      <w:bookmarkEnd w:id="1068"/>
      <w:bookmarkEnd w:id="1069"/>
      <w:bookmarkEnd w:id="1070"/>
      <w:bookmarkEnd w:id="1071"/>
      <w:r w:rsidRPr="00A22EB7">
        <w:rPr>
          <w:rFonts w:eastAsia="Times New Roman"/>
        </w:rPr>
        <w:t>Individual State Initiatives, Activities, and Policies</w:t>
      </w:r>
      <w:bookmarkEnd w:id="1074"/>
      <w:bookmarkEnd w:id="1075"/>
      <w:bookmarkEnd w:id="1076"/>
      <w:bookmarkEnd w:id="1077"/>
      <w:bookmarkEnd w:id="1078"/>
      <w:bookmarkEnd w:id="1079"/>
      <w:bookmarkEnd w:id="1080"/>
      <w:bookmarkEnd w:id="1081"/>
      <w:bookmarkEnd w:id="1082"/>
      <w:bookmarkEnd w:id="1083"/>
      <w:bookmarkEnd w:id="1084"/>
      <w:r w:rsidRPr="00A22EB7">
        <w:rPr>
          <w:rFonts w:eastAsia="Times New Roman"/>
        </w:rPr>
        <w:t xml:space="preserve"> </w:t>
      </w:r>
      <w:bookmarkEnd w:id="1085"/>
    </w:p>
    <w:p w14:paraId="72B80E50" w14:textId="478E0A0C" w:rsidR="00A22EB7" w:rsidRPr="009E5970" w:rsidRDefault="00A22EB7" w:rsidP="00A22EB7">
      <w:r w:rsidRPr="00A22EB7">
        <w:t>The New England states have worked together continually to identify, discuss, and address energy issues of common interest. Even with this history of cooperation, each state has a unique set of energy policy objectives and goa</w:t>
      </w:r>
      <w:r w:rsidRPr="007A0F8C">
        <w:t xml:space="preserve">ls. This section </w:t>
      </w:r>
      <w:r w:rsidR="00547C88" w:rsidRPr="007A0F8C">
        <w:t>builds on the discussion of RP</w:t>
      </w:r>
      <w:r w:rsidR="00B45E60" w:rsidRPr="007A0F8C">
        <w:t>S</w:t>
      </w:r>
      <w:r w:rsidR="00547C88" w:rsidRPr="007A0F8C">
        <w:t xml:space="preserve">s and procurement policies discussed in Section </w:t>
      </w:r>
      <w:r w:rsidR="00B45E60" w:rsidRPr="007A0F8C">
        <w:fldChar w:fldCharType="begin"/>
      </w:r>
      <w:r w:rsidR="00B45E60" w:rsidRPr="007A0F8C">
        <w:instrText xml:space="preserve"> REF _Ref11050683 \r \h </w:instrText>
      </w:r>
      <w:r w:rsidR="00F84EA9" w:rsidRPr="007A0F8C">
        <w:instrText xml:space="preserve"> \* MERGEFORMAT </w:instrText>
      </w:r>
      <w:r w:rsidR="00B45E60" w:rsidRPr="007A0F8C">
        <w:fldChar w:fldCharType="separate"/>
      </w:r>
      <w:r w:rsidR="005D0B73">
        <w:t>8.4</w:t>
      </w:r>
      <w:r w:rsidR="00B45E60" w:rsidRPr="007A0F8C">
        <w:fldChar w:fldCharType="end"/>
      </w:r>
      <w:r w:rsidR="00547C88" w:rsidRPr="007A0F8C">
        <w:t xml:space="preserve"> and</w:t>
      </w:r>
      <w:r w:rsidR="00547C88">
        <w:t xml:space="preserve"> </w:t>
      </w:r>
      <w:r w:rsidRPr="00A22EB7">
        <w:t xml:space="preserve">summarizes </w:t>
      </w:r>
      <w:r w:rsidR="00547C88">
        <w:t xml:space="preserve">additional </w:t>
      </w:r>
      <w:r w:rsidRPr="00A22EB7">
        <w:t xml:space="preserve">actions the individual New England states </w:t>
      </w:r>
      <w:r w:rsidR="00C8218C">
        <w:t xml:space="preserve">have taken </w:t>
      </w:r>
      <w:r w:rsidRPr="00A22EB7">
        <w:t xml:space="preserve">pertaining to regional system planning, including several recently implemented laws, policies, and initiatives. </w:t>
      </w:r>
      <w:r w:rsidRPr="00F300A2">
        <w:t>The current trends</w:t>
      </w:r>
      <w:r w:rsidR="00C8218C" w:rsidRPr="00F300A2">
        <w:t xml:space="preserve"> show an increased focus on offshore wind, energy efficiency, and energy-storage deployment, as well as grid-m</w:t>
      </w:r>
      <w:r w:rsidR="00C8218C" w:rsidRPr="009E5970">
        <w:t>ode</w:t>
      </w:r>
      <w:r w:rsidR="00C8218C" w:rsidRPr="00F300A2">
        <w:t>rnization efforts.</w:t>
      </w:r>
    </w:p>
    <w:p w14:paraId="1A0A0601" w14:textId="77777777" w:rsidR="00A22EB7" w:rsidRPr="009E5970" w:rsidRDefault="00A22EB7" w:rsidP="005A61B1">
      <w:pPr>
        <w:pStyle w:val="Heading3"/>
      </w:pPr>
      <w:bookmarkStart w:id="1086" w:name="_Toc365441071"/>
      <w:bookmarkStart w:id="1087" w:name="_Toc396807704"/>
      <w:bookmarkStart w:id="1088" w:name="_Toc485367347"/>
      <w:bookmarkStart w:id="1089" w:name="_Toc490323120"/>
      <w:bookmarkStart w:id="1090" w:name="_Ref12737639"/>
      <w:bookmarkStart w:id="1091" w:name="_Toc12795280"/>
      <w:r w:rsidRPr="009E5970">
        <w:t>Connecticut</w:t>
      </w:r>
      <w:bookmarkEnd w:id="1086"/>
      <w:bookmarkEnd w:id="1087"/>
      <w:bookmarkEnd w:id="1088"/>
      <w:bookmarkEnd w:id="1089"/>
      <w:bookmarkEnd w:id="1090"/>
      <w:bookmarkEnd w:id="1091"/>
      <w:r w:rsidRPr="009E5970">
        <w:t xml:space="preserve"> </w:t>
      </w:r>
    </w:p>
    <w:p w14:paraId="0D95206B" w14:textId="77777777" w:rsidR="00E60E99" w:rsidRPr="009E5970" w:rsidRDefault="00E60E99" w:rsidP="00E60E99">
      <w:bookmarkStart w:id="1092" w:name="_Toc365441072"/>
      <w:bookmarkStart w:id="1093" w:name="_Toc396807705"/>
      <w:bookmarkStart w:id="1094" w:name="_Toc365441073"/>
      <w:bookmarkStart w:id="1095" w:name="_Toc396807706"/>
      <w:bookmarkStart w:id="1096" w:name="_Toc365441074"/>
      <w:bookmarkStart w:id="1097" w:name="_Toc396807707"/>
      <w:r w:rsidRPr="009E5970">
        <w:t>Connecticut state law requires the Connecticut Department of Energy and Environmental Protection (DEEP) to periodically prepare a comprehensive energy and climate strategy. The most recent strategy</w:t>
      </w:r>
      <w:r w:rsidR="0047506F">
        <w:t xml:space="preserve">, </w:t>
      </w:r>
      <w:r w:rsidRPr="009E5970">
        <w:t>released in 2018</w:t>
      </w:r>
      <w:r w:rsidR="0047506F">
        <w:t xml:space="preserve">, included </w:t>
      </w:r>
      <w:r w:rsidRPr="009E5970">
        <w:t xml:space="preserve">recommendations </w:t>
      </w:r>
      <w:r w:rsidR="0047506F">
        <w:t xml:space="preserve">for </w:t>
      </w:r>
      <w:r w:rsidRPr="009E5970">
        <w:t>growing and sustaining renewable and zero-carbon generation in the state and region, improving grid reliability and resiliency, and grid modernization.</w:t>
      </w:r>
      <w:r w:rsidRPr="009E5970">
        <w:rPr>
          <w:rStyle w:val="FootnoteReference"/>
        </w:rPr>
        <w:footnoteReference w:id="365"/>
      </w:r>
      <w:r w:rsidRPr="009E5970">
        <w:t xml:space="preserve"> </w:t>
      </w:r>
    </w:p>
    <w:p w14:paraId="2D096A5C" w14:textId="77777777" w:rsidR="00E60E99" w:rsidRPr="003A1975" w:rsidRDefault="0053222A" w:rsidP="00E60E99">
      <w:r>
        <w:t xml:space="preserve">The CT </w:t>
      </w:r>
      <w:r w:rsidR="00E60E99" w:rsidRPr="009E5970">
        <w:t xml:space="preserve">DEEP continues to pursue clean energy under </w:t>
      </w:r>
      <w:r w:rsidR="008B4C47">
        <w:t>its</w:t>
      </w:r>
      <w:r w:rsidR="00E60E99" w:rsidRPr="009E5970">
        <w:t xml:space="preserve"> procurement authority. Under the state’s Clean Energy Sources RFP,</w:t>
      </w:r>
      <w:r w:rsidR="00327CD2">
        <w:t xml:space="preserve"> Connecticut selected its first-</w:t>
      </w:r>
      <w:r w:rsidR="00E60E99" w:rsidRPr="009E5970">
        <w:t>ever offshore wind bid, a 200 MW project from Revolution Wind.</w:t>
      </w:r>
      <w:r w:rsidR="00E60E99" w:rsidRPr="009E5970">
        <w:rPr>
          <w:rStyle w:val="FootnoteReference"/>
        </w:rPr>
        <w:footnoteReference w:id="366"/>
      </w:r>
      <w:r w:rsidR="00E60E99" w:rsidRPr="009E5970">
        <w:t xml:space="preserve"> Winners of the Zero-Carbon RFP</w:t>
      </w:r>
      <w:r w:rsidR="00A752D5">
        <w:t xml:space="preserve"> included </w:t>
      </w:r>
      <w:r w:rsidR="00E60E99" w:rsidRPr="009E5970">
        <w:t>Mi</w:t>
      </w:r>
      <w:r w:rsidR="00E60E99" w:rsidRPr="008B4C47">
        <w:t xml:space="preserve">llstone </w:t>
      </w:r>
      <w:r w:rsidR="00E60E99" w:rsidRPr="00C01447">
        <w:t>Nuclear</w:t>
      </w:r>
      <w:r w:rsidR="00A752D5">
        <w:t xml:space="preserve">, </w:t>
      </w:r>
      <w:r w:rsidR="00E60E99" w:rsidRPr="00C01447">
        <w:t>Seabrook Station</w:t>
      </w:r>
      <w:r w:rsidR="00A752D5">
        <w:t>, solar resources, and an</w:t>
      </w:r>
      <w:r w:rsidR="00A752D5" w:rsidRPr="008B4C47">
        <w:t xml:space="preserve"> additional </w:t>
      </w:r>
      <w:r w:rsidR="00A752D5" w:rsidRPr="00F300A2">
        <w:t>100 MW of offshore wind</w:t>
      </w:r>
      <w:r w:rsidR="00E60E99" w:rsidRPr="00F300A2">
        <w:t>.</w:t>
      </w:r>
      <w:r w:rsidR="00E60E99" w:rsidRPr="008B4C47">
        <w:rPr>
          <w:rStyle w:val="FootnoteReference"/>
        </w:rPr>
        <w:footnoteReference w:id="367"/>
      </w:r>
      <w:r w:rsidR="00E60E99" w:rsidRPr="008B4C47">
        <w:t xml:space="preserve"> A 2</w:t>
      </w:r>
      <w:r w:rsidR="00E60E99" w:rsidRPr="009E5970">
        <w:t>019 bill authorizes DEEP to procure up to another 2,000 MW of offshore wind by 2030, with the first phase of procurements occurring through 2019.</w:t>
      </w:r>
      <w:r w:rsidR="00E60E99" w:rsidRPr="009E5970">
        <w:rPr>
          <w:rStyle w:val="FootnoteReference"/>
        </w:rPr>
        <w:footnoteReference w:id="368"/>
      </w:r>
      <w:r w:rsidR="00E60E99" w:rsidRPr="009E5970">
        <w:t xml:space="preserve"> </w:t>
      </w:r>
    </w:p>
    <w:p w14:paraId="5D421BD2" w14:textId="77777777" w:rsidR="00E60E99" w:rsidRPr="009E5970" w:rsidRDefault="00E60E99" w:rsidP="00E60E99">
      <w:r w:rsidRPr="009E5970">
        <w:t>In 2019</w:t>
      </w:r>
      <w:r w:rsidR="009E5970" w:rsidRPr="00AD4D9D">
        <w:t>,</w:t>
      </w:r>
      <w:r w:rsidRPr="009E5970">
        <w:t xml:space="preserve"> the legislature also passed an energy omnibus bill that </w:t>
      </w:r>
      <w:r w:rsidR="0050548F">
        <w:t>restored</w:t>
      </w:r>
      <w:r w:rsidRPr="00AD4D9D">
        <w:t xml:space="preserve"> net-</w:t>
      </w:r>
      <w:r w:rsidRPr="008B4C47">
        <w:t>metering</w:t>
      </w:r>
      <w:r w:rsidRPr="009E5970">
        <w:t xml:space="preserve"> and directs the Public Utilities Regulatory Authority to study the value of distributed generation while determining the </w:t>
      </w:r>
      <w:r w:rsidRPr="009E5970">
        <w:lastRenderedPageBreak/>
        <w:t>future net-metering replacement tariff program.</w:t>
      </w:r>
      <w:r w:rsidRPr="009E5970">
        <w:rPr>
          <w:rStyle w:val="FootnoteReference"/>
        </w:rPr>
        <w:footnoteReference w:id="369"/>
      </w:r>
      <w:r w:rsidRPr="009E5970">
        <w:t xml:space="preserve"> The bill also requires the C</w:t>
      </w:r>
      <w:r w:rsidR="009E5970" w:rsidRPr="008B4C47">
        <w:t>onnecticut</w:t>
      </w:r>
      <w:r w:rsidRPr="009E5970">
        <w:t xml:space="preserve"> Department of Transportation and DEEP to inventory land and identify areas suitable for the installation of renewable resources, authorizes the state’s utilities to own energy</w:t>
      </w:r>
      <w:r w:rsidR="009F270B">
        <w:t>-</w:t>
      </w:r>
      <w:r w:rsidRPr="009E5970">
        <w:t>storage systems, and raises the virtual net-metering cap to 20 MW.</w:t>
      </w:r>
    </w:p>
    <w:p w14:paraId="4C321D4E" w14:textId="77777777" w:rsidR="00E60E99" w:rsidRPr="00E96151" w:rsidRDefault="00E60E99" w:rsidP="00E96151">
      <w:pPr>
        <w:pStyle w:val="Heading3"/>
      </w:pPr>
      <w:bookmarkStart w:id="1098" w:name="_Toc12795281"/>
      <w:r w:rsidRPr="00E96151">
        <w:t>Maine</w:t>
      </w:r>
      <w:bookmarkEnd w:id="1098"/>
    </w:p>
    <w:p w14:paraId="399B2742" w14:textId="77777777" w:rsidR="00E60E99" w:rsidRPr="00315D3A" w:rsidRDefault="00E60E99" w:rsidP="00E60E99">
      <w:r w:rsidRPr="00315D3A">
        <w:t>In 2019, the state enacted a series of energy bills. One bill r</w:t>
      </w:r>
      <w:r w:rsidRPr="00950D85">
        <w:t xml:space="preserve">equires the </w:t>
      </w:r>
      <w:r w:rsidR="00315D3A" w:rsidRPr="00950D85">
        <w:t>g</w:t>
      </w:r>
      <w:r w:rsidRPr="00950D85">
        <w:t xml:space="preserve">overnor’s Energy </w:t>
      </w:r>
      <w:r w:rsidR="0050548F">
        <w:t>O</w:t>
      </w:r>
      <w:r w:rsidRPr="00950D85">
        <w:t xml:space="preserve">ffice to study transmission grid reliability, </w:t>
      </w:r>
      <w:r w:rsidR="009F270B">
        <w:t xml:space="preserve">the </w:t>
      </w:r>
      <w:r w:rsidRPr="00950D85">
        <w:t>retirement of biomass generation, and retail rate stability in northern Maine.</w:t>
      </w:r>
      <w:r w:rsidRPr="00950D85">
        <w:rPr>
          <w:rStyle w:val="FootnoteReference"/>
        </w:rPr>
        <w:footnoteReference w:id="370"/>
      </w:r>
      <w:r w:rsidRPr="00950D85">
        <w:t xml:space="preserve"> Under a separate bill, the Energy Office is directed </w:t>
      </w:r>
      <w:r w:rsidR="009F270B">
        <w:t xml:space="preserve">to </w:t>
      </w:r>
      <w:r w:rsidRPr="00950D85">
        <w:t>analy</w:t>
      </w:r>
      <w:r w:rsidR="009F270B">
        <w:t xml:space="preserve">ze by December 31, 2019, </w:t>
      </w:r>
      <w:r w:rsidRPr="00950D85">
        <w:t>the state</w:t>
      </w:r>
      <w:r w:rsidR="009F270B">
        <w:t>’s</w:t>
      </w:r>
      <w:r w:rsidRPr="00950D85">
        <w:t xml:space="preserve"> becom</w:t>
      </w:r>
      <w:r w:rsidR="00D04E3D">
        <w:t>ing</w:t>
      </w:r>
      <w:r w:rsidRPr="00950D85">
        <w:t xml:space="preserve"> a net exporter of energy by 2030 through the</w:t>
      </w:r>
      <w:r w:rsidRPr="00315D3A">
        <w:t xml:space="preserve"> development and expansion of energy generating capacity, energy conservation</w:t>
      </w:r>
      <w:r w:rsidR="00315D3A" w:rsidRPr="00D04E3D">
        <w:t>,</w:t>
      </w:r>
      <w:r w:rsidRPr="00315D3A">
        <w:t xml:space="preserve"> and energy efficiency</w:t>
      </w:r>
      <w:r w:rsidR="00D04E3D">
        <w:t xml:space="preserve">. The effort is </w:t>
      </w:r>
      <w:r w:rsidRPr="00315D3A">
        <w:t xml:space="preserve">part of the development of the state’s </w:t>
      </w:r>
      <w:r w:rsidR="00D04E3D">
        <w:t xml:space="preserve">periodic </w:t>
      </w:r>
      <w:r w:rsidRPr="00315D3A">
        <w:t>energy plan, which was last updated in 2015.</w:t>
      </w:r>
      <w:r w:rsidRPr="00315D3A">
        <w:rPr>
          <w:rStyle w:val="FootnoteReference"/>
        </w:rPr>
        <w:footnoteReference w:id="371"/>
      </w:r>
      <w:r w:rsidRPr="00315D3A">
        <w:t xml:space="preserve"> </w:t>
      </w:r>
    </w:p>
    <w:p w14:paraId="103DD45D" w14:textId="77777777" w:rsidR="00812F88" w:rsidRPr="008B4C47" w:rsidRDefault="00E60E99" w:rsidP="00E60E99">
      <w:r w:rsidRPr="00315D3A">
        <w:t>Additionally, the legislature approved a new goal for 80% of retail sales of electricity to come from renewable resources by 2030 and 100% by 2050, while also increasing the state’s RPS for Class I resources from 10% by 2020 to 50% by 2030.</w:t>
      </w:r>
      <w:r w:rsidRPr="00315D3A">
        <w:rPr>
          <w:rStyle w:val="FootnoteReference"/>
        </w:rPr>
        <w:footnoteReference w:id="372"/>
      </w:r>
      <w:r w:rsidRPr="00315D3A">
        <w:t xml:space="preserve"> Other bills enacted in the 2019 session require the</w:t>
      </w:r>
      <w:r w:rsidR="00812F88" w:rsidRPr="00F300A2">
        <w:t xml:space="preserve"> following:</w:t>
      </w:r>
    </w:p>
    <w:p w14:paraId="2F08AEE8" w14:textId="77777777" w:rsidR="00812F88" w:rsidRPr="008B4C47" w:rsidRDefault="00E21C2B" w:rsidP="008B4C47">
      <w:pPr>
        <w:pStyle w:val="ListParagraph"/>
        <w:numPr>
          <w:ilvl w:val="0"/>
          <w:numId w:val="767"/>
        </w:numPr>
      </w:pPr>
      <w:r w:rsidRPr="008B4C47">
        <w:t>I</w:t>
      </w:r>
      <w:r w:rsidR="00E60E99" w:rsidRPr="00042D44">
        <w:t>nvestigation and identification of nonwire alternatives to proposed transmission lines and projects</w:t>
      </w:r>
      <w:r w:rsidR="00812F88" w:rsidRPr="008B4C47">
        <w:rPr>
          <w:rStyle w:val="FootnoteReference"/>
        </w:rPr>
        <w:footnoteReference w:id="373"/>
      </w:r>
    </w:p>
    <w:p w14:paraId="7B2AB9D1" w14:textId="77777777" w:rsidR="00812F88" w:rsidRPr="00315D3A" w:rsidRDefault="00E21C2B" w:rsidP="00315D3A">
      <w:pPr>
        <w:pStyle w:val="ListParagraph"/>
        <w:numPr>
          <w:ilvl w:val="0"/>
          <w:numId w:val="767"/>
        </w:numPr>
      </w:pPr>
      <w:r w:rsidRPr="00315D3A">
        <w:t>A</w:t>
      </w:r>
      <w:r w:rsidR="00E60E99" w:rsidRPr="00315D3A">
        <w:t xml:space="preserve"> new goal of installing 100,000 heat pumps by 2025</w:t>
      </w:r>
      <w:r w:rsidR="00812F88" w:rsidRPr="00315D3A">
        <w:rPr>
          <w:rStyle w:val="FootnoteReference"/>
        </w:rPr>
        <w:footnoteReference w:id="374"/>
      </w:r>
    </w:p>
    <w:p w14:paraId="31278854" w14:textId="77777777" w:rsidR="00812F88" w:rsidRPr="00315D3A" w:rsidRDefault="00E21C2B" w:rsidP="00315D3A">
      <w:pPr>
        <w:pStyle w:val="ListParagraph"/>
        <w:numPr>
          <w:ilvl w:val="0"/>
          <w:numId w:val="767"/>
        </w:numPr>
      </w:pPr>
      <w:r w:rsidRPr="00315D3A">
        <w:t>T</w:t>
      </w:r>
      <w:r w:rsidR="00E60E99" w:rsidRPr="00315D3A">
        <w:t>he restoration of net-metering</w:t>
      </w:r>
      <w:r w:rsidR="00812F88" w:rsidRPr="00315D3A">
        <w:rPr>
          <w:rStyle w:val="FootnoteReference"/>
        </w:rPr>
        <w:footnoteReference w:id="375"/>
      </w:r>
    </w:p>
    <w:p w14:paraId="54A5CCAA" w14:textId="77777777" w:rsidR="00812F88" w:rsidRPr="00EA5C98" w:rsidRDefault="00E21C2B" w:rsidP="00315D3A">
      <w:pPr>
        <w:pStyle w:val="ListParagraph"/>
        <w:numPr>
          <w:ilvl w:val="0"/>
          <w:numId w:val="767"/>
        </w:numPr>
        <w:spacing w:after="240"/>
      </w:pPr>
      <w:r w:rsidRPr="00EA5C98">
        <w:t>D</w:t>
      </w:r>
      <w:r w:rsidR="00E60E99" w:rsidRPr="00EA5C98">
        <w:t>irecting the state’s efficiency program to include beneficial electrification.</w:t>
      </w:r>
      <w:r w:rsidR="00E60E99" w:rsidRPr="00EA5C98">
        <w:rPr>
          <w:rStyle w:val="FootnoteReference"/>
        </w:rPr>
        <w:footnoteReference w:id="376"/>
      </w:r>
      <w:r w:rsidR="00E60E99" w:rsidRPr="00EA5C98">
        <w:t xml:space="preserve"> </w:t>
      </w:r>
    </w:p>
    <w:p w14:paraId="77A980E7" w14:textId="77777777" w:rsidR="00E60E99" w:rsidRPr="00EA5C98" w:rsidRDefault="00E60E99" w:rsidP="00E60E99">
      <w:r w:rsidRPr="00EA5C98">
        <w:t xml:space="preserve">Governor </w:t>
      </w:r>
      <w:r w:rsidR="0050548F" w:rsidRPr="00EA5C98">
        <w:t xml:space="preserve">Janet </w:t>
      </w:r>
      <w:r w:rsidRPr="00EA5C98">
        <w:t xml:space="preserve">Mills also repealed the state’s previous moratorium on wind. </w:t>
      </w:r>
    </w:p>
    <w:p w14:paraId="3CC31461" w14:textId="0F6DA453" w:rsidR="00E60E99" w:rsidRPr="00F300A2" w:rsidRDefault="00E60E99" w:rsidP="00E60E99">
      <w:r w:rsidRPr="00EA5C98">
        <w:lastRenderedPageBreak/>
        <w:t>In spring 2019, the Maine Public Utilities Commission (ME PUC) issued a certificate of public need for the New England Clean Energy Connect</w:t>
      </w:r>
      <w:r w:rsidR="0050548F" w:rsidRPr="00EA5C98">
        <w:t xml:space="preserve"> (NECEC) Project</w:t>
      </w:r>
      <w:r w:rsidRPr="00EA5C98">
        <w:t xml:space="preserve">, a 145-mile </w:t>
      </w:r>
      <w:r w:rsidR="00E20832" w:rsidRPr="00EA5C98">
        <w:t>HVDC transmission</w:t>
      </w:r>
      <w:r w:rsidRPr="00EA5C98">
        <w:t xml:space="preserve"> line </w:t>
      </w:r>
      <w:r w:rsidR="00471276" w:rsidRPr="007118E6">
        <w:t xml:space="preserve">Central Maine Power </w:t>
      </w:r>
      <w:r w:rsidR="00762226" w:rsidRPr="007118E6">
        <w:t xml:space="preserve">proposed and </w:t>
      </w:r>
      <w:r w:rsidRPr="00EA5C98">
        <w:t xml:space="preserve">Massachusetts </w:t>
      </w:r>
      <w:r w:rsidR="00471276" w:rsidRPr="007118E6">
        <w:t xml:space="preserve">selected </w:t>
      </w:r>
      <w:r w:rsidRPr="00EA5C98">
        <w:t>under its renewable energy solicitation</w:t>
      </w:r>
      <w:r w:rsidR="00762226" w:rsidRPr="007118E6">
        <w:t xml:space="preserve">. This project will </w:t>
      </w:r>
      <w:r w:rsidRPr="00EA5C98">
        <w:t xml:space="preserve">bring </w:t>
      </w:r>
      <w:r w:rsidR="0050548F" w:rsidRPr="00EA5C98">
        <w:t xml:space="preserve">up to 1,200 MW of large-scale </w:t>
      </w:r>
      <w:r w:rsidRPr="00EA5C98">
        <w:t xml:space="preserve">hydropower from </w:t>
      </w:r>
      <w:r w:rsidR="00762226" w:rsidRPr="007118E6">
        <w:t>Hydro</w:t>
      </w:r>
      <w:r w:rsidR="007A50DE" w:rsidRPr="007118E6">
        <w:t>-</w:t>
      </w:r>
      <w:r w:rsidR="00762226" w:rsidRPr="007118E6">
        <w:t xml:space="preserve">Québec </w:t>
      </w:r>
      <w:r w:rsidR="00762226" w:rsidRPr="00EA5C98">
        <w:t xml:space="preserve">in </w:t>
      </w:r>
      <w:r w:rsidR="0050548F" w:rsidRPr="00EA5C98">
        <w:t>eastern Canada</w:t>
      </w:r>
      <w:r w:rsidR="00762226" w:rsidRPr="00EA5C98">
        <w:t xml:space="preserve"> to </w:t>
      </w:r>
      <w:r w:rsidR="00762226" w:rsidRPr="007118E6">
        <w:t>Maine</w:t>
      </w:r>
      <w:r w:rsidRPr="00EA5C98">
        <w:t>.</w:t>
      </w:r>
      <w:r w:rsidRPr="00EA5C98">
        <w:rPr>
          <w:rStyle w:val="FootnoteReference"/>
        </w:rPr>
        <w:footnoteReference w:id="377"/>
      </w:r>
      <w:r w:rsidRPr="00EA5C98">
        <w:t xml:space="preserve"> Remaining permit reviews are ongoing, with decisions anticipated by the end of 2019.</w:t>
      </w:r>
      <w:r w:rsidRPr="00F300A2">
        <w:t xml:space="preserve"> </w:t>
      </w:r>
    </w:p>
    <w:p w14:paraId="22F1ADD3" w14:textId="77777777" w:rsidR="00E60E99" w:rsidRPr="00E96151" w:rsidRDefault="00E60E99" w:rsidP="00E96151">
      <w:pPr>
        <w:pStyle w:val="Heading3"/>
      </w:pPr>
      <w:bookmarkStart w:id="1099" w:name="_Ref12734244"/>
      <w:bookmarkStart w:id="1100" w:name="_Toc12795282"/>
      <w:r w:rsidRPr="00E96151">
        <w:t>Massachusetts</w:t>
      </w:r>
      <w:bookmarkEnd w:id="1099"/>
      <w:bookmarkEnd w:id="1100"/>
    </w:p>
    <w:p w14:paraId="2CA6304D" w14:textId="5D2DE048" w:rsidR="00E60E99" w:rsidRPr="00950D85" w:rsidRDefault="00E60E99" w:rsidP="00E60E99">
      <w:pPr>
        <w:rPr>
          <w:lang w:val="en"/>
        </w:rPr>
      </w:pPr>
      <w:r w:rsidRPr="00315D3A">
        <w:t>Massachusetts has reached significant milestones in the implementation of renewable energy legislation passed in 2016</w:t>
      </w:r>
      <w:r w:rsidR="00221F50" w:rsidRPr="00F300A2">
        <w:t>,</w:t>
      </w:r>
      <w:r w:rsidRPr="00315D3A">
        <w:t xml:space="preserve"> called </w:t>
      </w:r>
      <w:r w:rsidRPr="00315D3A">
        <w:rPr>
          <w:i/>
          <w:iCs/>
        </w:rPr>
        <w:t>An Act to Promote Energy Diversity</w:t>
      </w:r>
      <w:r w:rsidRPr="00315D3A">
        <w:t>.</w:t>
      </w:r>
      <w:r w:rsidRPr="00315D3A">
        <w:rPr>
          <w:rStyle w:val="FootnoteReference"/>
        </w:rPr>
        <w:footnoteReference w:id="378"/>
      </w:r>
      <w:r w:rsidRPr="00315D3A">
        <w:t xml:space="preserve"> The state’s electric distribution companies, in consultation with th</w:t>
      </w:r>
      <w:r w:rsidRPr="00D04E3D">
        <w:t xml:space="preserve">e </w:t>
      </w:r>
      <w:r w:rsidRPr="00F300A2">
        <w:t xml:space="preserve">Department of Energy Resources (DOER), </w:t>
      </w:r>
      <w:r w:rsidRPr="00D04E3D">
        <w:t xml:space="preserve">have selected winning bidders and filed executed contracts with the </w:t>
      </w:r>
      <w:r w:rsidRPr="00AD4D9D">
        <w:t>Depart</w:t>
      </w:r>
      <w:r w:rsidRPr="00D04E3D">
        <w:t xml:space="preserve">ment of Public Utilities </w:t>
      </w:r>
      <w:r w:rsidR="00D04E3D" w:rsidRPr="00D04E3D">
        <w:t>(</w:t>
      </w:r>
      <w:r w:rsidR="00183D0E">
        <w:t xml:space="preserve">MA </w:t>
      </w:r>
      <w:r w:rsidR="00D04E3D" w:rsidRPr="00D04E3D">
        <w:t xml:space="preserve">DPU) </w:t>
      </w:r>
      <w:r w:rsidRPr="00D04E3D">
        <w:t>fo</w:t>
      </w:r>
      <w:r w:rsidRPr="00315D3A">
        <w:t>r review and approval. The state selected an 800 MW offshore wind proposal from developer Vineyard W</w:t>
      </w:r>
      <w:r w:rsidRPr="00EA5C98">
        <w:t xml:space="preserve">ind and </w:t>
      </w:r>
      <w:r w:rsidR="00762226" w:rsidRPr="0068413F">
        <w:t xml:space="preserve">1,090 MW </w:t>
      </w:r>
      <w:r w:rsidR="00183D0E" w:rsidRPr="0068413F">
        <w:t>from t</w:t>
      </w:r>
      <w:r w:rsidR="00762226" w:rsidRPr="0068413F">
        <w:t xml:space="preserve">he </w:t>
      </w:r>
      <w:r w:rsidR="0050548F" w:rsidRPr="00EA5C98">
        <w:t>NECEC</w:t>
      </w:r>
      <w:r w:rsidR="00EA5C98">
        <w:t xml:space="preserve"> </w:t>
      </w:r>
      <w:r w:rsidRPr="00EA5C98">
        <w:t>proposal</w:t>
      </w:r>
      <w:r w:rsidR="00183D0E" w:rsidRPr="0068413F">
        <w:t xml:space="preserve"> (see above)</w:t>
      </w:r>
      <w:r w:rsidR="00AD3541" w:rsidRPr="00EA5C98">
        <w:t>.</w:t>
      </w:r>
      <w:r w:rsidRPr="00EA5C98">
        <w:rPr>
          <w:rStyle w:val="FootnoteReference"/>
        </w:rPr>
        <w:footnoteReference w:id="379"/>
      </w:r>
      <w:r w:rsidRPr="00EA5C98">
        <w:t xml:space="preserve"> </w:t>
      </w:r>
      <w:r w:rsidR="00221F50" w:rsidRPr="00EA5C98">
        <w:t>The DPU approved the</w:t>
      </w:r>
      <w:r w:rsidRPr="00EA5C98">
        <w:t xml:space="preserve"> contracts between</w:t>
      </w:r>
      <w:r w:rsidRPr="00315D3A">
        <w:t xml:space="preserve"> Vineyard Wind and the state’s electric distribution companies in April 2019.</w:t>
      </w:r>
      <w:r w:rsidRPr="00950D85">
        <w:rPr>
          <w:rStyle w:val="FootnoteReference"/>
        </w:rPr>
        <w:footnoteReference w:id="380"/>
      </w:r>
      <w:r w:rsidRPr="00315D3A">
        <w:t xml:space="preserve"> The </w:t>
      </w:r>
      <w:r w:rsidR="00762226">
        <w:t xml:space="preserve">MA </w:t>
      </w:r>
      <w:r w:rsidR="00954428">
        <w:t xml:space="preserve">DPU approved the </w:t>
      </w:r>
      <w:r w:rsidR="00762226">
        <w:t xml:space="preserve">NECEC </w:t>
      </w:r>
      <w:r w:rsidRPr="00315D3A">
        <w:t xml:space="preserve">hydropower contracts </w:t>
      </w:r>
      <w:r w:rsidR="00954428">
        <w:t>in 2019</w:t>
      </w:r>
      <w:r w:rsidRPr="00315D3A">
        <w:t xml:space="preserve">. In May 2019, the state’s electric distribution companies issued a second offshore wind solicitation to procure up to 800 MW of </w:t>
      </w:r>
      <w:r w:rsidRPr="00950D85">
        <w:t>additional offshore wind generation.</w:t>
      </w:r>
      <w:r w:rsidRPr="00950D85">
        <w:rPr>
          <w:rStyle w:val="FootnoteReference"/>
        </w:rPr>
        <w:footnoteReference w:id="381"/>
      </w:r>
    </w:p>
    <w:p w14:paraId="7E97B9BC" w14:textId="77777777" w:rsidR="00E60E99" w:rsidRPr="00950D85" w:rsidRDefault="00E60E99" w:rsidP="00E60E99">
      <w:r w:rsidRPr="00950D85">
        <w:rPr>
          <w:lang w:val="en"/>
        </w:rPr>
        <w:t xml:space="preserve">Legislation passed in 2018 called on the DOER to </w:t>
      </w:r>
      <w:r w:rsidRPr="00950D85">
        <w:t>investigate the necessity, benefits, and costs of requiring the state’s electric distribution companies to solicit an additional 1,600 MW of offshore wind, over and above the 1,600 MW authorized by the 2016 legislation.</w:t>
      </w:r>
      <w:r w:rsidRPr="00950D85">
        <w:rPr>
          <w:rStyle w:val="FootnoteReference"/>
        </w:rPr>
        <w:footnoteReference w:id="382"/>
      </w:r>
      <w:r w:rsidRPr="00950D85">
        <w:t xml:space="preserve"> The DOER released its study results in May 2019, concluding that the state’s electric distribution companies should proceed with solicitations for an additional 1,600 MW of offshore wind and enter into long-term contracts if found to be cost effectiv</w:t>
      </w:r>
      <w:r w:rsidRPr="00F84EA9">
        <w:t>e.</w:t>
      </w:r>
      <w:r w:rsidRPr="00F84EA9">
        <w:rPr>
          <w:rStyle w:val="FootnoteReference"/>
        </w:rPr>
        <w:footnoteReference w:id="383"/>
      </w:r>
    </w:p>
    <w:p w14:paraId="1DBD513E" w14:textId="77777777" w:rsidR="00E60E99" w:rsidRPr="00950D85" w:rsidRDefault="00E60E99" w:rsidP="00E60E99">
      <w:r w:rsidRPr="00950D85">
        <w:t>Also in 2018, the state establ</w:t>
      </w:r>
      <w:r w:rsidRPr="00D04E3D">
        <w:t>ished an energy</w:t>
      </w:r>
      <w:r w:rsidR="00950D85" w:rsidRPr="00D04E3D">
        <w:t>-</w:t>
      </w:r>
      <w:r w:rsidRPr="00D04E3D">
        <w:t>storage ta</w:t>
      </w:r>
      <w:r w:rsidRPr="00950D85">
        <w:t>r</w:t>
      </w:r>
      <w:r w:rsidRPr="005B59D2">
        <w:t xml:space="preserve">get of 1,000 </w:t>
      </w:r>
      <w:r w:rsidR="00950D85" w:rsidRPr="005B59D2">
        <w:t>MWh</w:t>
      </w:r>
      <w:r w:rsidRPr="005B59D2">
        <w:t xml:space="preserve"> by</w:t>
      </w:r>
      <w:r w:rsidRPr="00950D85">
        <w:t xml:space="preserve"> December 31, 2025 (expanding on DOER’s previous energy</w:t>
      </w:r>
      <w:r w:rsidR="00950D85" w:rsidRPr="00D04E3D">
        <w:t>-</w:t>
      </w:r>
      <w:r w:rsidRPr="00950D85">
        <w:t xml:space="preserve">storage target of 200 </w:t>
      </w:r>
      <w:r w:rsidR="00950D85" w:rsidRPr="00D04E3D">
        <w:t>MWh</w:t>
      </w:r>
      <w:r w:rsidRPr="00950D85">
        <w:t xml:space="preserve"> by 2020).</w:t>
      </w:r>
      <w:r w:rsidRPr="009D6317">
        <w:rPr>
          <w:rStyle w:val="FootnoteReference"/>
        </w:rPr>
        <w:footnoteReference w:id="384"/>
      </w:r>
      <w:r w:rsidRPr="00950D85">
        <w:t xml:space="preserve"> Additionally, the </w:t>
      </w:r>
      <w:r w:rsidR="00954428">
        <w:t>DPU</w:t>
      </w:r>
      <w:r w:rsidR="00E75B39">
        <w:t>-</w:t>
      </w:r>
      <w:r w:rsidRPr="00950D85">
        <w:t xml:space="preserve">approved </w:t>
      </w:r>
      <w:r w:rsidRPr="00D04E3D">
        <w:rPr>
          <w:i/>
        </w:rPr>
        <w:t>Three-Year Energy Efficiency Plan</w:t>
      </w:r>
      <w:r w:rsidRPr="00950D85">
        <w:t xml:space="preserve"> includes incentives for customers who purchase energy</w:t>
      </w:r>
      <w:r w:rsidR="009F270B">
        <w:t>-</w:t>
      </w:r>
      <w:r w:rsidRPr="00950D85">
        <w:t>storage devices that can be dispatched during summer and winter peak demand periods.</w:t>
      </w:r>
      <w:r w:rsidRPr="009D6317">
        <w:rPr>
          <w:rStyle w:val="FootnoteReference"/>
        </w:rPr>
        <w:footnoteReference w:id="385"/>
      </w:r>
      <w:r w:rsidRPr="00950D85">
        <w:t> </w:t>
      </w:r>
    </w:p>
    <w:p w14:paraId="02E27964" w14:textId="77777777" w:rsidR="00E60E99" w:rsidRPr="00E96151" w:rsidRDefault="00E60E99" w:rsidP="00E96151">
      <w:pPr>
        <w:pStyle w:val="Heading3"/>
      </w:pPr>
      <w:bookmarkStart w:id="1101" w:name="_Toc12795283"/>
      <w:r w:rsidRPr="00E96151">
        <w:lastRenderedPageBreak/>
        <w:t>New Hampshire</w:t>
      </w:r>
      <w:bookmarkEnd w:id="1101"/>
    </w:p>
    <w:p w14:paraId="455797D7" w14:textId="77777777" w:rsidR="00E60E99" w:rsidRPr="00950D85" w:rsidRDefault="00E60E99" w:rsidP="00E60E99">
      <w:r w:rsidRPr="00950D85">
        <w:t>Over the 2019</w:t>
      </w:r>
      <w:r w:rsidR="00950D85" w:rsidRPr="00AD4D9D">
        <w:t>–</w:t>
      </w:r>
      <w:r w:rsidRPr="00950D85">
        <w:t xml:space="preserve">2020 legislative biennium, the New Hampshire legislature is pursuing many policy measures to increase and retain renewable energy resources across the state. In 2019, the </w:t>
      </w:r>
      <w:r w:rsidR="00950D85" w:rsidRPr="00AD4D9D">
        <w:t>g</w:t>
      </w:r>
      <w:r w:rsidRPr="00950D85">
        <w:t>overnor began work with federal agencies and the Gulf of Maine region to pursue offshore wind development.</w:t>
      </w:r>
      <w:r w:rsidRPr="00950D85">
        <w:rPr>
          <w:rStyle w:val="FootnoteReference"/>
        </w:rPr>
        <w:footnoteReference w:id="386"/>
      </w:r>
      <w:r w:rsidRPr="00950D85">
        <w:t xml:space="preserve"> </w:t>
      </w:r>
    </w:p>
    <w:p w14:paraId="4C68FAE2" w14:textId="77777777" w:rsidR="00E60E99" w:rsidRPr="009D6317" w:rsidRDefault="00E60E99" w:rsidP="00E60E99">
      <w:r w:rsidRPr="00950D85">
        <w:t>The N</w:t>
      </w:r>
      <w:r w:rsidR="00950D85" w:rsidRPr="00AD4D9D">
        <w:t xml:space="preserve">ew </w:t>
      </w:r>
      <w:r w:rsidRPr="00950D85">
        <w:t>H</w:t>
      </w:r>
      <w:r w:rsidR="00950D85" w:rsidRPr="00AD4D9D">
        <w:t>ampshire</w:t>
      </w:r>
      <w:r w:rsidRPr="00950D85">
        <w:t xml:space="preserve"> Public Utilities Commission </w:t>
      </w:r>
      <w:r w:rsidR="00950D85" w:rsidRPr="00AD4D9D">
        <w:t xml:space="preserve">(NH PUC) </w:t>
      </w:r>
      <w:r w:rsidRPr="00950D85">
        <w:t>will review revisions to the state’s current Energy Efficiency Resource Standard (EERS, which officially began in 2018), including the electric</w:t>
      </w:r>
      <w:r w:rsidR="0040600E">
        <w:t>ity</w:t>
      </w:r>
      <w:r w:rsidRPr="00950D85">
        <w:t xml:space="preserve"> and gas savings targets, in 2020. The NH PUC also continues to study options to promote grid modernization through a collaborative, nonadjudicated regulatory process. Having fully </w:t>
      </w:r>
      <w:r w:rsidRPr="00AD4D9D">
        <w:t>completed restructuring upon the final sale of its generation assets in 2018, Public Service of N</w:t>
      </w:r>
      <w:r w:rsidR="00950D85" w:rsidRPr="00AD4D9D">
        <w:t xml:space="preserve">ew </w:t>
      </w:r>
      <w:r w:rsidRPr="00AD4D9D">
        <w:t>H</w:t>
      </w:r>
      <w:r w:rsidR="00950D85" w:rsidRPr="00AD4D9D">
        <w:t>ampshire</w:t>
      </w:r>
      <w:r w:rsidRPr="00AD4D9D">
        <w:t xml:space="preserve"> (d</w:t>
      </w:r>
      <w:r w:rsidR="00AD4D9D" w:rsidRPr="00AD4D9D">
        <w:t>oing business as</w:t>
      </w:r>
      <w:r w:rsidRPr="00AD4D9D">
        <w:t xml:space="preserve"> Eversource) is now solely a distribution and transmission co</w:t>
      </w:r>
      <w:r w:rsidRPr="009D6317">
        <w:t>mpany. Th</w:t>
      </w:r>
      <w:r w:rsidRPr="00AD4D9D">
        <w:t xml:space="preserve">e Department of Environmental Services </w:t>
      </w:r>
      <w:r w:rsidR="009D6317" w:rsidRPr="00AD4D9D">
        <w:t xml:space="preserve">(NH DES) </w:t>
      </w:r>
      <w:r w:rsidRPr="00AD4D9D">
        <w:t>continues its program to improve energy efficiency a</w:t>
      </w:r>
      <w:r w:rsidRPr="009D6317">
        <w:t>t wastewater treatment plants, having achieved savings in several municipalities and identified savings in dozens more.</w:t>
      </w:r>
      <w:r w:rsidRPr="009D6317">
        <w:rPr>
          <w:rStyle w:val="FootnoteReference"/>
        </w:rPr>
        <w:footnoteReference w:id="387"/>
      </w:r>
      <w:r w:rsidR="00B707AC">
        <w:t xml:space="preserve"> </w:t>
      </w:r>
    </w:p>
    <w:p w14:paraId="726D9088" w14:textId="77777777" w:rsidR="00E60E99" w:rsidRPr="009D6317" w:rsidRDefault="00E60E99" w:rsidP="00E60E99">
      <w:pPr>
        <w:pStyle w:val="Heading3"/>
      </w:pPr>
      <w:bookmarkStart w:id="1102" w:name="_Toc12795284"/>
      <w:r w:rsidRPr="009D6317">
        <w:t>Rhode Island</w:t>
      </w:r>
      <w:bookmarkEnd w:id="1102"/>
    </w:p>
    <w:p w14:paraId="704EA8D7" w14:textId="77777777" w:rsidR="00E60E99" w:rsidRPr="00F300A2" w:rsidRDefault="00E60E99" w:rsidP="00E60E99">
      <w:r w:rsidRPr="009D6317">
        <w:t xml:space="preserve">Rhode Island continues to make progress toward Governor Gina Raimondo’s strategic goal to increase the state’s clean energy </w:t>
      </w:r>
      <w:r w:rsidR="0040600E">
        <w:t xml:space="preserve">projects </w:t>
      </w:r>
      <w:r w:rsidRPr="009D6317">
        <w:t>to 1,000 MW by the end of 2020.</w:t>
      </w:r>
      <w:r w:rsidRPr="009D6317">
        <w:rPr>
          <w:rStyle w:val="FootnoteReference"/>
        </w:rPr>
        <w:footnoteReference w:id="388"/>
      </w:r>
      <w:r w:rsidRPr="009D6317">
        <w:t xml:space="preserve"> In furtherance of this goal, Rhode Island selected 400 MW from Deepwater Wind’s Revolution Wind project through a competitive offshore wind solicitation conducted by Massachusetts in 2018.</w:t>
      </w:r>
      <w:r w:rsidRPr="009D6317">
        <w:rPr>
          <w:rStyle w:val="FootnoteReference"/>
        </w:rPr>
        <w:footnoteReference w:id="389"/>
      </w:r>
      <w:r w:rsidRPr="009D6317">
        <w:t xml:space="preserve"> </w:t>
      </w:r>
      <w:r w:rsidR="009D6317" w:rsidRPr="009D6317">
        <w:t>The Rhode Islan</w:t>
      </w:r>
      <w:r w:rsidR="009D6317" w:rsidRPr="00AD4D9D">
        <w:t xml:space="preserve">d </w:t>
      </w:r>
      <w:r w:rsidR="00AD4D9D" w:rsidRPr="00AD4D9D">
        <w:t>Public Utilities Commission (</w:t>
      </w:r>
      <w:r w:rsidR="00A8310C">
        <w:t xml:space="preserve">RI </w:t>
      </w:r>
      <w:r w:rsidR="009D6317" w:rsidRPr="00AD4D9D">
        <w:t>PUC</w:t>
      </w:r>
      <w:r w:rsidR="00AD4D9D" w:rsidRPr="00AD4D9D">
        <w:t>)</w:t>
      </w:r>
      <w:r w:rsidR="009D6317" w:rsidRPr="00AD4D9D">
        <w:t xml:space="preserve"> </w:t>
      </w:r>
      <w:r w:rsidR="009D6317" w:rsidRPr="00A8310C">
        <w:t>approved t</w:t>
      </w:r>
      <w:r w:rsidRPr="00A8310C">
        <w:t>he contract between National Grid and the project developer in May 2019.</w:t>
      </w:r>
      <w:r w:rsidRPr="00A8310C">
        <w:rPr>
          <w:rStyle w:val="FootnoteReference"/>
        </w:rPr>
        <w:footnoteReference w:id="390"/>
      </w:r>
      <w:r w:rsidRPr="00A8310C">
        <w:t xml:space="preserve"> Nat</w:t>
      </w:r>
      <w:r w:rsidRPr="00AD4D9D">
        <w:t>ional Grid is</w:t>
      </w:r>
      <w:r w:rsidRPr="009D6317">
        <w:t xml:space="preserve"> in the midst of </w:t>
      </w:r>
      <w:r w:rsidRPr="00047006">
        <w:t>conducting a separate solicitation</w:t>
      </w:r>
      <w:r w:rsidR="009D6317" w:rsidRPr="00047006">
        <w:t>,</w:t>
      </w:r>
      <w:r w:rsidRPr="00047006">
        <w:t xml:space="preserve"> which may result in the procurement of an additional 400 MW of newly developed renewable energy resources for the state.</w:t>
      </w:r>
      <w:r w:rsidRPr="009D6317">
        <w:rPr>
          <w:rStyle w:val="FootnoteReference"/>
        </w:rPr>
        <w:footnoteReference w:id="391"/>
      </w:r>
      <w:r w:rsidRPr="009D6317">
        <w:t xml:space="preserve"> </w:t>
      </w:r>
    </w:p>
    <w:p w14:paraId="14B02EA1" w14:textId="77777777" w:rsidR="00E60E99" w:rsidRPr="00315D3A" w:rsidRDefault="00E60E99" w:rsidP="00E60E99">
      <w:pPr>
        <w:pStyle w:val="Heading3"/>
      </w:pPr>
      <w:bookmarkStart w:id="1103" w:name="_Toc12795285"/>
      <w:r w:rsidRPr="00315D3A">
        <w:t>Vermont</w:t>
      </w:r>
      <w:bookmarkEnd w:id="1103"/>
    </w:p>
    <w:p w14:paraId="45F986F8" w14:textId="77777777" w:rsidR="00E60E99" w:rsidRPr="00A8310C" w:rsidRDefault="00E60E99" w:rsidP="00315D3A">
      <w:pPr>
        <w:rPr>
          <w:strike/>
        </w:rPr>
      </w:pPr>
      <w:r w:rsidRPr="00315D3A">
        <w:t>Vermo</w:t>
      </w:r>
      <w:r w:rsidRPr="00042D44">
        <w:t>nt policymakers continue to explore the appr</w:t>
      </w:r>
      <w:r w:rsidRPr="007C3DCD">
        <w:t xml:space="preserve">opriate role of battery storage in the state’s energy mix. In 2019, lawmakers required that </w:t>
      </w:r>
      <w:r w:rsidRPr="00AD4D9D">
        <w:t>proposed energy</w:t>
      </w:r>
      <w:r w:rsidR="00315D3A" w:rsidRPr="00AD4D9D">
        <w:t>-</w:t>
      </w:r>
      <w:r w:rsidRPr="00AD4D9D">
        <w:t>storage faci</w:t>
      </w:r>
      <w:r w:rsidRPr="00D02A11">
        <w:t>litie</w:t>
      </w:r>
      <w:r w:rsidRPr="00AD4D9D">
        <w:t>s</w:t>
      </w:r>
      <w:r w:rsidRPr="00315D3A">
        <w:t xml:space="preserve"> greater than 500 kW receive a certificate of public </w:t>
      </w:r>
      <w:r w:rsidRPr="00A8310C">
        <w:t>good from the Public Utility Commission</w:t>
      </w:r>
      <w:r w:rsidR="00A8310C" w:rsidRPr="00A8310C">
        <w:t xml:space="preserve"> (VT PUC)</w:t>
      </w:r>
      <w:r w:rsidRPr="00A8310C">
        <w:t>.</w:t>
      </w:r>
      <w:r w:rsidRPr="00A8310C">
        <w:rPr>
          <w:rStyle w:val="FootnoteReference"/>
          <w:iCs/>
        </w:rPr>
        <w:footnoteReference w:id="392"/>
      </w:r>
      <w:r w:rsidRPr="00A8310C">
        <w:t xml:space="preserve"> M</w:t>
      </w:r>
      <w:r w:rsidRPr="00042D44">
        <w:t>ost investments in energy infrast</w:t>
      </w:r>
      <w:r w:rsidRPr="007C3DCD">
        <w:t xml:space="preserve">ructure in Vermont require a certificate of public good. </w:t>
      </w:r>
    </w:p>
    <w:p w14:paraId="10BB9F94" w14:textId="77777777" w:rsidR="00E60E99" w:rsidRPr="00400949" w:rsidRDefault="00E60E99" w:rsidP="00E60E99">
      <w:r w:rsidRPr="00400949">
        <w:lastRenderedPageBreak/>
        <w:t>Through its an</w:t>
      </w:r>
      <w:r w:rsidRPr="00A8310C">
        <w:t xml:space="preserve">nual transportation bill, lawmakers specified that </w:t>
      </w:r>
      <w:r w:rsidR="00400949" w:rsidRPr="00A8310C">
        <w:t xml:space="preserve">the Public Utility Commission does not have jurisdiction over </w:t>
      </w:r>
      <w:r w:rsidR="00A8310C" w:rsidRPr="00A8310C">
        <w:t>individuals</w:t>
      </w:r>
      <w:r w:rsidR="00400949" w:rsidRPr="00A8310C">
        <w:t xml:space="preserve">, otherwise not regulated by the PUC, </w:t>
      </w:r>
      <w:r w:rsidR="00A8310C" w:rsidRPr="00A8310C">
        <w:t>who</w:t>
      </w:r>
      <w:r w:rsidR="00400949" w:rsidRPr="00A8310C">
        <w:t xml:space="preserve"> sell or supply electricity for charging electric vehicles</w:t>
      </w:r>
      <w:r w:rsidRPr="00A8310C">
        <w:t>.</w:t>
      </w:r>
      <w:r w:rsidRPr="00A8310C">
        <w:rPr>
          <w:rStyle w:val="FootnoteReference"/>
        </w:rPr>
        <w:footnoteReference w:id="393"/>
      </w:r>
      <w:r w:rsidRPr="00A8310C">
        <w:t xml:space="preserve"> In t</w:t>
      </w:r>
      <w:r w:rsidRPr="00400949">
        <w:t>he same bill, the legislature requires that 50% of newly purchased or leased vehicles for the state fleet need to be either hybrids or electric vehicles, and th</w:t>
      </w:r>
      <w:r w:rsidR="00812F88" w:rsidRPr="00F300A2">
        <w:t>is</w:t>
      </w:r>
      <w:r w:rsidRPr="00400949">
        <w:t xml:space="preserve"> percentage increases to 75% by July 1, 2021.</w:t>
      </w:r>
    </w:p>
    <w:p w14:paraId="08E5AF2F" w14:textId="77777777" w:rsidR="00A22EB7" w:rsidRPr="00A22EB7" w:rsidRDefault="00A22EB7" w:rsidP="00E353DF">
      <w:pPr>
        <w:pStyle w:val="Heading2"/>
        <w:rPr>
          <w:rFonts w:eastAsia="Times New Roman"/>
        </w:rPr>
      </w:pPr>
      <w:bookmarkStart w:id="1104" w:name="_Toc365441078"/>
      <w:bookmarkStart w:id="1105" w:name="_Toc396807711"/>
      <w:bookmarkStart w:id="1106" w:name="_Toc485367353"/>
      <w:bookmarkStart w:id="1107" w:name="_Toc490323126"/>
      <w:bookmarkStart w:id="1108" w:name="_Toc12795286"/>
      <w:bookmarkEnd w:id="1092"/>
      <w:bookmarkEnd w:id="1093"/>
      <w:bookmarkEnd w:id="1094"/>
      <w:bookmarkEnd w:id="1095"/>
      <w:bookmarkEnd w:id="1096"/>
      <w:bookmarkEnd w:id="1097"/>
      <w:r w:rsidRPr="00A22EB7">
        <w:rPr>
          <w:rFonts w:eastAsia="Times New Roman"/>
        </w:rPr>
        <w:t>Summary of Initiatives</w:t>
      </w:r>
      <w:bookmarkEnd w:id="1104"/>
      <w:bookmarkEnd w:id="1105"/>
      <w:bookmarkEnd w:id="1106"/>
      <w:bookmarkEnd w:id="1107"/>
      <w:bookmarkEnd w:id="1108"/>
      <w:r w:rsidRPr="00A22EB7">
        <w:rPr>
          <w:rFonts w:eastAsia="Times New Roman"/>
        </w:rPr>
        <w:t xml:space="preserve"> </w:t>
      </w:r>
    </w:p>
    <w:p w14:paraId="6E7E5D50" w14:textId="77777777" w:rsidR="00A22EB7" w:rsidRPr="00A22EB7" w:rsidRDefault="00A22EB7" w:rsidP="00A22EB7">
      <w:r w:rsidRPr="00A22EB7">
        <w:t xml:space="preserve">The ISO’s planning </w:t>
      </w:r>
      <w:r w:rsidR="00C8218C">
        <w:t xml:space="preserve">and market </w:t>
      </w:r>
      <w:r w:rsidRPr="00A22EB7">
        <w:t xml:space="preserve">activities are closely coordinated among the six New England states, with neighboring systems, across the Eastern Interconnection, and nationally. Each New England state has a unique set of energy policy objectives and goals and continues to implement laws, policies, and initiatives that affect the regional system planning in New England. </w:t>
      </w:r>
      <w:r w:rsidR="00C8218C">
        <w:t>The ISO continues to work closely with the states and their policy prerogatives for increasing renewable energy in a manner that will ensure reliability.</w:t>
      </w:r>
    </w:p>
    <w:bookmarkEnd w:id="1027"/>
    <w:bookmarkEnd w:id="1028"/>
    <w:bookmarkEnd w:id="1029"/>
    <w:bookmarkEnd w:id="1030"/>
    <w:bookmarkEnd w:id="1031"/>
    <w:bookmarkEnd w:id="1032"/>
    <w:p w14:paraId="00CEAB98" w14:textId="77777777" w:rsidR="005A4357" w:rsidRDefault="005A4357" w:rsidP="009956EC">
      <w:pPr>
        <w:pStyle w:val="Heading1"/>
      </w:pPr>
      <w:r w:rsidRPr="009956EC">
        <w:lastRenderedPageBreak/>
        <w:br/>
      </w:r>
      <w:bookmarkStart w:id="1109" w:name="_Toc12795287"/>
      <w:r w:rsidR="000949B4">
        <w:t xml:space="preserve">Key Findings and </w:t>
      </w:r>
      <w:r w:rsidRPr="009956EC">
        <w:t>Conclusions</w:t>
      </w:r>
      <w:bookmarkEnd w:id="1109"/>
    </w:p>
    <w:p w14:paraId="13999E7E" w14:textId="02BEE022" w:rsidR="000949B4" w:rsidRPr="000949B4" w:rsidRDefault="000949B4" w:rsidP="000949B4">
      <w:pPr>
        <w:rPr>
          <w:szCs w:val="36"/>
        </w:rPr>
      </w:pPr>
      <w:r w:rsidRPr="000949B4">
        <w:rPr>
          <w:szCs w:val="36"/>
        </w:rPr>
        <w:t xml:space="preserve">In accordance with all requirements in the </w:t>
      </w:r>
      <w:r w:rsidRPr="000949B4">
        <w:rPr>
          <w:i/>
          <w:szCs w:val="36"/>
        </w:rPr>
        <w:t>Open Access Transmission Tariff</w:t>
      </w:r>
      <w:r w:rsidRPr="000949B4">
        <w:rPr>
          <w:szCs w:val="36"/>
        </w:rPr>
        <w:t xml:space="preserve">, ISO New England’s </w:t>
      </w:r>
      <w:r w:rsidRPr="000949B4">
        <w:rPr>
          <w:i/>
          <w:szCs w:val="36"/>
        </w:rPr>
        <w:t>2019 Regional System Plan</w:t>
      </w:r>
      <w:r w:rsidRPr="000949B4">
        <w:rPr>
          <w:szCs w:val="36"/>
        </w:rPr>
        <w:t xml:space="preserve"> discusses the electric power system’s needs and the amounts, locations, and types of resource development that can meet these needs from 2019 through 2028. RSP19 also discusses the status of transmission system assessments, transmission system planning studies, and projects needed for meeting reliability requirements and improving the economic performance of the system. Other discussions include interregional planning requirements and risks to the regional electric power system; the likelihood, timing, and potential consequences of these risks; and mitigating actions. Some of the other highlights of RSP19 include strategic planning challenges expected over the 10-year planning horizon and how the region is analyzing and addressing these challenges. </w:t>
      </w:r>
    </w:p>
    <w:p w14:paraId="07620B10" w14:textId="77777777" w:rsidR="000949B4" w:rsidRPr="000949B4" w:rsidRDefault="000949B4" w:rsidP="000949B4">
      <w:pPr>
        <w:rPr>
          <w:szCs w:val="36"/>
        </w:rPr>
      </w:pPr>
      <w:r w:rsidRPr="000949B4">
        <w:rPr>
          <w:szCs w:val="36"/>
        </w:rPr>
        <w:t>This section summarizes the key findings of RSP19 and conclusions about the outlook for New England’s electric power system over the next 10 years:</w:t>
      </w:r>
    </w:p>
    <w:p w14:paraId="574F2822" w14:textId="75A0282A" w:rsidR="000949B4" w:rsidRPr="001B7F6B" w:rsidRDefault="000949B4" w:rsidP="000949B4">
      <w:pPr>
        <w:numPr>
          <w:ilvl w:val="0"/>
          <w:numId w:val="69"/>
        </w:numPr>
        <w:spacing w:after="120"/>
        <w:rPr>
          <w:rFonts w:eastAsia="Times New Roman"/>
        </w:rPr>
      </w:pPr>
      <w:r w:rsidRPr="000949B4">
        <w:rPr>
          <w:rFonts w:eastAsia="Times New Roman"/>
        </w:rPr>
        <w:t xml:space="preserve">Forecasts of the regional net peak and annual </w:t>
      </w:r>
      <w:r w:rsidR="00092E77">
        <w:rPr>
          <w:rFonts w:eastAsia="Times New Roman"/>
        </w:rPr>
        <w:t xml:space="preserve">use of electric </w:t>
      </w:r>
      <w:r w:rsidRPr="000949B4">
        <w:rPr>
          <w:rFonts w:eastAsia="Times New Roman"/>
        </w:rPr>
        <w:t>energy show negative growth resulting from the additions of PV</w:t>
      </w:r>
      <w:r w:rsidR="004739C9">
        <w:rPr>
          <w:rFonts w:eastAsia="Times New Roman"/>
        </w:rPr>
        <w:t>,</w:t>
      </w:r>
      <w:r w:rsidRPr="000949B4">
        <w:rPr>
          <w:rFonts w:eastAsia="Times New Roman"/>
        </w:rPr>
        <w:t xml:space="preserve"> EE, </w:t>
      </w:r>
      <w:r w:rsidR="004739C9">
        <w:rPr>
          <w:rFonts w:eastAsia="Times New Roman"/>
        </w:rPr>
        <w:t xml:space="preserve">and other BTM resources, </w:t>
      </w:r>
      <w:r w:rsidRPr="000949B4">
        <w:rPr>
          <w:rFonts w:eastAsia="Times New Roman"/>
        </w:rPr>
        <w:t xml:space="preserve">which are reflected in the planning processes. Net peak demand, thus, is not a key driver of new infrastructure needs over the 10-year planning horizon. Growth of demand over the longer term seems likely, however, with additional </w:t>
      </w:r>
      <w:r w:rsidRPr="001B7F6B">
        <w:rPr>
          <w:rFonts w:eastAsia="Times New Roman"/>
        </w:rPr>
        <w:t xml:space="preserve">electrification of transportation and the use of efficient heat pumps replacing fossil systems for providing heating and cooling. </w:t>
      </w:r>
    </w:p>
    <w:p w14:paraId="12C39535" w14:textId="7FCA8EED" w:rsidR="000949B4" w:rsidRPr="002336D1" w:rsidRDefault="000949B4" w:rsidP="001B7F6B">
      <w:pPr>
        <w:numPr>
          <w:ilvl w:val="0"/>
          <w:numId w:val="69"/>
        </w:numPr>
        <w:spacing w:after="120"/>
      </w:pPr>
      <w:r w:rsidRPr="002336D1">
        <w:rPr>
          <w:rFonts w:eastAsia="Times New Roman"/>
          <w:szCs w:val="24"/>
        </w:rPr>
        <w:t xml:space="preserve">The region has significant potential for developing renewable resources and is actively addressing several key technical challenges to successfully integrate these resources. The variability of net demand resulting from the addition of BTM PV creates </w:t>
      </w:r>
      <w:r w:rsidR="00336750" w:rsidRPr="002336D1">
        <w:rPr>
          <w:rFonts w:eastAsia="Times New Roman"/>
          <w:szCs w:val="24"/>
        </w:rPr>
        <w:t xml:space="preserve">the </w:t>
      </w:r>
      <w:r w:rsidR="007651AA" w:rsidRPr="002336D1">
        <w:rPr>
          <w:rFonts w:eastAsia="Times New Roman"/>
          <w:szCs w:val="24"/>
        </w:rPr>
        <w:t xml:space="preserve">increased </w:t>
      </w:r>
      <w:r w:rsidRPr="002336D1">
        <w:rPr>
          <w:rFonts w:eastAsia="Times New Roman"/>
          <w:szCs w:val="24"/>
        </w:rPr>
        <w:t>need for regulation, ramping, reserves, and voltage control</w:t>
      </w:r>
      <w:r w:rsidR="00336750" w:rsidRPr="002336D1">
        <w:rPr>
          <w:rFonts w:eastAsia="Times New Roman"/>
          <w:szCs w:val="24"/>
        </w:rPr>
        <w:t xml:space="preserve">, </w:t>
      </w:r>
      <w:r w:rsidR="007651AA" w:rsidRPr="002336D1">
        <w:rPr>
          <w:rFonts w:eastAsia="Times New Roman"/>
          <w:szCs w:val="24"/>
        </w:rPr>
        <w:t xml:space="preserve">a need that </w:t>
      </w:r>
      <w:r w:rsidRPr="002336D1">
        <w:rPr>
          <w:rFonts w:eastAsia="Times New Roman"/>
          <w:szCs w:val="24"/>
        </w:rPr>
        <w:t>increases</w:t>
      </w:r>
      <w:r w:rsidR="00336750" w:rsidRPr="002336D1">
        <w:rPr>
          <w:rFonts w:eastAsia="Times New Roman"/>
          <w:szCs w:val="24"/>
        </w:rPr>
        <w:t xml:space="preserve"> further</w:t>
      </w:r>
      <w:r w:rsidRPr="002336D1">
        <w:rPr>
          <w:rFonts w:eastAsia="Times New Roman"/>
          <w:szCs w:val="24"/>
        </w:rPr>
        <w:t xml:space="preserve"> with the addition of larger-scale </w:t>
      </w:r>
      <w:r w:rsidR="00092E77" w:rsidRPr="002336D1">
        <w:rPr>
          <w:rFonts w:eastAsia="Times New Roman"/>
          <w:szCs w:val="24"/>
        </w:rPr>
        <w:t xml:space="preserve">PV and wind </w:t>
      </w:r>
      <w:r w:rsidRPr="002336D1">
        <w:rPr>
          <w:rFonts w:eastAsia="Times New Roman"/>
          <w:szCs w:val="24"/>
        </w:rPr>
        <w:t>development</w:t>
      </w:r>
      <w:r w:rsidR="00336750" w:rsidRPr="002336D1">
        <w:rPr>
          <w:rFonts w:eastAsia="Times New Roman"/>
          <w:szCs w:val="24"/>
        </w:rPr>
        <w:t xml:space="preserve">. This </w:t>
      </w:r>
      <w:r w:rsidR="00092E77" w:rsidRPr="002336D1">
        <w:rPr>
          <w:rFonts w:eastAsia="Times New Roman"/>
          <w:szCs w:val="24"/>
        </w:rPr>
        <w:t xml:space="preserve">need </w:t>
      </w:r>
      <w:r w:rsidRPr="002336D1">
        <w:rPr>
          <w:rFonts w:eastAsia="Times New Roman"/>
          <w:szCs w:val="24"/>
        </w:rPr>
        <w:t>can be met by flexible resources</w:t>
      </w:r>
      <w:r w:rsidR="00092E77" w:rsidRPr="002336D1">
        <w:rPr>
          <w:rFonts w:eastAsia="Times New Roman"/>
          <w:szCs w:val="24"/>
        </w:rPr>
        <w:t>,</w:t>
      </w:r>
      <w:r w:rsidRPr="002336D1">
        <w:rPr>
          <w:rFonts w:eastAsia="Times New Roman"/>
          <w:szCs w:val="24"/>
        </w:rPr>
        <w:t xml:space="preserve"> storage</w:t>
      </w:r>
      <w:r w:rsidR="00092E77" w:rsidRPr="002336D1">
        <w:rPr>
          <w:rFonts w:eastAsia="Times New Roman"/>
          <w:szCs w:val="24"/>
        </w:rPr>
        <w:t>,</w:t>
      </w:r>
      <w:r w:rsidRPr="002336D1">
        <w:rPr>
          <w:rFonts w:eastAsia="Times New Roman"/>
          <w:szCs w:val="24"/>
        </w:rPr>
        <w:t xml:space="preserve"> demand response</w:t>
      </w:r>
      <w:r w:rsidR="00092E77" w:rsidRPr="002336D1">
        <w:rPr>
          <w:rFonts w:eastAsia="Times New Roman"/>
          <w:szCs w:val="24"/>
        </w:rPr>
        <w:t>,</w:t>
      </w:r>
      <w:r w:rsidRPr="002336D1">
        <w:rPr>
          <w:rFonts w:eastAsia="Times New Roman"/>
          <w:szCs w:val="24"/>
        </w:rPr>
        <w:t xml:space="preserve"> FACTS</w:t>
      </w:r>
      <w:r w:rsidR="00336750" w:rsidRPr="002336D1">
        <w:rPr>
          <w:rFonts w:eastAsia="Times New Roman"/>
          <w:szCs w:val="24"/>
        </w:rPr>
        <w:t xml:space="preserve"> devices</w:t>
      </w:r>
      <w:r w:rsidRPr="002336D1">
        <w:rPr>
          <w:rFonts w:eastAsia="Times New Roman"/>
          <w:szCs w:val="24"/>
        </w:rPr>
        <w:t>, which can provide dynamic voltage control</w:t>
      </w:r>
      <w:r w:rsidR="001B7F6B" w:rsidRPr="002336D1">
        <w:rPr>
          <w:rFonts w:eastAsia="Times New Roman"/>
          <w:szCs w:val="24"/>
        </w:rPr>
        <w:t xml:space="preserve">, and </w:t>
      </w:r>
      <w:r w:rsidR="002336D1" w:rsidRPr="002336D1">
        <w:rPr>
          <w:rFonts w:eastAsia="Times New Roman"/>
          <w:szCs w:val="24"/>
        </w:rPr>
        <w:t xml:space="preserve">other </w:t>
      </w:r>
      <w:r w:rsidRPr="002336D1">
        <w:rPr>
          <w:rFonts w:eastAsia="Times New Roman"/>
          <w:szCs w:val="24"/>
        </w:rPr>
        <w:t xml:space="preserve">controls on variable energy resources. </w:t>
      </w:r>
      <w:r w:rsidR="001B7F6B" w:rsidRPr="002336D1">
        <w:rPr>
          <w:rFonts w:eastAsia="Times New Roman"/>
          <w:szCs w:val="24"/>
        </w:rPr>
        <w:t>The ISO remains a leader in technological innovation, as shown by the widespread use of phasor measurement units, techniques for analyzing VERs, and the extensive application of FACTS devices.</w:t>
      </w:r>
      <w:r w:rsidR="006A2EA8">
        <w:rPr>
          <w:rFonts w:eastAsia="Times New Roman"/>
          <w:szCs w:val="24"/>
        </w:rPr>
        <w:t xml:space="preserve"> </w:t>
      </w:r>
      <w:r w:rsidRPr="002336D1">
        <w:rPr>
          <w:rFonts w:eastAsia="Times New Roman"/>
          <w:szCs w:val="24"/>
        </w:rPr>
        <w:t xml:space="preserve">The ISO </w:t>
      </w:r>
      <w:r w:rsidR="001B7F6B" w:rsidRPr="002336D1">
        <w:rPr>
          <w:rFonts w:eastAsia="Times New Roman"/>
          <w:szCs w:val="24"/>
        </w:rPr>
        <w:t xml:space="preserve">also </w:t>
      </w:r>
      <w:r w:rsidRPr="002336D1">
        <w:rPr>
          <w:rFonts w:eastAsia="Times New Roman"/>
          <w:szCs w:val="24"/>
        </w:rPr>
        <w:t>implemented state-of-the art short-term forecasting techniques, including for wind and solar resources, that facilitate the reliable and economic operation of the system</w:t>
      </w:r>
      <w:r w:rsidR="002B396B" w:rsidRPr="002336D1">
        <w:rPr>
          <w:rFonts w:eastAsia="Times New Roman"/>
          <w:szCs w:val="24"/>
        </w:rPr>
        <w:t>.</w:t>
      </w:r>
      <w:r w:rsidRPr="002336D1">
        <w:rPr>
          <w:strike/>
        </w:rPr>
        <w:t xml:space="preserve"> </w:t>
      </w:r>
    </w:p>
    <w:p w14:paraId="743FBCCF" w14:textId="77777777" w:rsidR="000949B4" w:rsidRPr="000949B4" w:rsidRDefault="000949B4" w:rsidP="000949B4">
      <w:pPr>
        <w:numPr>
          <w:ilvl w:val="0"/>
          <w:numId w:val="68"/>
        </w:numPr>
        <w:spacing w:after="120"/>
        <w:rPr>
          <w:rFonts w:eastAsia="Times New Roman"/>
        </w:rPr>
      </w:pPr>
      <w:r w:rsidRPr="000949B4">
        <w:rPr>
          <w:rFonts w:eastAsia="Times New Roman"/>
          <w:szCs w:val="24"/>
        </w:rPr>
        <w:t xml:space="preserve">Needed capacity and operating reserves are provided through the wholesale markets, but resource </w:t>
      </w:r>
      <w:r w:rsidRPr="002336D1">
        <w:rPr>
          <w:rFonts w:eastAsia="Times New Roman"/>
          <w:szCs w:val="24"/>
        </w:rPr>
        <w:t xml:space="preserve">retirements and the </w:t>
      </w:r>
      <w:r w:rsidR="002336D1">
        <w:rPr>
          <w:rFonts w:eastAsia="Times New Roman"/>
          <w:szCs w:val="24"/>
        </w:rPr>
        <w:t xml:space="preserve">need for </w:t>
      </w:r>
      <w:r w:rsidRPr="002336D1">
        <w:rPr>
          <w:rFonts w:eastAsia="Times New Roman"/>
          <w:szCs w:val="24"/>
        </w:rPr>
        <w:t>successful</w:t>
      </w:r>
      <w:r w:rsidR="002336D1">
        <w:rPr>
          <w:rFonts w:eastAsia="Times New Roman"/>
          <w:szCs w:val="24"/>
        </w:rPr>
        <w:t>ly</w:t>
      </w:r>
      <w:r w:rsidRPr="002336D1">
        <w:rPr>
          <w:rFonts w:eastAsia="Times New Roman"/>
          <w:szCs w:val="24"/>
        </w:rPr>
        <w:t xml:space="preserve"> integratin</w:t>
      </w:r>
      <w:r w:rsidR="002336D1">
        <w:rPr>
          <w:rFonts w:eastAsia="Times New Roman"/>
          <w:szCs w:val="24"/>
        </w:rPr>
        <w:t>g</w:t>
      </w:r>
      <w:r w:rsidRPr="002336D1">
        <w:rPr>
          <w:rFonts w:eastAsia="Times New Roman"/>
          <w:szCs w:val="24"/>
        </w:rPr>
        <w:t xml:space="preserve"> </w:t>
      </w:r>
      <w:r w:rsidR="002336D1" w:rsidRPr="00456988">
        <w:rPr>
          <w:rFonts w:eastAsia="Times New Roman"/>
          <w:szCs w:val="24"/>
        </w:rPr>
        <w:t>VERs</w:t>
      </w:r>
      <w:r w:rsidRPr="002336D1">
        <w:rPr>
          <w:rFonts w:eastAsia="Times New Roman"/>
          <w:szCs w:val="24"/>
        </w:rPr>
        <w:t xml:space="preserve"> pose future challenges to the reliable</w:t>
      </w:r>
      <w:r w:rsidRPr="000949B4">
        <w:rPr>
          <w:rFonts w:eastAsia="Times New Roman"/>
          <w:szCs w:val="24"/>
        </w:rPr>
        <w:t xml:space="preserve"> and economic operation of the system. RSP19 shows </w:t>
      </w:r>
      <w:r w:rsidR="00092E77">
        <w:rPr>
          <w:rFonts w:eastAsia="Times New Roman"/>
          <w:szCs w:val="24"/>
        </w:rPr>
        <w:t xml:space="preserve">that </w:t>
      </w:r>
      <w:r w:rsidRPr="000949B4">
        <w:rPr>
          <w:rFonts w:eastAsia="Times New Roman"/>
          <w:szCs w:val="24"/>
        </w:rPr>
        <w:t xml:space="preserve">the use of </w:t>
      </w:r>
      <w:r w:rsidR="00092E77" w:rsidRPr="000949B4">
        <w:rPr>
          <w:rFonts w:eastAsia="Times New Roman"/>
          <w:szCs w:val="24"/>
        </w:rPr>
        <w:t>OP</w:t>
      </w:r>
      <w:r w:rsidR="00092E77">
        <w:rPr>
          <w:rFonts w:eastAsia="Times New Roman"/>
          <w:szCs w:val="24"/>
        </w:rPr>
        <w:t> </w:t>
      </w:r>
      <w:r w:rsidRPr="000949B4">
        <w:rPr>
          <w:rFonts w:eastAsia="Times New Roman"/>
          <w:szCs w:val="24"/>
        </w:rPr>
        <w:t xml:space="preserve">4 procedures would likely be required over the planning horizon, especially during winter peak demand periods. Studies of expected system conditions show that developing new </w:t>
      </w:r>
      <w:r w:rsidRPr="00B31FEF">
        <w:rPr>
          <w:rFonts w:eastAsia="Times New Roman"/>
          <w:szCs w:val="24"/>
        </w:rPr>
        <w:t>resources near load</w:t>
      </w:r>
      <w:r w:rsidRPr="000949B4">
        <w:rPr>
          <w:rFonts w:eastAsia="Times New Roman"/>
          <w:szCs w:val="24"/>
        </w:rPr>
        <w:t xml:space="preserve"> centers, particularly in the NEMA/Boston and SEMA/RI areas, would provide the greatest reliability benefit to the system. Proposed development of offshore wind resources interconnecting with these areas appears to be electrically well situated. </w:t>
      </w:r>
      <w:r w:rsidRPr="000949B4">
        <w:rPr>
          <w:rFonts w:eastAsia="Times New Roman"/>
        </w:rPr>
        <w:t xml:space="preserve">The large-scale development of wind resources in northern New England, however, would require significant additional transmission system improvements. </w:t>
      </w:r>
    </w:p>
    <w:p w14:paraId="4C3B57FF" w14:textId="77777777" w:rsidR="000949B4" w:rsidRPr="000949B4" w:rsidRDefault="000949B4" w:rsidP="000949B4">
      <w:pPr>
        <w:numPr>
          <w:ilvl w:val="0"/>
          <w:numId w:val="68"/>
        </w:numPr>
        <w:spacing w:after="120"/>
        <w:rPr>
          <w:rFonts w:eastAsia="Times New Roman"/>
          <w:szCs w:val="24"/>
        </w:rPr>
      </w:pPr>
      <w:r w:rsidRPr="000949B4">
        <w:rPr>
          <w:rFonts w:eastAsia="Times New Roman"/>
          <w:szCs w:val="24"/>
        </w:rPr>
        <w:t xml:space="preserve">As of June 1, 2019, the ISO Interconnection Request Queue includes 17 elective transmission upgrades under study and three that have received approval of their proposed plan applications. Many of these ETUs have been proposed to deliver zero- or low-carbon resources. The ISO implemented cluster studies that facilitate the development of </w:t>
      </w:r>
      <w:r w:rsidR="00E94521">
        <w:rPr>
          <w:rFonts w:eastAsia="Times New Roman"/>
          <w:szCs w:val="24"/>
        </w:rPr>
        <w:t>renewable</w:t>
      </w:r>
      <w:r w:rsidRPr="000949B4">
        <w:rPr>
          <w:rFonts w:eastAsia="Times New Roman"/>
          <w:szCs w:val="24"/>
        </w:rPr>
        <w:t xml:space="preserve"> resources.</w:t>
      </w:r>
    </w:p>
    <w:p w14:paraId="1BABA2C9" w14:textId="25A45B90" w:rsidR="000949B4" w:rsidRPr="000949B4" w:rsidRDefault="000949B4" w:rsidP="000949B4">
      <w:pPr>
        <w:numPr>
          <w:ilvl w:val="0"/>
          <w:numId w:val="68"/>
        </w:numPr>
        <w:spacing w:after="120"/>
        <w:rPr>
          <w:rFonts w:eastAsia="Times New Roman"/>
          <w:szCs w:val="24"/>
        </w:rPr>
      </w:pPr>
      <w:r w:rsidRPr="000949B4">
        <w:rPr>
          <w:rFonts w:eastAsia="Times New Roman"/>
          <w:szCs w:val="24"/>
        </w:rPr>
        <w:lastRenderedPageBreak/>
        <w:t xml:space="preserve">Transmission expansion in New England has improved the overall level of reliability and resiliency, reduced air emissions, and lowered wholesale market costs by nearly eliminating congestion and Net Commitment-Period Compensation. The total 2018 congestion cost was $64.5 million for </w:t>
      </w:r>
      <w:r w:rsidR="009D1EAE">
        <w:rPr>
          <w:rFonts w:eastAsia="Times New Roman"/>
          <w:szCs w:val="24"/>
        </w:rPr>
        <w:t>c</w:t>
      </w:r>
      <w:r w:rsidRPr="000949B4">
        <w:rPr>
          <w:rFonts w:eastAsia="Times New Roman"/>
          <w:szCs w:val="24"/>
        </w:rPr>
        <w:t>ongestion</w:t>
      </w:r>
      <w:r w:rsidR="009D1EAE">
        <w:rPr>
          <w:rFonts w:eastAsia="Times New Roman"/>
          <w:szCs w:val="24"/>
        </w:rPr>
        <w:t xml:space="preserve"> resulting from transmission constraints</w:t>
      </w:r>
      <w:r w:rsidRPr="000949B4">
        <w:rPr>
          <w:rFonts w:eastAsia="Times New Roman"/>
          <w:szCs w:val="24"/>
        </w:rPr>
        <w:t xml:space="preserve">, and the total 2018 NCPC cost was $17.7 million </w:t>
      </w:r>
      <w:r w:rsidRPr="007650A3">
        <w:rPr>
          <w:rFonts w:eastAsia="Times New Roman"/>
          <w:szCs w:val="24"/>
        </w:rPr>
        <w:t>for voltage and second-contingency NCPC</w:t>
      </w:r>
      <w:r w:rsidR="00C1588D" w:rsidRPr="007650A3">
        <w:rPr>
          <w:rFonts w:eastAsia="Times New Roman"/>
          <w:szCs w:val="24"/>
        </w:rPr>
        <w:t>,</w:t>
      </w:r>
      <w:r w:rsidRPr="007650A3">
        <w:rPr>
          <w:rFonts w:eastAsia="Times New Roman"/>
          <w:szCs w:val="24"/>
        </w:rPr>
        <w:t xml:space="preserve"> of the $9.</w:t>
      </w:r>
      <w:r w:rsidR="009D1EAE" w:rsidRPr="007650A3">
        <w:rPr>
          <w:rFonts w:eastAsia="Times New Roman"/>
          <w:szCs w:val="24"/>
        </w:rPr>
        <w:t>8</w:t>
      </w:r>
      <w:r w:rsidR="009D1EAE">
        <w:rPr>
          <w:rFonts w:eastAsia="Times New Roman"/>
          <w:szCs w:val="24"/>
        </w:rPr>
        <w:t> </w:t>
      </w:r>
      <w:r w:rsidRPr="007650A3">
        <w:rPr>
          <w:rFonts w:eastAsia="Times New Roman"/>
          <w:szCs w:val="24"/>
        </w:rPr>
        <w:t>billion total wholesale electricity markets</w:t>
      </w:r>
      <w:r w:rsidRPr="000949B4">
        <w:rPr>
          <w:rFonts w:eastAsia="Times New Roman"/>
          <w:szCs w:val="24"/>
        </w:rPr>
        <w:t xml:space="preserve"> costs in 2018. Generator retirements, off-peak system needs, the growth of inverter based technologies, and changes to mandatory planning criteria promulgated by NERC and NPCC will drive the need for longer-term transmission projects. </w:t>
      </w:r>
    </w:p>
    <w:p w14:paraId="2290C7FF" w14:textId="77777777" w:rsidR="000949B4" w:rsidRPr="000949B4" w:rsidRDefault="000949B4" w:rsidP="000949B4">
      <w:pPr>
        <w:numPr>
          <w:ilvl w:val="0"/>
          <w:numId w:val="68"/>
        </w:numPr>
        <w:spacing w:after="120"/>
        <w:rPr>
          <w:rFonts w:eastAsia="Times New Roman"/>
        </w:rPr>
      </w:pPr>
      <w:r w:rsidRPr="000949B4">
        <w:rPr>
          <w:rFonts w:eastAsia="Times New Roman"/>
          <w:szCs w:val="24"/>
        </w:rPr>
        <w:t xml:space="preserve">RSP19 complies with the intraregional and interregional planning processes required by the ISO’s </w:t>
      </w:r>
      <w:r w:rsidRPr="000949B4">
        <w:rPr>
          <w:rFonts w:eastAsia="Times New Roman"/>
          <w:i/>
          <w:szCs w:val="24"/>
        </w:rPr>
        <w:t>Open Access Transmission Tariff</w:t>
      </w:r>
      <w:r w:rsidRPr="000949B4">
        <w:rPr>
          <w:rFonts w:eastAsia="Times New Roman"/>
          <w:szCs w:val="24"/>
        </w:rPr>
        <w:t>. The ISO planning processes reflect Order 1000 requirements, probabilistic study assumptions, and changes to national and regional criteria. The ISO anticipates issuing its first competitive solicitation for transmission improvements by early 2020. C</w:t>
      </w:r>
      <w:r w:rsidRPr="000949B4">
        <w:rPr>
          <w:rFonts w:eastAsia="Times New Roman"/>
        </w:rPr>
        <w:t xml:space="preserve">oordinated planning activities with other systems will continue growing, particularly to provide access to a greater diversity of resources, including hydro imports and VERs, and to </w:t>
      </w:r>
      <w:r w:rsidR="00573E98">
        <w:rPr>
          <w:rFonts w:eastAsia="Times New Roman"/>
        </w:rPr>
        <w:t xml:space="preserve">comply with </w:t>
      </w:r>
      <w:r w:rsidRPr="000949B4">
        <w:rPr>
          <w:rFonts w:eastAsia="Times New Roman"/>
        </w:rPr>
        <w:t xml:space="preserve">environmental </w:t>
      </w:r>
      <w:r w:rsidR="00573E98">
        <w:rPr>
          <w:rFonts w:eastAsia="Times New Roman"/>
        </w:rPr>
        <w:t>requirements</w:t>
      </w:r>
      <w:r w:rsidRPr="000949B4">
        <w:rPr>
          <w:rFonts w:eastAsia="Times New Roman"/>
        </w:rPr>
        <w:t>.</w:t>
      </w:r>
    </w:p>
    <w:p w14:paraId="27554659" w14:textId="77777777" w:rsidR="000949B4" w:rsidRPr="000949B4" w:rsidRDefault="000949B4" w:rsidP="000949B4">
      <w:pPr>
        <w:numPr>
          <w:ilvl w:val="0"/>
          <w:numId w:val="68"/>
        </w:numPr>
        <w:spacing w:after="120"/>
        <w:rPr>
          <w:rFonts w:eastAsia="Times New Roman"/>
        </w:rPr>
      </w:pPr>
      <w:r w:rsidRPr="000949B4">
        <w:rPr>
          <w:rFonts w:eastAsia="Times New Roman"/>
        </w:rPr>
        <w:t>The regional reliance on natural-gas-fired generation, coupled with natural gas pipeline constraints and uncertain LNG deliveries can pose reliability issues and lead to price spikes in the wholesale electricity markets. The ISO and interregional organizations assessed these risks in a number of energy-security studies, and the ISO took a number of actions to improve the overall reliable and economical operation of the system. Further improvements in the wholesale electricity markets will be required, which will be discussed with stakeholders in 2019 and beyond.</w:t>
      </w:r>
      <w:r w:rsidRPr="000949B4">
        <w:rPr>
          <w:rFonts w:eastAsia="Times New Roman"/>
          <w:szCs w:val="24"/>
        </w:rPr>
        <w:t xml:space="preserve"> </w:t>
      </w:r>
      <w:r w:rsidRPr="000949B4">
        <w:rPr>
          <w:rFonts w:eastAsia="Times New Roman"/>
        </w:rPr>
        <w:t>The greater development of renewable resources, energy efficiency, imports from neighboring regions, and continued investment in gas-efficiency measures are also part of the solution to the regional energy-security issue.</w:t>
      </w:r>
    </w:p>
    <w:p w14:paraId="0D788D77" w14:textId="77777777" w:rsidR="000949B4" w:rsidRPr="000949B4" w:rsidRDefault="000949B4" w:rsidP="000949B4">
      <w:pPr>
        <w:numPr>
          <w:ilvl w:val="0"/>
          <w:numId w:val="68"/>
        </w:numPr>
        <w:spacing w:after="120"/>
        <w:rPr>
          <w:rFonts w:eastAsia="Times New Roman"/>
        </w:rPr>
      </w:pPr>
      <w:r w:rsidRPr="000949B4">
        <w:rPr>
          <w:rFonts w:eastAsia="Times New Roman"/>
        </w:rPr>
        <w:t xml:space="preserve">Environmental regulations, other public policies, and economic considerations all will affect the future operation of existing resources and the mix of new regional resources, such as to influence the retirement of oil and coal generators and the addition of natural-gas-fired and renewable generation. The addition of renewables can suppress energy market prices and may further encourage the retirement of traditional generating units. Generator environmental compliance depends on final federal regulations and site-specific circumstances, which have been subject to uncertainty and delays that could affect generator permitting and operations. Carbon emissions targets will likely be the key regional environmental constraint on energy production by fossil-fired generating units. </w:t>
      </w:r>
    </w:p>
    <w:p w14:paraId="64D7CC7E" w14:textId="77777777" w:rsidR="000949B4" w:rsidRPr="000949B4" w:rsidRDefault="000949B4" w:rsidP="000949B4">
      <w:pPr>
        <w:numPr>
          <w:ilvl w:val="0"/>
          <w:numId w:val="69"/>
        </w:numPr>
        <w:spacing w:after="120"/>
        <w:rPr>
          <w:rFonts w:eastAsia="Times New Roman"/>
        </w:rPr>
      </w:pPr>
      <w:r w:rsidRPr="000949B4">
        <w:rPr>
          <w:rFonts w:eastAsia="Times New Roman"/>
        </w:rPr>
        <w:t>New England is transforming to a sustainable hybrid grid that supports the connection of more renewable energy and more effective use of distributed energy resou</w:t>
      </w:r>
      <w:r w:rsidRPr="00456988">
        <w:rPr>
          <w:rFonts w:eastAsia="Times New Roman"/>
        </w:rPr>
        <w:t>rces. Grid operato</w:t>
      </w:r>
      <w:r w:rsidRPr="009F270B">
        <w:rPr>
          <w:rFonts w:eastAsia="Times New Roman"/>
        </w:rPr>
        <w:t>rs will need to be able to observe and control variable</w:t>
      </w:r>
      <w:r w:rsidRPr="00812943">
        <w:rPr>
          <w:rFonts w:eastAsia="Times New Roman"/>
        </w:rPr>
        <w:t xml:space="preserve"> </w:t>
      </w:r>
      <w:r w:rsidRPr="005F7AF9">
        <w:rPr>
          <w:rFonts w:eastAsia="Times New Roman"/>
        </w:rPr>
        <w:t>and distributed resources</w:t>
      </w:r>
      <w:r w:rsidRPr="00D12018">
        <w:rPr>
          <w:rFonts w:eastAsia="Times New Roman"/>
        </w:rPr>
        <w:t xml:space="preserve"> to realize the full benefits of </w:t>
      </w:r>
      <w:r w:rsidRPr="009F270B">
        <w:rPr>
          <w:rFonts w:eastAsia="Times New Roman"/>
        </w:rPr>
        <w:t>energy storage, microgrids, and smart grid technologies. The Ne</w:t>
      </w:r>
      <w:r w:rsidRPr="000949B4">
        <w:rPr>
          <w:rFonts w:eastAsia="Times New Roman"/>
        </w:rPr>
        <w:t>w England states implemented voltage and frequency ride-through requirements of IEEE 1547, which will improve overall system reliability. The full implementation of recently approved interconnection standards and testing requirements for distributed resources will prove vital for ensuring overall system reliability and facilitating the economical development of renewable resources, such as PV.</w:t>
      </w:r>
    </w:p>
    <w:p w14:paraId="45CCFBCE" w14:textId="77777777" w:rsidR="000949B4" w:rsidRPr="000949B4" w:rsidRDefault="000949B4" w:rsidP="000949B4">
      <w:pPr>
        <w:numPr>
          <w:ilvl w:val="0"/>
          <w:numId w:val="69"/>
        </w:numPr>
        <w:spacing w:after="120"/>
        <w:rPr>
          <w:rFonts w:eastAsia="Times New Roman"/>
        </w:rPr>
      </w:pPr>
      <w:r w:rsidRPr="000949B4">
        <w:rPr>
          <w:rFonts w:eastAsia="Times New Roman"/>
        </w:rPr>
        <w:t xml:space="preserve">Federal and state policies and initiatives will continue to affect the planning process, such as the effect of policies promoting EE, PV, and wind resources. </w:t>
      </w:r>
    </w:p>
    <w:p w14:paraId="63E4D53E" w14:textId="77777777" w:rsidR="000949B4" w:rsidRPr="000949B4" w:rsidRDefault="00E94521" w:rsidP="000949B4">
      <w:pPr>
        <w:numPr>
          <w:ilvl w:val="0"/>
          <w:numId w:val="69"/>
        </w:numPr>
        <w:spacing w:after="120"/>
        <w:rPr>
          <w:rFonts w:eastAsia="Times New Roman"/>
        </w:rPr>
      </w:pPr>
      <w:r>
        <w:rPr>
          <w:rFonts w:eastAsia="Times New Roman"/>
        </w:rPr>
        <w:t xml:space="preserve">Because </w:t>
      </w:r>
      <w:r w:rsidR="000949B4" w:rsidRPr="000949B4">
        <w:rPr>
          <w:rFonts w:eastAsia="Times New Roman"/>
        </w:rPr>
        <w:t xml:space="preserve">the New England electric power system </w:t>
      </w:r>
      <w:r>
        <w:rPr>
          <w:rFonts w:eastAsia="Times New Roman"/>
        </w:rPr>
        <w:t xml:space="preserve">is </w:t>
      </w:r>
      <w:r w:rsidR="000949B4" w:rsidRPr="000949B4">
        <w:rPr>
          <w:rFonts w:eastAsia="Times New Roman"/>
        </w:rPr>
        <w:t>energy</w:t>
      </w:r>
      <w:r>
        <w:rPr>
          <w:rFonts w:eastAsia="Times New Roman"/>
        </w:rPr>
        <w:t xml:space="preserve"> </w:t>
      </w:r>
      <w:r w:rsidR="000949B4" w:rsidRPr="000949B4">
        <w:rPr>
          <w:rFonts w:eastAsia="Times New Roman"/>
        </w:rPr>
        <w:t>limited, ISO markets continue evolving to make reliable and eco</w:t>
      </w:r>
      <w:r w:rsidR="000949B4" w:rsidRPr="008A2D54">
        <w:rPr>
          <w:rFonts w:eastAsia="Times New Roman"/>
        </w:rPr>
        <w:t xml:space="preserve">nomic use of storage resources, demand response, and flexible resources </w:t>
      </w:r>
      <w:r w:rsidR="000949B4" w:rsidRPr="008A2D54">
        <w:rPr>
          <w:rFonts w:eastAsia="Times New Roman"/>
        </w:rPr>
        <w:lastRenderedPageBreak/>
        <w:t>that provide needed ancillary services</w:t>
      </w:r>
      <w:r w:rsidR="000949B4" w:rsidRPr="00E3232A">
        <w:rPr>
          <w:rFonts w:eastAsia="Times New Roman"/>
        </w:rPr>
        <w:t>.</w:t>
      </w:r>
      <w:r w:rsidR="000949B4" w:rsidRPr="00E3232A">
        <w:t xml:space="preserve"> </w:t>
      </w:r>
      <w:r w:rsidR="000949B4" w:rsidRPr="00E3232A">
        <w:rPr>
          <w:rFonts w:eastAsia="Times New Roman"/>
        </w:rPr>
        <w:t>Cha</w:t>
      </w:r>
      <w:r w:rsidR="000949B4" w:rsidRPr="000949B4">
        <w:rPr>
          <w:rFonts w:eastAsia="Times New Roman"/>
        </w:rPr>
        <w:t>nges in the ISO’s administration of the wholesale electricity markets continue improving operational security and flexibility.</w:t>
      </w:r>
    </w:p>
    <w:p w14:paraId="5CD58955" w14:textId="77777777" w:rsidR="000949B4" w:rsidRPr="000949B4" w:rsidRDefault="000949B4" w:rsidP="000949B4">
      <w:r w:rsidRPr="000949B4">
        <w:t xml:space="preserve">Through an open process, regional stakeholders and the ISO are addressing these issues, which could include further infrastructure development, as well as changes to the wholesale electricity market design and the system planning process. Through current and planned activities described in the </w:t>
      </w:r>
      <w:r w:rsidRPr="000949B4">
        <w:rPr>
          <w:i/>
        </w:rPr>
        <w:t>2019 Regional System Plan</w:t>
      </w:r>
      <w:r w:rsidRPr="000949B4">
        <w:t>, the region is working toward meeting all challenges for planning and operating the system in accordance with all requirements.</w:t>
      </w:r>
      <w:r w:rsidRPr="000949B4" w:rsidDel="00E37C7A">
        <w:rPr>
          <w:rFonts w:asciiTheme="majorHAnsi" w:eastAsia="Times New Roman" w:hAnsiTheme="majorHAnsi"/>
        </w:rPr>
        <w:t xml:space="preserve"> </w:t>
      </w:r>
    </w:p>
    <w:p w14:paraId="07026B9B" w14:textId="77777777" w:rsidR="000949B4" w:rsidRPr="000949B4" w:rsidRDefault="000949B4" w:rsidP="00DA7ACE"/>
    <w:p w14:paraId="02E6D81A" w14:textId="77777777" w:rsidR="000949B4" w:rsidRPr="000949B4" w:rsidRDefault="000949B4" w:rsidP="00DA7ACE">
      <w:pPr>
        <w:sectPr w:rsidR="000949B4" w:rsidRPr="000949B4" w:rsidSect="009956EC">
          <w:pgSz w:w="12240" w:h="15840"/>
          <w:pgMar w:top="1440" w:right="1440" w:bottom="1440" w:left="1800" w:header="720" w:footer="720" w:gutter="0"/>
          <w:cols w:space="720"/>
          <w:docGrid w:linePitch="360"/>
        </w:sectPr>
      </w:pPr>
    </w:p>
    <w:p w14:paraId="6CFD1929" w14:textId="77777777" w:rsidR="00C95C96" w:rsidRPr="00C95C96" w:rsidRDefault="005A4357" w:rsidP="00DD5397">
      <w:pPr>
        <w:pStyle w:val="Heading1"/>
        <w:numPr>
          <w:ilvl w:val="0"/>
          <w:numId w:val="0"/>
        </w:numPr>
      </w:pPr>
      <w:bookmarkStart w:id="1110" w:name="_Toc12795288"/>
      <w:r>
        <w:lastRenderedPageBreak/>
        <w:t>Acronyms and Abbreviations</w:t>
      </w:r>
      <w:bookmarkEnd w:id="1110"/>
    </w:p>
    <w:tbl>
      <w:tblPr>
        <w:tblStyle w:val="20122tableformat93"/>
        <w:tblW w:w="0" w:type="auto"/>
        <w:tblLook w:val="0420" w:firstRow="1" w:lastRow="0" w:firstColumn="0" w:lastColumn="0" w:noHBand="0" w:noVBand="1"/>
      </w:tblPr>
      <w:tblGrid>
        <w:gridCol w:w="2074"/>
        <w:gridCol w:w="6920"/>
      </w:tblGrid>
      <w:tr w:rsidR="00AA34B3" w:rsidRPr="00AA34B3" w14:paraId="1D1ABEAF" w14:textId="77777777" w:rsidTr="00327CD2">
        <w:trPr>
          <w:cnfStyle w:val="100000000000" w:firstRow="1" w:lastRow="0" w:firstColumn="0" w:lastColumn="0" w:oddVBand="0" w:evenVBand="0" w:oddHBand="0" w:evenHBand="0" w:firstRowFirstColumn="0" w:firstRowLastColumn="0" w:lastRowFirstColumn="0" w:lastRowLastColumn="0"/>
          <w:tblHeader/>
        </w:trPr>
        <w:tc>
          <w:tcPr>
            <w:tcW w:w="2074" w:type="dxa"/>
            <w:shd w:val="clear" w:color="auto" w:fill="1795D2" w:themeFill="accent1"/>
          </w:tcPr>
          <w:p w14:paraId="44BB312F" w14:textId="77777777"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Acronym/Abbreviation</w:t>
            </w:r>
          </w:p>
        </w:tc>
        <w:tc>
          <w:tcPr>
            <w:tcW w:w="6920" w:type="dxa"/>
            <w:shd w:val="clear" w:color="auto" w:fill="1795D2" w:themeFill="accent1"/>
          </w:tcPr>
          <w:p w14:paraId="5C5AA938" w14:textId="77777777" w:rsidR="00C95C96" w:rsidRPr="00AA34B3" w:rsidRDefault="00C95C96" w:rsidP="00C95C96">
            <w:pPr>
              <w:spacing w:after="0"/>
              <w:rPr>
                <w:rFonts w:asciiTheme="minorHAnsi" w:hAnsiTheme="minorHAnsi" w:cs="Arial"/>
                <w:color w:val="FFFFFF" w:themeColor="background1"/>
                <w:szCs w:val="18"/>
              </w:rPr>
            </w:pPr>
            <w:r w:rsidRPr="00AA34B3">
              <w:rPr>
                <w:rFonts w:asciiTheme="minorHAnsi" w:hAnsiTheme="minorHAnsi" w:cs="Arial"/>
                <w:color w:val="FFFFFF" w:themeColor="background1"/>
                <w:szCs w:val="18"/>
              </w:rPr>
              <w:t>Description</w:t>
            </w:r>
          </w:p>
        </w:tc>
      </w:tr>
      <w:tr w:rsidR="00BB0D3D" w:rsidRPr="00AA34B3" w14:paraId="25531DE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6120449" w14:textId="77777777" w:rsidR="00BB0D3D" w:rsidRPr="00AA34B3" w:rsidRDefault="00BB0D3D" w:rsidP="00C95C96">
            <w:pPr>
              <w:spacing w:after="0"/>
              <w:rPr>
                <w:rFonts w:asciiTheme="minorHAnsi" w:hAnsiTheme="minorHAnsi" w:cs="Arial"/>
                <w:b/>
                <w:szCs w:val="18"/>
              </w:rPr>
            </w:pPr>
            <w:r>
              <w:rPr>
                <w:rFonts w:asciiTheme="minorHAnsi" w:hAnsiTheme="minorHAnsi" w:cstheme="minorHAnsi"/>
                <w:b/>
                <w:szCs w:val="18"/>
              </w:rPr>
              <w:t>°</w:t>
            </w:r>
            <w:r>
              <w:rPr>
                <w:rFonts w:asciiTheme="minorHAnsi" w:hAnsiTheme="minorHAnsi" w:cs="Arial"/>
                <w:b/>
                <w:szCs w:val="18"/>
              </w:rPr>
              <w:t>F</w:t>
            </w:r>
          </w:p>
        </w:tc>
        <w:tc>
          <w:tcPr>
            <w:tcW w:w="6920" w:type="dxa"/>
          </w:tcPr>
          <w:p w14:paraId="1C3B2DA7" w14:textId="77777777" w:rsidR="00BB0D3D" w:rsidRPr="00AA34B3" w:rsidRDefault="00BB0D3D" w:rsidP="00BB0D3D">
            <w:pPr>
              <w:spacing w:after="0"/>
              <w:rPr>
                <w:rFonts w:asciiTheme="minorHAnsi" w:hAnsiTheme="minorHAnsi" w:cs="Arial"/>
                <w:iCs/>
                <w:szCs w:val="18"/>
              </w:rPr>
            </w:pPr>
            <w:r>
              <w:rPr>
                <w:rFonts w:asciiTheme="minorHAnsi" w:hAnsiTheme="minorHAnsi" w:cs="Arial"/>
                <w:iCs/>
                <w:szCs w:val="18"/>
              </w:rPr>
              <w:t>degrees Fahrenheit</w:t>
            </w:r>
          </w:p>
        </w:tc>
      </w:tr>
      <w:tr w:rsidR="00C95C96" w:rsidRPr="00AA34B3" w14:paraId="562DA08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0B0317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$/kW-mo; $/kW-m</w:t>
            </w:r>
          </w:p>
        </w:tc>
        <w:tc>
          <w:tcPr>
            <w:tcW w:w="6920" w:type="dxa"/>
          </w:tcPr>
          <w:p w14:paraId="0267762F"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kilowatt-month</w:t>
            </w:r>
          </w:p>
        </w:tc>
      </w:tr>
      <w:tr w:rsidR="00C95C96" w:rsidRPr="00AA34B3" w14:paraId="162A82F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F74038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$/kW-yr</w:t>
            </w:r>
          </w:p>
        </w:tc>
        <w:tc>
          <w:tcPr>
            <w:tcW w:w="6920" w:type="dxa"/>
          </w:tcPr>
          <w:p w14:paraId="10B8A1F9"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kilowatt-year</w:t>
            </w:r>
          </w:p>
        </w:tc>
      </w:tr>
      <w:tr w:rsidR="00C95C96" w:rsidRPr="00AA34B3" w14:paraId="4BC5EDB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7EEBF0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$/MMBtu</w:t>
            </w:r>
          </w:p>
        </w:tc>
        <w:tc>
          <w:tcPr>
            <w:tcW w:w="6920" w:type="dxa"/>
          </w:tcPr>
          <w:p w14:paraId="1D226694"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million British thermal units</w:t>
            </w:r>
          </w:p>
        </w:tc>
      </w:tr>
      <w:tr w:rsidR="00C95C96" w:rsidRPr="00AA34B3" w14:paraId="4A1713C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33E71C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$/MWh</w:t>
            </w:r>
          </w:p>
        </w:tc>
        <w:tc>
          <w:tcPr>
            <w:tcW w:w="6920" w:type="dxa"/>
          </w:tcPr>
          <w:p w14:paraId="0D9FE4BE"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dollar(s) per megawatt-hour</w:t>
            </w:r>
          </w:p>
        </w:tc>
      </w:tr>
      <w:tr w:rsidR="00C95C96" w:rsidRPr="00AA34B3" w14:paraId="3891BEB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25DD5E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12 CP</w:t>
            </w:r>
          </w:p>
        </w:tc>
        <w:tc>
          <w:tcPr>
            <w:tcW w:w="6920" w:type="dxa"/>
          </w:tcPr>
          <w:p w14:paraId="14E53793"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average of all the monthly regional network loads (per the OATT, Section 21.2) for the 12 months of the calendar year on which the rate is based</w:t>
            </w:r>
          </w:p>
        </w:tc>
      </w:tr>
      <w:tr w:rsidR="00C95C96" w:rsidRPr="00AA34B3" w14:paraId="40BD88E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A4E7B26"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50/50</w:t>
            </w:r>
          </w:p>
        </w:tc>
        <w:tc>
          <w:tcPr>
            <w:tcW w:w="6920" w:type="dxa"/>
          </w:tcPr>
          <w:p w14:paraId="3FD746A2"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50/50 peak load—a peak load with a 50% chance of being exceeded because of weather conditions, expected to occur in the summer in New England at a weighted New England-wide temperature of 90.2°F, and in the winter, 7.0°F</w:t>
            </w:r>
          </w:p>
        </w:tc>
      </w:tr>
      <w:tr w:rsidR="00C95C96" w:rsidRPr="00AA34B3" w14:paraId="1B4A2D7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23A97E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90/10</w:t>
            </w:r>
          </w:p>
        </w:tc>
        <w:tc>
          <w:tcPr>
            <w:tcW w:w="6920" w:type="dxa"/>
          </w:tcPr>
          <w:p w14:paraId="5CE36944"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refers to a 90/10 peak load—a peak load with a 10% chance of being exceeded because of weather conditions, expected to occur in the summer in New England at a weighted New England-wide temperature of 94.2°F, and in the winter 1.6°F</w:t>
            </w:r>
          </w:p>
        </w:tc>
      </w:tr>
      <w:tr w:rsidR="00C95C96" w:rsidRPr="00AA34B3" w14:paraId="2AFCFBA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7BE3CC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AC; ac</w:t>
            </w:r>
          </w:p>
        </w:tc>
        <w:tc>
          <w:tcPr>
            <w:tcW w:w="6920" w:type="dxa"/>
          </w:tcPr>
          <w:p w14:paraId="282EEB1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alternating current</w:t>
            </w:r>
          </w:p>
        </w:tc>
      </w:tr>
      <w:tr w:rsidR="00C95C96" w:rsidRPr="00AA34B3" w14:paraId="1DA4987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64E7DD9" w14:textId="77777777"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ACE</w:t>
            </w:r>
          </w:p>
        </w:tc>
        <w:tc>
          <w:tcPr>
            <w:tcW w:w="6920" w:type="dxa"/>
          </w:tcPr>
          <w:p w14:paraId="4C3EBB4F" w14:textId="5D443A3D" w:rsidR="00C95C96" w:rsidRPr="00AA34B3" w:rsidRDefault="00EC4D5C" w:rsidP="00336750">
            <w:pPr>
              <w:tabs>
                <w:tab w:val="left" w:pos="195"/>
              </w:tabs>
              <w:spacing w:after="0"/>
              <w:rPr>
                <w:rFonts w:asciiTheme="minorHAnsi" w:hAnsiTheme="minorHAnsi" w:cs="Arial"/>
                <w:szCs w:val="18"/>
              </w:rPr>
            </w:pPr>
            <w:r w:rsidRPr="00336750">
              <w:rPr>
                <w:rFonts w:asciiTheme="minorHAnsi" w:hAnsiTheme="minorHAnsi" w:cs="Arial"/>
                <w:i/>
                <w:szCs w:val="18"/>
              </w:rPr>
              <w:t>Affordable</w:t>
            </w:r>
            <w:r w:rsidR="00BB0D3D" w:rsidRPr="00336750">
              <w:rPr>
                <w:rFonts w:asciiTheme="minorHAnsi" w:hAnsiTheme="minorHAnsi" w:cs="Arial"/>
                <w:i/>
                <w:szCs w:val="18"/>
              </w:rPr>
              <w:t xml:space="preserve"> Clean Energy Act</w:t>
            </w:r>
            <w:r w:rsidR="00BB0D3D">
              <w:rPr>
                <w:rFonts w:asciiTheme="minorHAnsi" w:hAnsiTheme="minorHAnsi" w:cs="Arial"/>
                <w:szCs w:val="18"/>
              </w:rPr>
              <w:t xml:space="preserve"> (US EPA)</w:t>
            </w:r>
          </w:p>
        </w:tc>
      </w:tr>
      <w:tr w:rsidR="00C95C96" w:rsidRPr="00AA34B3" w14:paraId="47C0B63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E7B0EF6" w14:textId="77777777"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w:t>
            </w:r>
            <w:r w:rsidR="00BB0D3D">
              <w:rPr>
                <w:rFonts w:asciiTheme="minorHAnsi" w:hAnsiTheme="minorHAnsi" w:cs="Arial"/>
                <w:b/>
                <w:szCs w:val="18"/>
              </w:rPr>
              <w:t>CP</w:t>
            </w:r>
          </w:p>
        </w:tc>
        <w:tc>
          <w:tcPr>
            <w:tcW w:w="6920" w:type="dxa"/>
          </w:tcPr>
          <w:p w14:paraId="61F9D080" w14:textId="77777777" w:rsidR="00C95C96" w:rsidRPr="00AA34B3" w:rsidRDefault="00BB0D3D" w:rsidP="00336750">
            <w:pPr>
              <w:tabs>
                <w:tab w:val="left" w:pos="195"/>
              </w:tabs>
              <w:spacing w:after="0"/>
              <w:rPr>
                <w:rFonts w:asciiTheme="minorHAnsi" w:hAnsiTheme="minorHAnsi" w:cs="Arial"/>
                <w:szCs w:val="18"/>
              </w:rPr>
            </w:pPr>
            <w:r>
              <w:rPr>
                <w:rFonts w:asciiTheme="minorHAnsi" w:hAnsiTheme="minorHAnsi" w:cs="Arial"/>
                <w:szCs w:val="18"/>
              </w:rPr>
              <w:t>alternative compliance payment</w:t>
            </w:r>
          </w:p>
        </w:tc>
      </w:tr>
      <w:tr w:rsidR="00C95C96" w:rsidRPr="00AA34B3" w14:paraId="7B9A2E33"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71BFFAD" w14:textId="77777777" w:rsidR="00C95C96" w:rsidRPr="00AA34B3" w:rsidRDefault="00C95C96" w:rsidP="00336750">
            <w:pPr>
              <w:tabs>
                <w:tab w:val="left" w:pos="195"/>
              </w:tabs>
              <w:spacing w:after="0"/>
              <w:rPr>
                <w:rFonts w:asciiTheme="minorHAnsi" w:hAnsiTheme="minorHAnsi" w:cs="Arial"/>
                <w:b/>
                <w:szCs w:val="18"/>
              </w:rPr>
            </w:pPr>
            <w:r w:rsidRPr="00AA34B3">
              <w:rPr>
                <w:rFonts w:asciiTheme="minorHAnsi" w:hAnsiTheme="minorHAnsi" w:cs="Arial"/>
                <w:b/>
                <w:szCs w:val="18"/>
              </w:rPr>
              <w:t>AEO</w:t>
            </w:r>
          </w:p>
        </w:tc>
        <w:tc>
          <w:tcPr>
            <w:tcW w:w="6920" w:type="dxa"/>
          </w:tcPr>
          <w:p w14:paraId="182C6E8F" w14:textId="77777777"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Annual Energy Outlook (EIA)</w:t>
            </w:r>
          </w:p>
        </w:tc>
      </w:tr>
      <w:tr w:rsidR="00C95C96" w:rsidRPr="00AA34B3" w14:paraId="77F8D61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4EB5AF4" w14:textId="77777777"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AGT</w:t>
            </w:r>
          </w:p>
        </w:tc>
        <w:tc>
          <w:tcPr>
            <w:tcW w:w="6920" w:type="dxa"/>
          </w:tcPr>
          <w:p w14:paraId="340D295E" w14:textId="77777777" w:rsidR="00C95C96" w:rsidRPr="00AA34B3" w:rsidRDefault="00C95C96" w:rsidP="00336750">
            <w:pPr>
              <w:tabs>
                <w:tab w:val="left" w:pos="195"/>
              </w:tabs>
              <w:spacing w:after="0"/>
              <w:rPr>
                <w:rFonts w:asciiTheme="minorHAnsi" w:hAnsiTheme="minorHAnsi" w:cs="Arial"/>
                <w:szCs w:val="18"/>
              </w:rPr>
            </w:pPr>
            <w:r w:rsidRPr="00AA34B3">
              <w:rPr>
                <w:rFonts w:asciiTheme="minorHAnsi" w:hAnsiTheme="minorHAnsi" w:cs="Arial"/>
                <w:szCs w:val="18"/>
              </w:rPr>
              <w:t>Algonquin Gas Transmission</w:t>
            </w:r>
          </w:p>
        </w:tc>
      </w:tr>
      <w:tr w:rsidR="00C95C96" w:rsidRPr="00AA34B3" w14:paraId="2E719F7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03ADDA5" w14:textId="77777777" w:rsidR="00C95C96" w:rsidRPr="00AA34B3" w:rsidRDefault="00C95C96" w:rsidP="00336750">
            <w:pPr>
              <w:tabs>
                <w:tab w:val="left" w:pos="195"/>
              </w:tabs>
              <w:spacing w:after="0"/>
              <w:rPr>
                <w:rFonts w:asciiTheme="minorHAnsi" w:hAnsiTheme="minorHAnsi" w:cs="Arial"/>
                <w:b/>
                <w:bCs/>
                <w:szCs w:val="18"/>
              </w:rPr>
            </w:pPr>
            <w:r w:rsidRPr="00AA34B3">
              <w:rPr>
                <w:rFonts w:asciiTheme="minorHAnsi" w:hAnsiTheme="minorHAnsi" w:cs="Arial"/>
                <w:b/>
                <w:szCs w:val="18"/>
              </w:rPr>
              <w:t>AMR</w:t>
            </w:r>
            <w:r w:rsidRPr="00AA34B3">
              <w:rPr>
                <w:rFonts w:asciiTheme="minorHAnsi" w:hAnsiTheme="minorHAnsi" w:cs="Arial"/>
                <w:b/>
                <w:i/>
                <w:szCs w:val="18"/>
              </w:rPr>
              <w:t>XY</w:t>
            </w:r>
          </w:p>
        </w:tc>
        <w:tc>
          <w:tcPr>
            <w:tcW w:w="6920" w:type="dxa"/>
          </w:tcPr>
          <w:p w14:paraId="0D55C4F5" w14:textId="77777777" w:rsidR="00C95C96" w:rsidRPr="00AA34B3" w:rsidRDefault="00C95C96" w:rsidP="00336750">
            <w:pPr>
              <w:tabs>
                <w:tab w:val="left" w:pos="195"/>
              </w:tabs>
              <w:spacing w:after="0"/>
              <w:rPr>
                <w:rFonts w:asciiTheme="minorHAnsi" w:hAnsiTheme="minorHAnsi" w:cs="Arial"/>
                <w:i/>
                <w:iCs/>
                <w:szCs w:val="18"/>
              </w:rPr>
            </w:pPr>
            <w:r w:rsidRPr="00AA34B3">
              <w:rPr>
                <w:rFonts w:asciiTheme="minorHAnsi" w:hAnsiTheme="minorHAnsi" w:cs="Arial"/>
                <w:i/>
                <w:iCs/>
                <w:szCs w:val="18"/>
              </w:rPr>
              <w:t>20XY Annual Markets Report</w:t>
            </w:r>
          </w:p>
        </w:tc>
      </w:tr>
      <w:tr w:rsidR="00BB0D3D" w:rsidRPr="00AA34B3" w14:paraId="10767EA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7FF04AC" w14:textId="77777777" w:rsidR="00BB0D3D" w:rsidRPr="00AA34B3" w:rsidRDefault="00BB0D3D" w:rsidP="00336750">
            <w:pPr>
              <w:tabs>
                <w:tab w:val="left" w:pos="195"/>
              </w:tabs>
              <w:spacing w:after="0"/>
              <w:rPr>
                <w:rFonts w:asciiTheme="minorHAnsi" w:hAnsiTheme="minorHAnsi"/>
                <w:b/>
              </w:rPr>
            </w:pPr>
            <w:r>
              <w:rPr>
                <w:rFonts w:asciiTheme="minorHAnsi" w:hAnsiTheme="minorHAnsi"/>
                <w:b/>
              </w:rPr>
              <w:t>ARA</w:t>
            </w:r>
          </w:p>
        </w:tc>
        <w:tc>
          <w:tcPr>
            <w:tcW w:w="6920" w:type="dxa"/>
          </w:tcPr>
          <w:p w14:paraId="6D632B06" w14:textId="77777777" w:rsidR="00BB0D3D" w:rsidRPr="00AA34B3" w:rsidRDefault="00BB0D3D" w:rsidP="00336750">
            <w:pPr>
              <w:tabs>
                <w:tab w:val="left" w:pos="195"/>
              </w:tabs>
              <w:spacing w:after="0"/>
              <w:rPr>
                <w:rFonts w:asciiTheme="minorHAnsi" w:hAnsiTheme="minorHAnsi"/>
              </w:rPr>
            </w:pPr>
            <w:r>
              <w:rPr>
                <w:rFonts w:asciiTheme="minorHAnsi" w:hAnsiTheme="minorHAnsi"/>
              </w:rPr>
              <w:t>annual reconfiguration auction</w:t>
            </w:r>
          </w:p>
        </w:tc>
      </w:tr>
      <w:tr w:rsidR="00C95C96" w:rsidRPr="00AA34B3" w14:paraId="0DEA9E2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CE51DFD" w14:textId="77777777" w:rsidR="00C95C96" w:rsidRPr="00E353DF" w:rsidRDefault="00C95C96" w:rsidP="00C95C96">
            <w:pPr>
              <w:spacing w:after="0"/>
              <w:rPr>
                <w:rFonts w:asciiTheme="minorHAnsi" w:hAnsiTheme="minorHAnsi" w:cs="Arial"/>
                <w:b/>
                <w:bCs/>
                <w:szCs w:val="18"/>
              </w:rPr>
            </w:pPr>
            <w:r w:rsidRPr="00E353DF">
              <w:rPr>
                <w:rFonts w:asciiTheme="minorHAnsi" w:hAnsiTheme="minorHAnsi"/>
                <w:b/>
              </w:rPr>
              <w:t>ARIPPA</w:t>
            </w:r>
          </w:p>
        </w:tc>
        <w:tc>
          <w:tcPr>
            <w:tcW w:w="6920" w:type="dxa"/>
          </w:tcPr>
          <w:p w14:paraId="6CBC4687" w14:textId="77777777" w:rsidR="00C95C96" w:rsidRPr="00E353DF" w:rsidRDefault="00C95C96" w:rsidP="00C95C96">
            <w:pPr>
              <w:spacing w:after="0"/>
              <w:rPr>
                <w:rFonts w:asciiTheme="minorHAnsi" w:hAnsiTheme="minorHAnsi" w:cs="Arial"/>
                <w:szCs w:val="18"/>
              </w:rPr>
            </w:pPr>
            <w:r w:rsidRPr="00E353DF">
              <w:rPr>
                <w:rFonts w:asciiTheme="minorHAnsi" w:hAnsiTheme="minorHAnsi"/>
              </w:rPr>
              <w:t>Anthracite Region Independent Power Producers Association</w:t>
            </w:r>
          </w:p>
        </w:tc>
      </w:tr>
      <w:tr w:rsidR="00C95C96" w:rsidRPr="00AA34B3" w14:paraId="44B661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C23AC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Bangor Hydro</w:t>
            </w:r>
          </w:p>
        </w:tc>
        <w:tc>
          <w:tcPr>
            <w:tcW w:w="69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559A6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Bangor Hydro Electric Company</w:t>
            </w:r>
          </w:p>
          <w:p w14:paraId="6910CDD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2) </w:t>
            </w:r>
            <w:r w:rsidRPr="00AA34B3">
              <w:rPr>
                <w:rFonts w:ascii="Calibri" w:hAnsi="Calibri"/>
              </w:rPr>
              <w:t>active-demand-resource dispatch zone</w:t>
            </w:r>
          </w:p>
        </w:tc>
      </w:tr>
      <w:tr w:rsidR="00C95C96" w:rsidRPr="00AA34B3" w14:paraId="4230F6D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3C5E55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Bcf; Bcf/d</w:t>
            </w:r>
          </w:p>
        </w:tc>
        <w:tc>
          <w:tcPr>
            <w:tcW w:w="6920" w:type="dxa"/>
          </w:tcPr>
          <w:p w14:paraId="79FB8BD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billion cubic feet; billion cubic feet per day</w:t>
            </w:r>
          </w:p>
        </w:tc>
      </w:tr>
      <w:tr w:rsidR="00C95C96" w:rsidRPr="00AA34B3" w14:paraId="55839E2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B7AB5C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BES</w:t>
            </w:r>
          </w:p>
        </w:tc>
        <w:tc>
          <w:tcPr>
            <w:tcW w:w="6920" w:type="dxa"/>
          </w:tcPr>
          <w:p w14:paraId="5D9C700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electric system (NERC)</w:t>
            </w:r>
          </w:p>
        </w:tc>
      </w:tr>
      <w:tr w:rsidR="00C95C96" w:rsidRPr="00AA34B3" w14:paraId="4B43D59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556380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BHE</w:t>
            </w:r>
          </w:p>
        </w:tc>
        <w:tc>
          <w:tcPr>
            <w:tcW w:w="6920" w:type="dxa"/>
          </w:tcPr>
          <w:p w14:paraId="47B0F8F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of northeastern Maine</w:t>
            </w:r>
          </w:p>
          <w:p w14:paraId="6B4B854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Bangor Hydro Electric Company</w:t>
            </w:r>
          </w:p>
        </w:tc>
      </w:tr>
      <w:tr w:rsidR="00C95C96" w:rsidRPr="00AA34B3" w14:paraId="12DEDCA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4651C7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Boston</w:t>
            </w:r>
          </w:p>
        </w:tc>
        <w:tc>
          <w:tcPr>
            <w:tcW w:w="6920" w:type="dxa"/>
          </w:tcPr>
          <w:p w14:paraId="3602576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 (sentence capitalization)</w:t>
            </w:r>
          </w:p>
        </w:tc>
      </w:tr>
      <w:tr w:rsidR="00C95C96" w:rsidRPr="00AA34B3" w14:paraId="0690179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AC4109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BOSTON, BOST</w:t>
            </w:r>
          </w:p>
        </w:tc>
        <w:tc>
          <w:tcPr>
            <w:tcW w:w="6920" w:type="dxa"/>
          </w:tcPr>
          <w:p w14:paraId="1EBE535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of Greater Boston, including the North Shore (all capitalized)</w:t>
            </w:r>
          </w:p>
        </w:tc>
      </w:tr>
      <w:tr w:rsidR="00C95C96" w:rsidRPr="00AA34B3" w14:paraId="3447535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0E49274"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BPS</w:t>
            </w:r>
          </w:p>
        </w:tc>
        <w:tc>
          <w:tcPr>
            <w:tcW w:w="6920" w:type="dxa"/>
          </w:tcPr>
          <w:p w14:paraId="3BD34D4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bulk power system (NPCC)</w:t>
            </w:r>
          </w:p>
        </w:tc>
      </w:tr>
      <w:tr w:rsidR="00C95C96" w:rsidRPr="00AA34B3" w14:paraId="40CA086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F53ED5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BTM</w:t>
            </w:r>
          </w:p>
        </w:tc>
        <w:tc>
          <w:tcPr>
            <w:tcW w:w="6920" w:type="dxa"/>
          </w:tcPr>
          <w:p w14:paraId="41C5152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behind the meter</w:t>
            </w:r>
          </w:p>
        </w:tc>
      </w:tr>
      <w:tr w:rsidR="00C95C96" w:rsidRPr="00AA34B3" w14:paraId="164DE58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1B16C4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Btu</w:t>
            </w:r>
          </w:p>
        </w:tc>
        <w:tc>
          <w:tcPr>
            <w:tcW w:w="6920" w:type="dxa"/>
          </w:tcPr>
          <w:p w14:paraId="2E949CB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British thermal unit</w:t>
            </w:r>
          </w:p>
        </w:tc>
      </w:tr>
      <w:tr w:rsidR="00C95C96" w:rsidRPr="00AA34B3" w14:paraId="4634F96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56BA1A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CAA</w:t>
            </w:r>
          </w:p>
        </w:tc>
        <w:tc>
          <w:tcPr>
            <w:tcW w:w="6920" w:type="dxa"/>
          </w:tcPr>
          <w:p w14:paraId="4D2602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Clean Air Act</w:t>
            </w:r>
            <w:r w:rsidRPr="00AA34B3">
              <w:rPr>
                <w:rFonts w:asciiTheme="minorHAnsi" w:hAnsiTheme="minorHAnsi" w:cs="Arial"/>
                <w:szCs w:val="18"/>
              </w:rPr>
              <w:t xml:space="preserve"> (US)</w:t>
            </w:r>
          </w:p>
        </w:tc>
      </w:tr>
      <w:tr w:rsidR="00C95C96" w:rsidRPr="00AA34B3" w14:paraId="3BEFC79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94FF16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CAGR</w:t>
            </w:r>
          </w:p>
        </w:tc>
        <w:tc>
          <w:tcPr>
            <w:tcW w:w="6920" w:type="dxa"/>
          </w:tcPr>
          <w:p w14:paraId="0AECDD3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compound annual growth rate</w:t>
            </w:r>
          </w:p>
        </w:tc>
      </w:tr>
      <w:tr w:rsidR="00C95C96" w:rsidRPr="00AA34B3" w14:paraId="579205F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8C9F88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CAISO</w:t>
            </w:r>
          </w:p>
        </w:tc>
        <w:tc>
          <w:tcPr>
            <w:tcW w:w="6920" w:type="dxa"/>
          </w:tcPr>
          <w:p w14:paraId="77501DB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California Independent System Operator</w:t>
            </w:r>
          </w:p>
        </w:tc>
      </w:tr>
      <w:tr w:rsidR="00C95C96" w:rsidRPr="00AA34B3" w14:paraId="3EC0AAC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7FBF65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CAMS</w:t>
            </w:r>
          </w:p>
        </w:tc>
        <w:tc>
          <w:tcPr>
            <w:tcW w:w="6920" w:type="dxa"/>
          </w:tcPr>
          <w:p w14:paraId="3826ACD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Customer Asset-Management System</w:t>
            </w:r>
          </w:p>
        </w:tc>
      </w:tr>
      <w:tr w:rsidR="00C95C96" w:rsidRPr="00AA34B3" w14:paraId="0D7A2A8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063D6B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CASPR</w:t>
            </w:r>
          </w:p>
        </w:tc>
        <w:tc>
          <w:tcPr>
            <w:tcW w:w="6920" w:type="dxa"/>
          </w:tcPr>
          <w:p w14:paraId="1130856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competitive auction with sponsored policy resources</w:t>
            </w:r>
          </w:p>
        </w:tc>
      </w:tr>
      <w:tr w:rsidR="00C95C96" w:rsidRPr="00AA34B3" w14:paraId="0242811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2BED6D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w:t>
            </w:r>
          </w:p>
        </w:tc>
        <w:tc>
          <w:tcPr>
            <w:tcW w:w="6920" w:type="dxa"/>
          </w:tcPr>
          <w:p w14:paraId="0E44D8E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cycle</w:t>
            </w:r>
          </w:p>
        </w:tc>
      </w:tr>
      <w:tr w:rsidR="00C95C96" w:rsidRPr="00AA34B3" w14:paraId="17FC5AC3"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C603C4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CCP</w:t>
            </w:r>
          </w:p>
        </w:tc>
        <w:tc>
          <w:tcPr>
            <w:tcW w:w="6920" w:type="dxa"/>
          </w:tcPr>
          <w:p w14:paraId="22F47A1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capacity commitment period</w:t>
            </w:r>
          </w:p>
        </w:tc>
      </w:tr>
      <w:tr w:rsidR="00C95C96" w:rsidRPr="00AA34B3" w14:paraId="4C9F6C1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732AA3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CCR</w:t>
            </w:r>
          </w:p>
        </w:tc>
        <w:tc>
          <w:tcPr>
            <w:tcW w:w="6920" w:type="dxa"/>
          </w:tcPr>
          <w:p w14:paraId="7DB9668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cost-containment reserve</w:t>
            </w:r>
          </w:p>
        </w:tc>
      </w:tr>
      <w:tr w:rsidR="00C95C96" w:rsidRPr="00AA34B3" w14:paraId="170D901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B026B6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CEII</w:t>
            </w:r>
          </w:p>
        </w:tc>
        <w:tc>
          <w:tcPr>
            <w:tcW w:w="6920" w:type="dxa"/>
          </w:tcPr>
          <w:p w14:paraId="46DFE97F" w14:textId="77777777" w:rsidR="00C95C96" w:rsidRPr="00AA34B3" w:rsidRDefault="00C95C96" w:rsidP="00C95C96">
            <w:pPr>
              <w:spacing w:after="0"/>
              <w:rPr>
                <w:rFonts w:asciiTheme="minorHAnsi" w:hAnsiTheme="minorHAnsi" w:cs="Arial"/>
                <w:i/>
                <w:iCs/>
                <w:szCs w:val="18"/>
              </w:rPr>
            </w:pPr>
            <w:r w:rsidRPr="00AA34B3">
              <w:rPr>
                <w:rFonts w:asciiTheme="minorHAnsi" w:hAnsiTheme="minorHAnsi" w:cs="Arial"/>
                <w:iCs/>
                <w:szCs w:val="18"/>
              </w:rPr>
              <w:t>critical energy infrastructure information</w:t>
            </w:r>
          </w:p>
        </w:tc>
      </w:tr>
      <w:tr w:rsidR="00C95C96" w:rsidRPr="00AA34B3" w14:paraId="6550674B" w14:textId="77777777" w:rsidTr="00327CD2">
        <w:trPr>
          <w:cnfStyle w:val="000000100000" w:firstRow="0" w:lastRow="0" w:firstColumn="0" w:lastColumn="0" w:oddVBand="0" w:evenVBand="0" w:oddHBand="1" w:evenHBand="0" w:firstRowFirstColumn="0" w:firstRowLastColumn="0" w:lastRowFirstColumn="0" w:lastRowLastColumn="0"/>
          <w:trHeight w:val="182"/>
        </w:trPr>
        <w:tc>
          <w:tcPr>
            <w:tcW w:w="2074" w:type="dxa"/>
          </w:tcPr>
          <w:p w14:paraId="7E5EA6B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CELT</w:t>
            </w:r>
          </w:p>
        </w:tc>
        <w:tc>
          <w:tcPr>
            <w:tcW w:w="6920" w:type="dxa"/>
          </w:tcPr>
          <w:p w14:paraId="102E8FD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Cs/>
                <w:szCs w:val="18"/>
              </w:rPr>
              <w:t>capacity, energy, loads, and transmission</w:t>
            </w:r>
          </w:p>
        </w:tc>
      </w:tr>
      <w:tr w:rsidR="00C95C96" w:rsidRPr="00AA34B3" w14:paraId="6CE239B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89799B0" w14:textId="77777777" w:rsidR="00C95C96" w:rsidRPr="00AA34B3" w:rsidRDefault="00C95C96" w:rsidP="006E6E35">
            <w:pPr>
              <w:spacing w:after="0"/>
              <w:rPr>
                <w:rFonts w:asciiTheme="minorHAnsi" w:hAnsiTheme="minorHAnsi" w:cs="Arial"/>
                <w:b/>
                <w:iCs/>
                <w:szCs w:val="18"/>
              </w:rPr>
            </w:pPr>
            <w:r w:rsidRPr="00AA34B3">
              <w:rPr>
                <w:rFonts w:asciiTheme="minorHAnsi" w:hAnsiTheme="minorHAnsi" w:cs="Arial"/>
                <w:b/>
                <w:iCs/>
                <w:szCs w:val="18"/>
              </w:rPr>
              <w:t>201</w:t>
            </w:r>
            <w:r w:rsidR="006E6E35">
              <w:rPr>
                <w:rFonts w:asciiTheme="minorHAnsi" w:hAnsiTheme="minorHAnsi" w:cs="Arial"/>
                <w:b/>
                <w:iCs/>
                <w:szCs w:val="18"/>
              </w:rPr>
              <w:t>8</w:t>
            </w:r>
            <w:r w:rsidRPr="00AA34B3">
              <w:rPr>
                <w:rFonts w:asciiTheme="minorHAnsi" w:hAnsiTheme="minorHAnsi" w:cs="Arial"/>
                <w:b/>
                <w:iCs/>
                <w:szCs w:val="18"/>
              </w:rPr>
              <w:t xml:space="preserve"> CELT Report</w:t>
            </w:r>
          </w:p>
        </w:tc>
        <w:tc>
          <w:tcPr>
            <w:tcW w:w="6920" w:type="dxa"/>
          </w:tcPr>
          <w:p w14:paraId="4AEFCEED" w14:textId="77777777"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8</w:t>
            </w:r>
            <w:r w:rsidRPr="00AA34B3">
              <w:rPr>
                <w:rFonts w:asciiTheme="minorHAnsi" w:hAnsiTheme="minorHAnsi" w:cs="Arial"/>
                <w:i/>
                <w:iCs/>
                <w:szCs w:val="18"/>
              </w:rPr>
              <w:t>–202</w:t>
            </w:r>
            <w:r w:rsidR="006E6E35">
              <w:rPr>
                <w:rFonts w:asciiTheme="minorHAnsi" w:hAnsiTheme="minorHAnsi" w:cs="Arial"/>
                <w:i/>
                <w:iCs/>
                <w:szCs w:val="18"/>
              </w:rPr>
              <w:t>7</w:t>
            </w:r>
            <w:r w:rsidRPr="00AA34B3">
              <w:rPr>
                <w:rFonts w:asciiTheme="minorHAnsi" w:hAnsiTheme="minorHAnsi" w:cs="Arial"/>
                <w:i/>
                <w:iCs/>
                <w:szCs w:val="18"/>
              </w:rPr>
              <w:t xml:space="preserve"> Forecast Report of Capacity, Energy, Loads, and Transmission</w:t>
            </w:r>
          </w:p>
        </w:tc>
      </w:tr>
      <w:tr w:rsidR="00C95C96" w:rsidRPr="00AA34B3" w14:paraId="3BF2BEC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DCCA5E7" w14:textId="77777777" w:rsidR="00C95C96" w:rsidRPr="00AA34B3" w:rsidRDefault="00C95C96" w:rsidP="00B707AC">
            <w:pPr>
              <w:spacing w:after="0"/>
              <w:rPr>
                <w:rFonts w:asciiTheme="minorHAnsi" w:hAnsiTheme="minorHAnsi" w:cs="Arial"/>
                <w:b/>
                <w:iCs/>
                <w:szCs w:val="18"/>
              </w:rPr>
            </w:pPr>
            <w:r w:rsidRPr="00AA34B3">
              <w:rPr>
                <w:rFonts w:asciiTheme="minorHAnsi" w:hAnsiTheme="minorHAnsi" w:cs="Arial"/>
                <w:b/>
                <w:iCs/>
                <w:szCs w:val="18"/>
              </w:rPr>
              <w:lastRenderedPageBreak/>
              <w:t>201</w:t>
            </w:r>
            <w:r w:rsidR="006E6E35">
              <w:rPr>
                <w:rFonts w:asciiTheme="minorHAnsi" w:hAnsiTheme="minorHAnsi" w:cs="Arial"/>
                <w:b/>
                <w:iCs/>
                <w:szCs w:val="18"/>
              </w:rPr>
              <w:t>9</w:t>
            </w:r>
            <w:r w:rsidRPr="00AA34B3">
              <w:rPr>
                <w:rFonts w:asciiTheme="minorHAnsi" w:hAnsiTheme="minorHAnsi" w:cs="Arial"/>
                <w:b/>
                <w:iCs/>
                <w:szCs w:val="18"/>
              </w:rPr>
              <w:t xml:space="preserve"> CELT Report</w:t>
            </w:r>
          </w:p>
        </w:tc>
        <w:tc>
          <w:tcPr>
            <w:tcW w:w="6920" w:type="dxa"/>
          </w:tcPr>
          <w:p w14:paraId="6F055DF7" w14:textId="77777777" w:rsidR="00C95C96" w:rsidRPr="00AA34B3" w:rsidRDefault="00C95C96" w:rsidP="006E6E35">
            <w:pPr>
              <w:spacing w:after="0"/>
              <w:rPr>
                <w:rFonts w:asciiTheme="minorHAnsi" w:hAnsiTheme="minorHAnsi" w:cs="Arial"/>
                <w:i/>
                <w:iCs/>
                <w:szCs w:val="18"/>
              </w:rPr>
            </w:pPr>
            <w:r w:rsidRPr="00AA34B3">
              <w:rPr>
                <w:rFonts w:asciiTheme="minorHAnsi" w:hAnsiTheme="minorHAnsi" w:cs="Arial"/>
                <w:i/>
                <w:iCs/>
                <w:szCs w:val="18"/>
              </w:rPr>
              <w:t>201</w:t>
            </w:r>
            <w:r w:rsidR="006E6E35">
              <w:rPr>
                <w:rFonts w:asciiTheme="minorHAnsi" w:hAnsiTheme="minorHAnsi" w:cs="Arial"/>
                <w:i/>
                <w:iCs/>
                <w:szCs w:val="18"/>
              </w:rPr>
              <w:t>9</w:t>
            </w:r>
            <w:r w:rsidRPr="00AA34B3">
              <w:rPr>
                <w:rFonts w:asciiTheme="minorHAnsi" w:hAnsiTheme="minorHAnsi" w:cs="Arial"/>
                <w:i/>
                <w:iCs/>
                <w:szCs w:val="18"/>
              </w:rPr>
              <w:t>–202</w:t>
            </w:r>
            <w:r w:rsidR="006E6E35">
              <w:rPr>
                <w:rFonts w:asciiTheme="minorHAnsi" w:hAnsiTheme="minorHAnsi" w:cs="Arial"/>
                <w:i/>
                <w:iCs/>
                <w:szCs w:val="18"/>
              </w:rPr>
              <w:t>8</w:t>
            </w:r>
            <w:r w:rsidRPr="00AA34B3">
              <w:rPr>
                <w:rFonts w:asciiTheme="minorHAnsi" w:hAnsiTheme="minorHAnsi" w:cs="Arial"/>
                <w:i/>
                <w:iCs/>
                <w:szCs w:val="18"/>
              </w:rPr>
              <w:t xml:space="preserve"> Forecast Report of Capacity, Energy, Loads, and Transmission</w:t>
            </w:r>
          </w:p>
        </w:tc>
      </w:tr>
      <w:tr w:rsidR="00C95C96" w:rsidRPr="00AA34B3" w14:paraId="3C3891B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A8D7716"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Central MA</w:t>
            </w:r>
          </w:p>
        </w:tc>
        <w:tc>
          <w:tcPr>
            <w:tcW w:w="6920" w:type="dxa"/>
          </w:tcPr>
          <w:p w14:paraId="501E79E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Central Massachusetts active-demand-resource dispatch zone</w:t>
            </w:r>
          </w:p>
        </w:tc>
      </w:tr>
      <w:tr w:rsidR="00C95C96" w:rsidRPr="00AA34B3" w14:paraId="6BB0E43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13B667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CE</w:t>
            </w:r>
            <w:r w:rsidR="00BB0D3D">
              <w:rPr>
                <w:rFonts w:asciiTheme="minorHAnsi" w:hAnsiTheme="minorHAnsi" w:cs="Arial"/>
                <w:b/>
                <w:szCs w:val="18"/>
              </w:rPr>
              <w:t>TU</w:t>
            </w:r>
          </w:p>
        </w:tc>
        <w:tc>
          <w:tcPr>
            <w:tcW w:w="6920" w:type="dxa"/>
          </w:tcPr>
          <w:p w14:paraId="3ED77BB0" w14:textId="77777777" w:rsidR="00C95C96" w:rsidRPr="00AA34B3" w:rsidRDefault="00BB0D3D" w:rsidP="00BB0D3D">
            <w:pPr>
              <w:spacing w:after="0"/>
              <w:rPr>
                <w:rFonts w:asciiTheme="minorHAnsi" w:hAnsiTheme="minorHAnsi" w:cs="Arial"/>
                <w:szCs w:val="18"/>
              </w:rPr>
            </w:pPr>
            <w:r>
              <w:rPr>
                <w:rFonts w:asciiTheme="minorHAnsi" w:hAnsiTheme="minorHAnsi" w:cs="Arial"/>
                <w:szCs w:val="18"/>
              </w:rPr>
              <w:t>cluster-enabling transmission upgrade</w:t>
            </w:r>
          </w:p>
        </w:tc>
      </w:tr>
      <w:tr w:rsidR="00BB0D3D" w:rsidRPr="00AA34B3" w14:paraId="0D56031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C2F93DA" w14:textId="77777777" w:rsidR="00BB0D3D" w:rsidRPr="00AA34B3" w:rsidRDefault="00BB0D3D" w:rsidP="00C95C96">
            <w:pPr>
              <w:spacing w:after="0"/>
              <w:rPr>
                <w:rFonts w:asciiTheme="minorHAnsi" w:hAnsiTheme="minorHAnsi" w:cs="Arial"/>
                <w:b/>
                <w:szCs w:val="18"/>
              </w:rPr>
            </w:pPr>
            <w:r>
              <w:rPr>
                <w:rFonts w:asciiTheme="minorHAnsi" w:hAnsiTheme="minorHAnsi" w:cs="Arial"/>
                <w:b/>
                <w:szCs w:val="18"/>
              </w:rPr>
              <w:t>CEQ</w:t>
            </w:r>
          </w:p>
        </w:tc>
        <w:tc>
          <w:tcPr>
            <w:tcW w:w="6920" w:type="dxa"/>
          </w:tcPr>
          <w:p w14:paraId="484800DD" w14:textId="77777777" w:rsidR="00BB0D3D" w:rsidRPr="00AA34B3" w:rsidRDefault="00BB0D3D" w:rsidP="00C95C96">
            <w:pPr>
              <w:spacing w:after="0"/>
              <w:rPr>
                <w:rFonts w:asciiTheme="minorHAnsi" w:hAnsiTheme="minorHAnsi" w:cs="Arial"/>
                <w:szCs w:val="18"/>
              </w:rPr>
            </w:pPr>
            <w:r>
              <w:rPr>
                <w:rFonts w:asciiTheme="minorHAnsi" w:hAnsiTheme="minorHAnsi" w:cs="Arial"/>
                <w:szCs w:val="18"/>
              </w:rPr>
              <w:t>Council on Environmental Quality (US)</w:t>
            </w:r>
          </w:p>
        </w:tc>
      </w:tr>
      <w:tr w:rsidR="00BB0D3D" w:rsidRPr="00AA34B3" w14:paraId="2699D1D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7C0626B" w14:textId="77777777" w:rsidR="00BB0D3D" w:rsidRPr="00AA34B3" w:rsidRDefault="00BB0D3D" w:rsidP="00C95C96">
            <w:pPr>
              <w:spacing w:after="0"/>
              <w:rPr>
                <w:rFonts w:asciiTheme="minorHAnsi" w:hAnsiTheme="minorHAnsi" w:cs="Arial"/>
                <w:b/>
                <w:szCs w:val="18"/>
              </w:rPr>
            </w:pPr>
            <w:r>
              <w:rPr>
                <w:rFonts w:asciiTheme="minorHAnsi" w:hAnsiTheme="minorHAnsi" w:cs="Arial"/>
                <w:b/>
                <w:szCs w:val="18"/>
              </w:rPr>
              <w:t>CFAC</w:t>
            </w:r>
          </w:p>
        </w:tc>
        <w:tc>
          <w:tcPr>
            <w:tcW w:w="6920" w:type="dxa"/>
          </w:tcPr>
          <w:p w14:paraId="6A8C6209" w14:textId="77777777"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Cluster-Interconnection Facilities Study</w:t>
            </w:r>
          </w:p>
        </w:tc>
      </w:tr>
      <w:tr w:rsidR="00C95C96" w:rsidRPr="00AA34B3" w14:paraId="6D47D9E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61394B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CFR</w:t>
            </w:r>
          </w:p>
        </w:tc>
        <w:tc>
          <w:tcPr>
            <w:tcW w:w="6920" w:type="dxa"/>
          </w:tcPr>
          <w:p w14:paraId="683C52F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Code of Federal Regulations</w:t>
            </w:r>
          </w:p>
        </w:tc>
      </w:tr>
      <w:tr w:rsidR="00C95C96" w:rsidRPr="00AA34B3" w14:paraId="112BD988" w14:textId="77777777"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14:paraId="788006CD"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CHP</w:t>
            </w:r>
          </w:p>
        </w:tc>
        <w:tc>
          <w:tcPr>
            <w:tcW w:w="6920" w:type="dxa"/>
          </w:tcPr>
          <w:p w14:paraId="6291DF2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combined heat and power</w:t>
            </w:r>
          </w:p>
        </w:tc>
      </w:tr>
      <w:tr w:rsidR="00BB0D3D" w:rsidRPr="00AA34B3" w14:paraId="1DD96C3E" w14:textId="77777777" w:rsidTr="00327CD2">
        <w:trPr>
          <w:cnfStyle w:val="000000010000" w:firstRow="0" w:lastRow="0" w:firstColumn="0" w:lastColumn="0" w:oddVBand="0" w:evenVBand="0" w:oddHBand="0" w:evenHBand="1" w:firstRowFirstColumn="0" w:firstRowLastColumn="0" w:lastRowFirstColumn="0" w:lastRowLastColumn="0"/>
          <w:trHeight w:val="227"/>
        </w:trPr>
        <w:tc>
          <w:tcPr>
            <w:tcW w:w="2074" w:type="dxa"/>
          </w:tcPr>
          <w:p w14:paraId="5A44E682" w14:textId="77777777" w:rsidR="00BB0D3D" w:rsidRPr="00AA34B3" w:rsidRDefault="00BB0D3D" w:rsidP="00C95C96">
            <w:pPr>
              <w:spacing w:after="0"/>
              <w:rPr>
                <w:rFonts w:asciiTheme="minorHAnsi" w:hAnsiTheme="minorHAnsi" w:cs="Arial"/>
                <w:b/>
                <w:szCs w:val="18"/>
              </w:rPr>
            </w:pPr>
            <w:r>
              <w:rPr>
                <w:rFonts w:asciiTheme="minorHAnsi" w:hAnsiTheme="minorHAnsi" w:cs="Arial"/>
                <w:b/>
                <w:szCs w:val="18"/>
              </w:rPr>
              <w:t>CIGRE</w:t>
            </w:r>
          </w:p>
        </w:tc>
        <w:tc>
          <w:tcPr>
            <w:tcW w:w="6920" w:type="dxa"/>
          </w:tcPr>
          <w:p w14:paraId="204BFA98" w14:textId="77777777"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International Council on Large Electric Systems</w:t>
            </w:r>
          </w:p>
        </w:tc>
      </w:tr>
      <w:tr w:rsidR="00C95C96" w:rsidRPr="00AA34B3" w14:paraId="2A8CB071" w14:textId="77777777"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14:paraId="391A43E4"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Cir.</w:t>
            </w:r>
          </w:p>
        </w:tc>
        <w:tc>
          <w:tcPr>
            <w:tcW w:w="6920" w:type="dxa"/>
          </w:tcPr>
          <w:p w14:paraId="3FAB529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Circuit (court)</w:t>
            </w:r>
          </w:p>
        </w:tc>
      </w:tr>
      <w:tr w:rsidR="00C95C96" w:rsidRPr="00AA34B3" w14:paraId="3DF626BB" w14:textId="77777777"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14:paraId="7259B85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CLG</w:t>
            </w:r>
          </w:p>
        </w:tc>
        <w:tc>
          <w:tcPr>
            <w:tcW w:w="6920" w:type="dxa"/>
          </w:tcPr>
          <w:p w14:paraId="7702B56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Consumer Liaison Group</w:t>
            </w:r>
          </w:p>
        </w:tc>
      </w:tr>
      <w:tr w:rsidR="00C95C96" w:rsidRPr="00AA34B3" w14:paraId="23F275D5" w14:textId="77777777" w:rsidTr="00327CD2">
        <w:trPr>
          <w:cnfStyle w:val="000000100000" w:firstRow="0" w:lastRow="0" w:firstColumn="0" w:lastColumn="0" w:oddVBand="0" w:evenVBand="0" w:oddHBand="1" w:evenHBand="0" w:firstRowFirstColumn="0" w:firstRowLastColumn="0" w:lastRowFirstColumn="0" w:lastRowLastColumn="0"/>
          <w:trHeight w:val="254"/>
        </w:trPr>
        <w:tc>
          <w:tcPr>
            <w:tcW w:w="2074" w:type="dxa"/>
          </w:tcPr>
          <w:p w14:paraId="2738A69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CMA/NEMA</w:t>
            </w:r>
          </w:p>
        </w:tc>
        <w:tc>
          <w:tcPr>
            <w:tcW w:w="6920" w:type="dxa"/>
          </w:tcPr>
          <w:p w14:paraId="435B630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comprising central Massachusetts and northeastern Massachusetts</w:t>
            </w:r>
          </w:p>
        </w:tc>
      </w:tr>
      <w:tr w:rsidR="00C95C96" w:rsidRPr="00AA34B3" w14:paraId="08AD264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79F3D0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CNG</w:t>
            </w:r>
          </w:p>
        </w:tc>
        <w:tc>
          <w:tcPr>
            <w:tcW w:w="6920" w:type="dxa"/>
          </w:tcPr>
          <w:p w14:paraId="22F413E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compressed natural gas</w:t>
            </w:r>
          </w:p>
        </w:tc>
      </w:tr>
      <w:tr w:rsidR="00400949" w:rsidRPr="00AA34B3" w14:paraId="2C4EF15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5A2D1C0" w14:textId="77777777" w:rsidR="00400949" w:rsidRPr="00AA34B3" w:rsidRDefault="00400949" w:rsidP="00C95C96">
            <w:pPr>
              <w:spacing w:after="0"/>
              <w:rPr>
                <w:rFonts w:asciiTheme="minorHAnsi" w:hAnsiTheme="minorHAnsi" w:cs="Arial"/>
                <w:b/>
                <w:szCs w:val="18"/>
              </w:rPr>
            </w:pPr>
            <w:r w:rsidRPr="00AA34B3">
              <w:rPr>
                <w:rFonts w:asciiTheme="minorHAnsi" w:hAnsiTheme="minorHAnsi" w:cs="Arial"/>
                <w:b/>
                <w:szCs w:val="18"/>
              </w:rPr>
              <w:t>CNI</w:t>
            </w:r>
          </w:p>
        </w:tc>
        <w:tc>
          <w:tcPr>
            <w:tcW w:w="6920" w:type="dxa"/>
          </w:tcPr>
          <w:p w14:paraId="0255B009" w14:textId="77777777" w:rsidR="00400949" w:rsidRPr="00AA34B3" w:rsidRDefault="00400949">
            <w:pPr>
              <w:spacing w:after="0"/>
              <w:rPr>
                <w:rFonts w:asciiTheme="minorHAnsi" w:hAnsiTheme="minorHAnsi"/>
              </w:rPr>
            </w:pPr>
            <w:r w:rsidRPr="00AA34B3">
              <w:rPr>
                <w:rFonts w:asciiTheme="minorHAnsi" w:hAnsiTheme="minorHAnsi"/>
              </w:rPr>
              <w:t xml:space="preserve">capacity network import </w:t>
            </w:r>
          </w:p>
        </w:tc>
      </w:tr>
      <w:tr w:rsidR="00C95C96" w:rsidRPr="00AA34B3" w14:paraId="3CBD3CC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B8E10B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w:t>
            </w:r>
            <w:r w:rsidRPr="00AA34B3">
              <w:rPr>
                <w:rFonts w:asciiTheme="minorHAnsi" w:hAnsiTheme="minorHAnsi" w:cs="Arial"/>
                <w:b/>
                <w:szCs w:val="18"/>
                <w:vertAlign w:val="subscript"/>
              </w:rPr>
              <w:t>2</w:t>
            </w:r>
          </w:p>
        </w:tc>
        <w:tc>
          <w:tcPr>
            <w:tcW w:w="6920" w:type="dxa"/>
          </w:tcPr>
          <w:p w14:paraId="4424397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carbon dioxide</w:t>
            </w:r>
          </w:p>
        </w:tc>
      </w:tr>
      <w:tr w:rsidR="00C95C96" w:rsidRPr="00AA34B3" w14:paraId="0EB015B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2D29BF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CO</w:t>
            </w:r>
            <w:r w:rsidR="00BB0D3D" w:rsidRPr="008A2D54">
              <w:rPr>
                <w:rFonts w:asciiTheme="minorHAnsi" w:hAnsiTheme="minorHAnsi" w:cs="Arial"/>
                <w:b/>
                <w:szCs w:val="18"/>
                <w:vertAlign w:val="subscript"/>
              </w:rPr>
              <w:t>2</w:t>
            </w:r>
            <w:r w:rsidR="00BB0D3D" w:rsidRPr="00BB0D3D">
              <w:rPr>
                <w:rFonts w:asciiTheme="minorHAnsi" w:hAnsiTheme="minorHAnsi" w:cs="Arial"/>
                <w:b/>
                <w:szCs w:val="18"/>
              </w:rPr>
              <w:t>e</w:t>
            </w:r>
          </w:p>
        </w:tc>
        <w:tc>
          <w:tcPr>
            <w:tcW w:w="6920" w:type="dxa"/>
          </w:tcPr>
          <w:p w14:paraId="24B6AA4D" w14:textId="77777777" w:rsidR="00C95C96" w:rsidRPr="00AA34B3" w:rsidRDefault="00BB0D3D" w:rsidP="00C95C96">
            <w:pPr>
              <w:spacing w:after="0"/>
              <w:rPr>
                <w:rFonts w:asciiTheme="minorHAnsi" w:hAnsiTheme="minorHAnsi" w:cs="Arial"/>
                <w:szCs w:val="18"/>
              </w:rPr>
            </w:pPr>
            <w:r>
              <w:rPr>
                <w:rFonts w:asciiTheme="minorHAnsi" w:hAnsiTheme="minorHAnsi" w:cs="Arial"/>
                <w:szCs w:val="18"/>
              </w:rPr>
              <w:t>carbon dioxide equivalent</w:t>
            </w:r>
          </w:p>
        </w:tc>
      </w:tr>
      <w:tr w:rsidR="00C95C96" w:rsidRPr="00AA34B3" w14:paraId="62811D1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43D6A0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COO</w:t>
            </w:r>
          </w:p>
        </w:tc>
        <w:tc>
          <w:tcPr>
            <w:tcW w:w="6920" w:type="dxa"/>
          </w:tcPr>
          <w:p w14:paraId="1319DEB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chief operating officer</w:t>
            </w:r>
          </w:p>
        </w:tc>
      </w:tr>
      <w:tr w:rsidR="00C95C96" w:rsidRPr="00AA34B3" w14:paraId="4062585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E44FD2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CPP</w:t>
            </w:r>
          </w:p>
        </w:tc>
        <w:tc>
          <w:tcPr>
            <w:tcW w:w="6920" w:type="dxa"/>
          </w:tcPr>
          <w:p w14:paraId="07B185B0"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Clean Power Plan (US EPA)</w:t>
            </w:r>
          </w:p>
        </w:tc>
      </w:tr>
      <w:tr w:rsidR="00C95C96" w:rsidRPr="00AA34B3" w14:paraId="1EEB910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7E43D0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CRA</w:t>
            </w:r>
          </w:p>
        </w:tc>
        <w:tc>
          <w:tcPr>
            <w:tcW w:w="6920" w:type="dxa"/>
          </w:tcPr>
          <w:p w14:paraId="2A050DB5"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contingency reserve adjustment (factor)</w:t>
            </w:r>
          </w:p>
        </w:tc>
      </w:tr>
      <w:tr w:rsidR="00BB0D3D" w:rsidRPr="00AA34B3" w14:paraId="220A1DB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E277CD4" w14:textId="77777777" w:rsidR="00BB0D3D" w:rsidRPr="00AA34B3" w:rsidRDefault="00BB0D3D" w:rsidP="00C95C96">
            <w:pPr>
              <w:spacing w:after="0"/>
              <w:rPr>
                <w:rFonts w:asciiTheme="minorHAnsi" w:hAnsiTheme="minorHAnsi" w:cs="Arial"/>
                <w:b/>
                <w:szCs w:val="18"/>
              </w:rPr>
            </w:pPr>
            <w:r>
              <w:rPr>
                <w:rFonts w:asciiTheme="minorHAnsi" w:hAnsiTheme="minorHAnsi" w:cs="Arial"/>
                <w:b/>
                <w:szCs w:val="18"/>
              </w:rPr>
              <w:t>CRPS</w:t>
            </w:r>
          </w:p>
        </w:tc>
        <w:tc>
          <w:tcPr>
            <w:tcW w:w="6920" w:type="dxa"/>
          </w:tcPr>
          <w:p w14:paraId="5BECAF33" w14:textId="77777777" w:rsidR="00BB0D3D" w:rsidRPr="00AA34B3" w:rsidRDefault="00BB0D3D" w:rsidP="00BB0D3D">
            <w:pPr>
              <w:spacing w:after="0"/>
              <w:rPr>
                <w:rFonts w:asciiTheme="minorHAnsi" w:hAnsiTheme="minorHAnsi" w:cs="Arial"/>
                <w:bCs/>
                <w:szCs w:val="18"/>
              </w:rPr>
            </w:pPr>
            <w:r>
              <w:rPr>
                <w:rFonts w:asciiTheme="minorHAnsi" w:hAnsiTheme="minorHAnsi" w:cs="Arial"/>
                <w:bCs/>
                <w:szCs w:val="18"/>
              </w:rPr>
              <w:t>Cluster-Enabling Transmission Upgrade Regional Planning Study</w:t>
            </w:r>
          </w:p>
        </w:tc>
      </w:tr>
      <w:tr w:rsidR="00C95C96" w:rsidRPr="00AA34B3" w14:paraId="369AB40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9235F7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CSC</w:t>
            </w:r>
          </w:p>
        </w:tc>
        <w:tc>
          <w:tcPr>
            <w:tcW w:w="6920" w:type="dxa"/>
          </w:tcPr>
          <w:p w14:paraId="5D12D5A3"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Cross-Sound Cable</w:t>
            </w:r>
          </w:p>
        </w:tc>
      </w:tr>
      <w:tr w:rsidR="00BB0D3D" w:rsidRPr="00AA34B3" w14:paraId="75B9945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7F9DE10" w14:textId="77777777" w:rsidR="00BB0D3D" w:rsidRPr="0029072E" w:rsidRDefault="00BB0D3D" w:rsidP="00C95C96">
            <w:pPr>
              <w:spacing w:after="0"/>
              <w:rPr>
                <w:rFonts w:asciiTheme="minorHAnsi" w:hAnsiTheme="minorHAnsi" w:cs="Arial"/>
                <w:b/>
                <w:szCs w:val="18"/>
              </w:rPr>
            </w:pPr>
            <w:r w:rsidRPr="0029072E">
              <w:rPr>
                <w:rFonts w:asciiTheme="minorHAnsi" w:hAnsiTheme="minorHAnsi" w:cs="Arial"/>
                <w:b/>
                <w:szCs w:val="18"/>
              </w:rPr>
              <w:t>CSIS</w:t>
            </w:r>
          </w:p>
        </w:tc>
        <w:tc>
          <w:tcPr>
            <w:tcW w:w="6920" w:type="dxa"/>
          </w:tcPr>
          <w:p w14:paraId="77C9045E" w14:textId="77777777" w:rsidR="00BB0D3D" w:rsidRPr="0029072E" w:rsidRDefault="00BB0D3D" w:rsidP="00C95C96">
            <w:pPr>
              <w:spacing w:after="0"/>
              <w:rPr>
                <w:rFonts w:asciiTheme="minorHAnsi" w:hAnsiTheme="minorHAnsi" w:cs="Arial"/>
                <w:bCs/>
                <w:szCs w:val="18"/>
              </w:rPr>
            </w:pPr>
            <w:r w:rsidRPr="0029072E">
              <w:rPr>
                <w:rFonts w:asciiTheme="minorHAnsi" w:hAnsiTheme="minorHAnsi" w:cs="Arial"/>
                <w:bCs/>
                <w:szCs w:val="18"/>
              </w:rPr>
              <w:t>Cluster-Interconnection System Impact Study</w:t>
            </w:r>
          </w:p>
        </w:tc>
      </w:tr>
      <w:tr w:rsidR="00C95C96" w:rsidRPr="00AA34B3" w14:paraId="0DB9CA4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B7BBF2A" w14:textId="77777777" w:rsidR="00C95C96" w:rsidRPr="0029072E" w:rsidRDefault="00C95C96" w:rsidP="00C95C96">
            <w:pPr>
              <w:spacing w:after="0"/>
              <w:rPr>
                <w:rFonts w:asciiTheme="minorHAnsi" w:hAnsiTheme="minorHAnsi" w:cs="Arial"/>
                <w:b/>
                <w:bCs/>
                <w:szCs w:val="18"/>
              </w:rPr>
            </w:pPr>
            <w:r w:rsidRPr="0029072E">
              <w:rPr>
                <w:rFonts w:asciiTheme="minorHAnsi" w:hAnsiTheme="minorHAnsi" w:cs="Arial"/>
                <w:b/>
                <w:szCs w:val="18"/>
              </w:rPr>
              <w:t>CSO</w:t>
            </w:r>
          </w:p>
        </w:tc>
        <w:tc>
          <w:tcPr>
            <w:tcW w:w="6920" w:type="dxa"/>
          </w:tcPr>
          <w:p w14:paraId="0561A313" w14:textId="77777777" w:rsidR="00C95C96" w:rsidRPr="0029072E" w:rsidRDefault="00C95C96" w:rsidP="00C95C96">
            <w:pPr>
              <w:spacing w:after="0"/>
              <w:rPr>
                <w:rFonts w:asciiTheme="minorHAnsi" w:hAnsiTheme="minorHAnsi" w:cs="Arial"/>
                <w:bCs/>
                <w:szCs w:val="18"/>
              </w:rPr>
            </w:pPr>
            <w:r w:rsidRPr="0029072E">
              <w:rPr>
                <w:rFonts w:asciiTheme="minorHAnsi" w:hAnsiTheme="minorHAnsi" w:cs="Arial"/>
                <w:bCs/>
                <w:szCs w:val="18"/>
              </w:rPr>
              <w:t>capacity supply obligation</w:t>
            </w:r>
          </w:p>
        </w:tc>
      </w:tr>
      <w:tr w:rsidR="00C95C96" w:rsidRPr="00AA34B3" w14:paraId="7A92DAC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B91A604" w14:textId="77777777" w:rsidR="00C95C96" w:rsidRPr="0029072E" w:rsidRDefault="00C95C96" w:rsidP="00C95C96">
            <w:pPr>
              <w:spacing w:after="0"/>
              <w:rPr>
                <w:rFonts w:asciiTheme="minorHAnsi" w:hAnsiTheme="minorHAnsi" w:cs="Arial"/>
                <w:b/>
                <w:bCs/>
                <w:szCs w:val="18"/>
              </w:rPr>
            </w:pPr>
            <w:r w:rsidRPr="0029072E">
              <w:rPr>
                <w:rFonts w:asciiTheme="minorHAnsi" w:hAnsiTheme="minorHAnsi" w:cs="Arial"/>
                <w:b/>
                <w:szCs w:val="18"/>
              </w:rPr>
              <w:t>CT</w:t>
            </w:r>
          </w:p>
        </w:tc>
        <w:tc>
          <w:tcPr>
            <w:tcW w:w="6920" w:type="dxa"/>
          </w:tcPr>
          <w:p w14:paraId="0D9A9EFA" w14:textId="77777777" w:rsidR="00C95C96" w:rsidRPr="0029072E" w:rsidRDefault="00C95C96" w:rsidP="00C95C96">
            <w:pPr>
              <w:spacing w:after="0"/>
              <w:ind w:left="144" w:hanging="144"/>
              <w:rPr>
                <w:rFonts w:asciiTheme="minorHAnsi" w:hAnsiTheme="minorHAnsi" w:cs="Arial"/>
                <w:bCs/>
                <w:szCs w:val="18"/>
              </w:rPr>
            </w:pPr>
            <w:r w:rsidRPr="0029072E">
              <w:rPr>
                <w:rFonts w:asciiTheme="minorHAnsi" w:hAnsiTheme="minorHAnsi" w:cs="Arial"/>
                <w:bCs/>
                <w:szCs w:val="18"/>
              </w:rPr>
              <w:t>1) State of Connecticut</w:t>
            </w:r>
          </w:p>
          <w:p w14:paraId="7FD1A725" w14:textId="77777777" w:rsidR="00C95C96" w:rsidRPr="0029072E" w:rsidRDefault="00C95C96" w:rsidP="00C95C96">
            <w:pPr>
              <w:spacing w:after="0"/>
              <w:ind w:left="144" w:hanging="144"/>
              <w:rPr>
                <w:rFonts w:asciiTheme="minorHAnsi" w:hAnsiTheme="minorHAnsi" w:cs="Arial"/>
                <w:bCs/>
                <w:szCs w:val="18"/>
              </w:rPr>
            </w:pPr>
            <w:r w:rsidRPr="0029072E">
              <w:rPr>
                <w:rFonts w:asciiTheme="minorHAnsi" w:hAnsiTheme="minorHAnsi" w:cs="Arial"/>
                <w:bCs/>
                <w:szCs w:val="18"/>
              </w:rPr>
              <w:t>2) RSP subarea that includes northern and eastern Connecticut</w:t>
            </w:r>
          </w:p>
          <w:p w14:paraId="29063DD7" w14:textId="77777777" w:rsidR="00C95C96" w:rsidRPr="0029072E" w:rsidRDefault="00C95C96" w:rsidP="00C95C96">
            <w:pPr>
              <w:spacing w:after="0"/>
              <w:ind w:left="144" w:hanging="144"/>
              <w:rPr>
                <w:rFonts w:asciiTheme="minorHAnsi" w:hAnsiTheme="minorHAnsi" w:cs="Arial"/>
                <w:bCs/>
                <w:szCs w:val="18"/>
              </w:rPr>
            </w:pPr>
            <w:r w:rsidRPr="0029072E">
              <w:rPr>
                <w:rFonts w:asciiTheme="minorHAnsi" w:hAnsiTheme="minorHAnsi" w:cs="Arial"/>
                <w:szCs w:val="18"/>
              </w:rPr>
              <w:t>3</w:t>
            </w:r>
            <w:r w:rsidRPr="0029072E">
              <w:rPr>
                <w:rFonts w:asciiTheme="minorHAnsi" w:hAnsiTheme="minorHAnsi" w:cs="Arial"/>
                <w:bCs/>
                <w:szCs w:val="18"/>
              </w:rPr>
              <w:t>) Connecticut load zone</w:t>
            </w:r>
          </w:p>
          <w:p w14:paraId="6F7F1D45" w14:textId="77777777" w:rsidR="00C95C96" w:rsidRPr="0029072E" w:rsidRDefault="00C95C96" w:rsidP="00C95C96">
            <w:pPr>
              <w:spacing w:after="0"/>
              <w:ind w:left="173" w:hanging="173"/>
              <w:rPr>
                <w:rFonts w:asciiTheme="minorHAnsi" w:hAnsiTheme="minorHAnsi" w:cs="Arial"/>
                <w:szCs w:val="18"/>
              </w:rPr>
            </w:pPr>
            <w:r w:rsidRPr="0029072E">
              <w:rPr>
                <w:rFonts w:asciiTheme="minorHAnsi" w:hAnsiTheme="minorHAnsi" w:cs="Arial"/>
                <w:bCs/>
                <w:szCs w:val="18"/>
              </w:rPr>
              <w:t xml:space="preserve">4) capacity zone </w:t>
            </w:r>
            <w:r w:rsidRPr="0029072E">
              <w:rPr>
                <w:rFonts w:asciiTheme="minorHAnsi" w:hAnsiTheme="minorHAnsi" w:cs="Arial"/>
                <w:szCs w:val="18"/>
              </w:rPr>
              <w:t>area within the Connecticut import interface, including the RSP bubbles for CT, SWCT, and NOR plus the Scitico substation served from western Massachusetts</w:t>
            </w:r>
          </w:p>
        </w:tc>
      </w:tr>
      <w:tr w:rsidR="00C95C96" w:rsidRPr="00AA34B3" w14:paraId="7AED59D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EE0B254"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CWA</w:t>
            </w:r>
          </w:p>
        </w:tc>
        <w:tc>
          <w:tcPr>
            <w:tcW w:w="6920" w:type="dxa"/>
          </w:tcPr>
          <w:p w14:paraId="3D2621D9"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bCs/>
                <w:i/>
                <w:szCs w:val="18"/>
              </w:rPr>
              <w:t xml:space="preserve">Clean Water Act </w:t>
            </w:r>
            <w:r w:rsidRPr="00AA34B3">
              <w:rPr>
                <w:rFonts w:asciiTheme="minorHAnsi" w:hAnsiTheme="minorHAnsi" w:cs="Arial"/>
                <w:bCs/>
                <w:szCs w:val="18"/>
              </w:rPr>
              <w:t>(US)</w:t>
            </w:r>
          </w:p>
        </w:tc>
      </w:tr>
      <w:tr w:rsidR="00C95C96" w:rsidRPr="00AA34B3" w14:paraId="7C10A0E8"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E9DAA4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CWIS</w:t>
            </w:r>
          </w:p>
        </w:tc>
        <w:tc>
          <w:tcPr>
            <w:tcW w:w="6920" w:type="dxa"/>
          </w:tcPr>
          <w:p w14:paraId="019995B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cooling water intake structure</w:t>
            </w:r>
          </w:p>
        </w:tc>
      </w:tr>
      <w:tr w:rsidR="00C95C96" w:rsidRPr="00AA34B3" w14:paraId="402F635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4F9DCEB" w14:textId="77777777" w:rsidR="00C95C96" w:rsidRPr="00AA34B3" w:rsidRDefault="0040600E" w:rsidP="00C95C96">
            <w:pPr>
              <w:spacing w:after="0"/>
              <w:rPr>
                <w:rFonts w:asciiTheme="minorHAnsi" w:hAnsiTheme="minorHAnsi" w:cs="Arial"/>
                <w:b/>
                <w:szCs w:val="18"/>
              </w:rPr>
            </w:pPr>
            <w:r>
              <w:rPr>
                <w:rFonts w:asciiTheme="minorHAnsi" w:hAnsiTheme="minorHAnsi" w:cs="Arial"/>
                <w:b/>
                <w:szCs w:val="18"/>
              </w:rPr>
              <w:t>d/b/a</w:t>
            </w:r>
          </w:p>
        </w:tc>
        <w:tc>
          <w:tcPr>
            <w:tcW w:w="6920" w:type="dxa"/>
          </w:tcPr>
          <w:p w14:paraId="209CF352" w14:textId="77777777" w:rsidR="00C95C96" w:rsidRPr="00AA34B3" w:rsidRDefault="0040600E" w:rsidP="00C95C96">
            <w:pPr>
              <w:spacing w:after="0"/>
              <w:rPr>
                <w:rFonts w:asciiTheme="minorHAnsi" w:hAnsiTheme="minorHAnsi" w:cs="Arial"/>
                <w:szCs w:val="18"/>
              </w:rPr>
            </w:pPr>
            <w:r>
              <w:rPr>
                <w:rFonts w:asciiTheme="minorHAnsi" w:hAnsiTheme="minorHAnsi" w:cs="Arial"/>
                <w:szCs w:val="18"/>
              </w:rPr>
              <w:t>doing business as</w:t>
            </w:r>
          </w:p>
        </w:tc>
      </w:tr>
      <w:tr w:rsidR="00C95C96" w:rsidRPr="00AA34B3" w14:paraId="5130B51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503A0B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w:t>
            </w:r>
          </w:p>
        </w:tc>
        <w:tc>
          <w:tcPr>
            <w:tcW w:w="6920" w:type="dxa"/>
          </w:tcPr>
          <w:p w14:paraId="273902E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direct current</w:t>
            </w:r>
          </w:p>
        </w:tc>
      </w:tr>
      <w:tr w:rsidR="00C95C96" w:rsidRPr="00AA34B3" w14:paraId="05DF72F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49F885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D.C.</w:t>
            </w:r>
          </w:p>
        </w:tc>
        <w:tc>
          <w:tcPr>
            <w:tcW w:w="6920" w:type="dxa"/>
          </w:tcPr>
          <w:p w14:paraId="073E8E2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w:t>
            </w:r>
          </w:p>
        </w:tc>
      </w:tr>
      <w:tr w:rsidR="00C95C96" w:rsidRPr="00AA34B3" w14:paraId="7CF7832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84B161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 Cir.</w:t>
            </w:r>
          </w:p>
        </w:tc>
        <w:tc>
          <w:tcPr>
            <w:tcW w:w="6920" w:type="dxa"/>
          </w:tcPr>
          <w:p w14:paraId="239A994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District of Columbia Circuit (US Court of Appeals)</w:t>
            </w:r>
          </w:p>
        </w:tc>
      </w:tr>
      <w:tr w:rsidR="00C95C96" w:rsidRPr="00AA34B3" w14:paraId="1AD3B95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E70204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DCT</w:t>
            </w:r>
          </w:p>
        </w:tc>
        <w:tc>
          <w:tcPr>
            <w:tcW w:w="6920" w:type="dxa"/>
          </w:tcPr>
          <w:p w14:paraId="6E930FD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double-circuit tower</w:t>
            </w:r>
          </w:p>
        </w:tc>
      </w:tr>
      <w:tr w:rsidR="00C95C96" w:rsidRPr="00AA34B3" w14:paraId="658DB5D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7794F5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DEEP</w:t>
            </w:r>
          </w:p>
        </w:tc>
        <w:tc>
          <w:tcPr>
            <w:tcW w:w="6920" w:type="dxa"/>
          </w:tcPr>
          <w:p w14:paraId="13E57A3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and Environmental Protection (CT)</w:t>
            </w:r>
          </w:p>
        </w:tc>
      </w:tr>
      <w:tr w:rsidR="00C95C96" w:rsidRPr="00AA34B3" w14:paraId="32AED5A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885E59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DER</w:t>
            </w:r>
          </w:p>
        </w:tc>
        <w:tc>
          <w:tcPr>
            <w:tcW w:w="6920" w:type="dxa"/>
          </w:tcPr>
          <w:p w14:paraId="13C61F6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energy resource</w:t>
            </w:r>
          </w:p>
        </w:tc>
      </w:tr>
      <w:tr w:rsidR="00BB0D3D" w:rsidRPr="00AA34B3" w14:paraId="461D0AB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8476CD0" w14:textId="77777777" w:rsidR="00BB0D3D" w:rsidRPr="00AA34B3" w:rsidRDefault="00BB0D3D" w:rsidP="00C95C96">
            <w:pPr>
              <w:spacing w:after="0"/>
              <w:rPr>
                <w:rFonts w:asciiTheme="minorHAnsi" w:hAnsiTheme="minorHAnsi" w:cs="Arial"/>
                <w:b/>
                <w:szCs w:val="18"/>
              </w:rPr>
            </w:pPr>
            <w:r>
              <w:rPr>
                <w:rFonts w:asciiTheme="minorHAnsi" w:hAnsiTheme="minorHAnsi" w:cs="Arial"/>
                <w:b/>
                <w:szCs w:val="18"/>
              </w:rPr>
              <w:t>DERTF</w:t>
            </w:r>
          </w:p>
        </w:tc>
        <w:tc>
          <w:tcPr>
            <w:tcW w:w="6920" w:type="dxa"/>
          </w:tcPr>
          <w:p w14:paraId="67265F25" w14:textId="77777777" w:rsidR="00BB0D3D" w:rsidRPr="00AA34B3" w:rsidRDefault="00BB0D3D" w:rsidP="00C95C96">
            <w:pPr>
              <w:spacing w:after="0"/>
              <w:rPr>
                <w:rFonts w:asciiTheme="minorHAnsi" w:hAnsiTheme="minorHAnsi" w:cs="Arial"/>
                <w:szCs w:val="18"/>
              </w:rPr>
            </w:pPr>
            <w:r w:rsidRPr="00BB0D3D">
              <w:rPr>
                <w:rFonts w:asciiTheme="minorHAnsi" w:hAnsiTheme="minorHAnsi" w:cs="Arial"/>
                <w:szCs w:val="18"/>
              </w:rPr>
              <w:t>Distributed Energy Resources Task Force</w:t>
            </w:r>
            <w:r>
              <w:rPr>
                <w:rFonts w:asciiTheme="minorHAnsi" w:hAnsiTheme="minorHAnsi" w:cs="Arial"/>
                <w:szCs w:val="18"/>
              </w:rPr>
              <w:t xml:space="preserve"> (NERC)</w:t>
            </w:r>
          </w:p>
        </w:tc>
      </w:tr>
      <w:tr w:rsidR="00C95C96" w:rsidRPr="00AA34B3" w14:paraId="0AAE224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332285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DG</w:t>
            </w:r>
          </w:p>
        </w:tc>
        <w:tc>
          <w:tcPr>
            <w:tcW w:w="6920" w:type="dxa"/>
          </w:tcPr>
          <w:p w14:paraId="16425B1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w:t>
            </w:r>
          </w:p>
        </w:tc>
      </w:tr>
      <w:tr w:rsidR="00C95C96" w:rsidRPr="00AA34B3" w14:paraId="38117E5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565E73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DGFWG</w:t>
            </w:r>
          </w:p>
        </w:tc>
        <w:tc>
          <w:tcPr>
            <w:tcW w:w="6920" w:type="dxa"/>
          </w:tcPr>
          <w:p w14:paraId="416418A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Distributed Generation Forecast Working Group</w:t>
            </w:r>
          </w:p>
        </w:tc>
      </w:tr>
      <w:tr w:rsidR="00C95C96" w:rsidRPr="00AA34B3" w14:paraId="3C31EA8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2282BF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DOC</w:t>
            </w:r>
          </w:p>
        </w:tc>
        <w:tc>
          <w:tcPr>
            <w:tcW w:w="6920" w:type="dxa"/>
          </w:tcPr>
          <w:p w14:paraId="2A2A84B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Word file</w:t>
            </w:r>
          </w:p>
        </w:tc>
      </w:tr>
      <w:tr w:rsidR="00C95C96" w:rsidRPr="00AA34B3" w14:paraId="71D4C74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1FED731" w14:textId="77777777"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DOE</w:t>
            </w:r>
          </w:p>
        </w:tc>
        <w:tc>
          <w:tcPr>
            <w:tcW w:w="6920" w:type="dxa"/>
          </w:tcPr>
          <w:p w14:paraId="08925BB4" w14:textId="77777777"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Department of Energy (US)</w:t>
            </w:r>
          </w:p>
        </w:tc>
      </w:tr>
      <w:tr w:rsidR="00C95C96" w:rsidRPr="00AA34B3" w14:paraId="7769B57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AECF1A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DOER</w:t>
            </w:r>
          </w:p>
        </w:tc>
        <w:tc>
          <w:tcPr>
            <w:tcW w:w="6920" w:type="dxa"/>
          </w:tcPr>
          <w:p w14:paraId="3EFFD3B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Energy Resources (MA)</w:t>
            </w:r>
          </w:p>
        </w:tc>
      </w:tr>
      <w:tr w:rsidR="00C95C96" w:rsidRPr="00AA34B3" w14:paraId="462A670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D64B4C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DNE</w:t>
            </w:r>
          </w:p>
        </w:tc>
        <w:tc>
          <w:tcPr>
            <w:tcW w:w="6920" w:type="dxa"/>
          </w:tcPr>
          <w:p w14:paraId="0B7943C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do not exceed</w:t>
            </w:r>
          </w:p>
        </w:tc>
      </w:tr>
      <w:tr w:rsidR="00C95C96" w:rsidRPr="00AA34B3" w14:paraId="60D5798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3BEB4A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DPU</w:t>
            </w:r>
          </w:p>
        </w:tc>
        <w:tc>
          <w:tcPr>
            <w:tcW w:w="6920" w:type="dxa"/>
          </w:tcPr>
          <w:p w14:paraId="26247CD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Department of Public Utilities (MA)</w:t>
            </w:r>
          </w:p>
        </w:tc>
      </w:tr>
      <w:tr w:rsidR="00C95C96" w:rsidRPr="00AA34B3" w14:paraId="442F8488"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8A4FA5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DRCR</w:t>
            </w:r>
          </w:p>
        </w:tc>
        <w:tc>
          <w:tcPr>
            <w:tcW w:w="6920" w:type="dxa"/>
          </w:tcPr>
          <w:p w14:paraId="6C2435C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demand response capacity resource</w:t>
            </w:r>
          </w:p>
        </w:tc>
      </w:tr>
      <w:tr w:rsidR="00D32C5C" w:rsidRPr="00AA34B3" w14:paraId="19867C3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DFC37A2" w14:textId="77777777" w:rsidR="00D32C5C" w:rsidRPr="00AA34B3" w:rsidRDefault="00D32C5C" w:rsidP="00C95C96">
            <w:pPr>
              <w:spacing w:after="0"/>
              <w:rPr>
                <w:rFonts w:asciiTheme="minorHAnsi" w:hAnsiTheme="minorHAnsi" w:cs="Arial"/>
                <w:b/>
                <w:szCs w:val="18"/>
              </w:rPr>
            </w:pPr>
            <w:r w:rsidRPr="00AA34B3">
              <w:rPr>
                <w:rFonts w:asciiTheme="minorHAnsi" w:hAnsiTheme="minorHAnsi" w:cs="Arial"/>
                <w:b/>
                <w:szCs w:val="18"/>
              </w:rPr>
              <w:lastRenderedPageBreak/>
              <w:t>DSO</w:t>
            </w:r>
          </w:p>
        </w:tc>
        <w:tc>
          <w:tcPr>
            <w:tcW w:w="6920" w:type="dxa"/>
          </w:tcPr>
          <w:p w14:paraId="7FEF4712" w14:textId="77777777" w:rsidR="00D32C5C" w:rsidRPr="00AA34B3" w:rsidRDefault="00D32C5C">
            <w:pPr>
              <w:spacing w:after="0"/>
              <w:rPr>
                <w:rFonts w:asciiTheme="minorHAnsi" w:hAnsiTheme="minorHAnsi" w:cs="Arial"/>
                <w:szCs w:val="18"/>
              </w:rPr>
            </w:pPr>
            <w:r w:rsidRPr="00AA34B3">
              <w:rPr>
                <w:rFonts w:asciiTheme="minorHAnsi" w:hAnsiTheme="minorHAnsi" w:cs="Arial"/>
                <w:szCs w:val="18"/>
              </w:rPr>
              <w:t>distribution system operator</w:t>
            </w:r>
          </w:p>
        </w:tc>
      </w:tr>
      <w:tr w:rsidR="00C95C96" w:rsidRPr="00AA34B3" w14:paraId="1FF4462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759365B" w14:textId="77777777" w:rsidR="00C95C96" w:rsidRPr="00AA34B3" w:rsidRDefault="008D59DA" w:rsidP="00C95C96">
            <w:pPr>
              <w:spacing w:after="0"/>
              <w:rPr>
                <w:rFonts w:asciiTheme="minorHAnsi" w:hAnsiTheme="minorHAnsi" w:cs="Arial"/>
                <w:b/>
                <w:szCs w:val="18"/>
              </w:rPr>
            </w:pPr>
            <w:r>
              <w:rPr>
                <w:rFonts w:asciiTheme="minorHAnsi" w:hAnsiTheme="minorHAnsi" w:cs="Arial"/>
                <w:b/>
                <w:szCs w:val="18"/>
              </w:rPr>
              <w:t>EACMS</w:t>
            </w:r>
          </w:p>
        </w:tc>
        <w:tc>
          <w:tcPr>
            <w:tcW w:w="6920" w:type="dxa"/>
          </w:tcPr>
          <w:p w14:paraId="1487271D" w14:textId="77777777" w:rsidR="00C95C96" w:rsidRPr="00AA34B3" w:rsidRDefault="008D59DA" w:rsidP="00C95C96">
            <w:pPr>
              <w:spacing w:after="0"/>
              <w:rPr>
                <w:rFonts w:asciiTheme="minorHAnsi" w:hAnsiTheme="minorHAnsi" w:cs="Arial"/>
                <w:szCs w:val="18"/>
              </w:rPr>
            </w:pPr>
            <w:r w:rsidRPr="008D59DA">
              <w:rPr>
                <w:rFonts w:asciiTheme="minorHAnsi" w:hAnsiTheme="minorHAnsi" w:cs="Arial"/>
                <w:szCs w:val="18"/>
              </w:rPr>
              <w:t>Electronic Access Control or Monitoring System</w:t>
            </w:r>
          </w:p>
        </w:tc>
      </w:tr>
      <w:tr w:rsidR="00C95C96" w:rsidRPr="00AA34B3" w14:paraId="569CEFB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933E5A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DVAR</w:t>
            </w:r>
          </w:p>
        </w:tc>
        <w:tc>
          <w:tcPr>
            <w:tcW w:w="6920" w:type="dxa"/>
          </w:tcPr>
          <w:p w14:paraId="56FD832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dynamic voltage ampere reactive</w:t>
            </w:r>
          </w:p>
        </w:tc>
      </w:tr>
      <w:tr w:rsidR="00C95C96" w:rsidRPr="00AA34B3" w14:paraId="5199C6F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DA43D8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Eastern CT</w:t>
            </w:r>
          </w:p>
        </w:tc>
        <w:tc>
          <w:tcPr>
            <w:tcW w:w="6920" w:type="dxa"/>
          </w:tcPr>
          <w:p w14:paraId="00DA4BC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 active-demand-resource dispatch zone</w:t>
            </w:r>
          </w:p>
        </w:tc>
      </w:tr>
      <w:tr w:rsidR="00C95C96" w:rsidRPr="00AA34B3" w14:paraId="5BA3DD8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371E77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ECR</w:t>
            </w:r>
          </w:p>
        </w:tc>
        <w:tc>
          <w:tcPr>
            <w:tcW w:w="6920" w:type="dxa"/>
          </w:tcPr>
          <w:p w14:paraId="13CA86D9" w14:textId="31F7C3B1" w:rsidR="00C95C96" w:rsidRPr="00AA34B3" w:rsidRDefault="00EC4D5C" w:rsidP="00C95C96">
            <w:pPr>
              <w:spacing w:after="0"/>
              <w:rPr>
                <w:rFonts w:asciiTheme="minorHAnsi" w:hAnsiTheme="minorHAnsi" w:cs="Arial"/>
                <w:szCs w:val="18"/>
              </w:rPr>
            </w:pPr>
            <w:r>
              <w:rPr>
                <w:rFonts w:asciiTheme="minorHAnsi" w:hAnsiTheme="minorHAnsi" w:cs="Arial"/>
                <w:szCs w:val="18"/>
              </w:rPr>
              <w:t>e</w:t>
            </w:r>
            <w:r w:rsidR="00C95C96" w:rsidRPr="00AA34B3">
              <w:rPr>
                <w:rFonts w:asciiTheme="minorHAnsi" w:hAnsiTheme="minorHAnsi" w:cs="Arial"/>
                <w:szCs w:val="18"/>
              </w:rPr>
              <w:t>missions</w:t>
            </w:r>
            <w:r w:rsidR="005E30CF">
              <w:rPr>
                <w:rFonts w:asciiTheme="minorHAnsi" w:hAnsiTheme="minorHAnsi" w:cs="Arial"/>
                <w:szCs w:val="18"/>
              </w:rPr>
              <w:t>-</w:t>
            </w:r>
            <w:r w:rsidR="00C95C96" w:rsidRPr="00AA34B3">
              <w:rPr>
                <w:rFonts w:asciiTheme="minorHAnsi" w:hAnsiTheme="minorHAnsi" w:cs="Arial"/>
                <w:szCs w:val="18"/>
              </w:rPr>
              <w:t>containment reserve</w:t>
            </w:r>
          </w:p>
        </w:tc>
      </w:tr>
      <w:tr w:rsidR="00C95C96" w:rsidRPr="00AA34B3" w14:paraId="318ACB6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876E58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ECT</w:t>
            </w:r>
          </w:p>
        </w:tc>
        <w:tc>
          <w:tcPr>
            <w:tcW w:w="6920" w:type="dxa"/>
          </w:tcPr>
          <w:p w14:paraId="444F4EB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Connecticut</w:t>
            </w:r>
            <w:r w:rsidR="00967EA3" w:rsidRPr="00AA34B3">
              <w:rPr>
                <w:rFonts w:asciiTheme="minorHAnsi" w:hAnsiTheme="minorHAnsi" w:cs="Arial"/>
                <w:szCs w:val="18"/>
              </w:rPr>
              <w:t>; key transmission study area</w:t>
            </w:r>
          </w:p>
        </w:tc>
      </w:tr>
      <w:tr w:rsidR="00C95C96" w:rsidRPr="00AA34B3" w14:paraId="2483E3E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4AAB00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EE</w:t>
            </w:r>
          </w:p>
        </w:tc>
        <w:tc>
          <w:tcPr>
            <w:tcW w:w="6920" w:type="dxa"/>
          </w:tcPr>
          <w:p w14:paraId="132F9C1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efficiency</w:t>
            </w:r>
          </w:p>
        </w:tc>
      </w:tr>
      <w:tr w:rsidR="00F049E2" w:rsidRPr="00AA34B3" w14:paraId="2D20463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C9DF250" w14:textId="4C778BEF" w:rsidR="00F049E2" w:rsidRPr="00AA34B3" w:rsidRDefault="00F049E2" w:rsidP="00C95C96">
            <w:pPr>
              <w:spacing w:after="0"/>
              <w:rPr>
                <w:rFonts w:asciiTheme="minorHAnsi" w:hAnsiTheme="minorHAnsi" w:cs="Arial"/>
                <w:b/>
                <w:szCs w:val="18"/>
              </w:rPr>
            </w:pPr>
            <w:r>
              <w:rPr>
                <w:rFonts w:asciiTheme="minorHAnsi" w:hAnsiTheme="minorHAnsi" w:cs="Arial"/>
                <w:b/>
                <w:szCs w:val="18"/>
              </w:rPr>
              <w:t>EEI</w:t>
            </w:r>
          </w:p>
        </w:tc>
        <w:tc>
          <w:tcPr>
            <w:tcW w:w="6920" w:type="dxa"/>
          </w:tcPr>
          <w:p w14:paraId="22658EB4" w14:textId="2DCA5848" w:rsidR="00F049E2" w:rsidRPr="00AA34B3" w:rsidRDefault="00F049E2" w:rsidP="00C95C96">
            <w:pPr>
              <w:spacing w:after="0"/>
              <w:rPr>
                <w:rFonts w:asciiTheme="minorHAnsi" w:hAnsiTheme="minorHAnsi" w:cs="Arial"/>
                <w:szCs w:val="18"/>
              </w:rPr>
            </w:pPr>
            <w:r>
              <w:rPr>
                <w:rFonts w:asciiTheme="minorHAnsi" w:hAnsiTheme="minorHAnsi" w:cs="Arial"/>
                <w:szCs w:val="18"/>
              </w:rPr>
              <w:t>electronic export information</w:t>
            </w:r>
          </w:p>
        </w:tc>
      </w:tr>
      <w:tr w:rsidR="00C95C96" w:rsidRPr="00AA34B3" w14:paraId="12153DC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2CA6AE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EEF</w:t>
            </w:r>
          </w:p>
        </w:tc>
        <w:tc>
          <w:tcPr>
            <w:tcW w:w="6920" w:type="dxa"/>
          </w:tcPr>
          <w:p w14:paraId="5A733DC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forecast</w:t>
            </w:r>
          </w:p>
        </w:tc>
      </w:tr>
      <w:tr w:rsidR="00C95C96" w:rsidRPr="00AA34B3" w14:paraId="7BFA1BA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3EFD04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EERS</w:t>
            </w:r>
          </w:p>
        </w:tc>
        <w:tc>
          <w:tcPr>
            <w:tcW w:w="6920" w:type="dxa"/>
          </w:tcPr>
          <w:p w14:paraId="3215736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Energy-Efficiency Resource Standard (NH PUC)</w:t>
            </w:r>
          </w:p>
        </w:tc>
      </w:tr>
      <w:tr w:rsidR="008D59DA" w:rsidRPr="00AA34B3" w14:paraId="5011206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5049816" w14:textId="77777777" w:rsidR="008D59DA" w:rsidRDefault="008D59DA" w:rsidP="008D59DA">
            <w:pPr>
              <w:spacing w:after="0"/>
              <w:rPr>
                <w:rFonts w:asciiTheme="minorHAnsi" w:hAnsiTheme="minorHAnsi" w:cs="Arial"/>
                <w:b/>
                <w:szCs w:val="18"/>
              </w:rPr>
            </w:pPr>
            <w:r>
              <w:rPr>
                <w:rFonts w:asciiTheme="minorHAnsi" w:hAnsiTheme="minorHAnsi" w:cs="Arial"/>
                <w:b/>
                <w:szCs w:val="18"/>
              </w:rPr>
              <w:t>EFORd</w:t>
            </w:r>
          </w:p>
        </w:tc>
        <w:tc>
          <w:tcPr>
            <w:tcW w:w="6920" w:type="dxa"/>
          </w:tcPr>
          <w:p w14:paraId="5C4B4E8B" w14:textId="77777777" w:rsidR="008D59DA" w:rsidRDefault="008D59DA" w:rsidP="008D59DA">
            <w:pPr>
              <w:spacing w:after="0"/>
              <w:rPr>
                <w:rFonts w:asciiTheme="minorHAnsi" w:hAnsiTheme="minorHAnsi" w:cs="Arial"/>
                <w:szCs w:val="18"/>
              </w:rPr>
            </w:pPr>
            <w:r>
              <w:rPr>
                <w:rFonts w:asciiTheme="minorHAnsi" w:hAnsiTheme="minorHAnsi" w:cs="Arial"/>
                <w:szCs w:val="18"/>
              </w:rPr>
              <w:t>equivalent demand forced-outage rate</w:t>
            </w:r>
          </w:p>
        </w:tc>
      </w:tr>
      <w:tr w:rsidR="008D59DA" w:rsidRPr="00AA34B3" w14:paraId="2190FD5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C16186B" w14:textId="77777777" w:rsidR="008D59DA" w:rsidRDefault="008D59DA" w:rsidP="00C95C96">
            <w:pPr>
              <w:spacing w:after="0"/>
              <w:rPr>
                <w:rFonts w:asciiTheme="minorHAnsi" w:hAnsiTheme="minorHAnsi" w:cs="Arial"/>
                <w:b/>
                <w:szCs w:val="18"/>
              </w:rPr>
            </w:pPr>
            <w:r>
              <w:rPr>
                <w:rFonts w:asciiTheme="minorHAnsi" w:hAnsiTheme="minorHAnsi" w:cs="Arial"/>
                <w:b/>
                <w:szCs w:val="18"/>
              </w:rPr>
              <w:t>EGWG</w:t>
            </w:r>
          </w:p>
        </w:tc>
        <w:tc>
          <w:tcPr>
            <w:tcW w:w="6920" w:type="dxa"/>
          </w:tcPr>
          <w:p w14:paraId="36B38F66" w14:textId="77777777" w:rsidR="008D59DA" w:rsidRDefault="008D59DA" w:rsidP="00C95C96">
            <w:pPr>
              <w:spacing w:after="0"/>
              <w:rPr>
                <w:rFonts w:asciiTheme="minorHAnsi" w:hAnsiTheme="minorHAnsi" w:cs="Arial"/>
                <w:szCs w:val="18"/>
              </w:rPr>
            </w:pPr>
            <w:r>
              <w:rPr>
                <w:rFonts w:asciiTheme="minorHAnsi" w:hAnsiTheme="minorHAnsi" w:cs="Arial"/>
                <w:szCs w:val="18"/>
              </w:rPr>
              <w:t>Electric-Gas Working Group (NERC)</w:t>
            </w:r>
          </w:p>
        </w:tc>
      </w:tr>
      <w:tr w:rsidR="008D59DA" w:rsidRPr="00AA34B3" w14:paraId="6515CE9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252EE48"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EI</w:t>
            </w:r>
          </w:p>
        </w:tc>
        <w:tc>
          <w:tcPr>
            <w:tcW w:w="6920" w:type="dxa"/>
          </w:tcPr>
          <w:p w14:paraId="528C2289" w14:textId="77777777" w:rsidR="008D59DA" w:rsidRPr="00AA34B3" w:rsidRDefault="008D59DA" w:rsidP="00C95C96">
            <w:pPr>
              <w:spacing w:after="0"/>
              <w:rPr>
                <w:rFonts w:asciiTheme="minorHAnsi" w:hAnsiTheme="minorHAnsi" w:cs="Arial"/>
                <w:szCs w:val="18"/>
              </w:rPr>
            </w:pPr>
            <w:r>
              <w:rPr>
                <w:rFonts w:asciiTheme="minorHAnsi" w:hAnsiTheme="minorHAnsi" w:cs="Arial"/>
                <w:szCs w:val="18"/>
              </w:rPr>
              <w:t>Eastern Interconnections</w:t>
            </w:r>
          </w:p>
        </w:tc>
      </w:tr>
      <w:tr w:rsidR="00C95C96" w:rsidRPr="00AA34B3" w14:paraId="7E2B08F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0A260A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EIA</w:t>
            </w:r>
          </w:p>
        </w:tc>
        <w:tc>
          <w:tcPr>
            <w:tcW w:w="6920" w:type="dxa"/>
          </w:tcPr>
          <w:p w14:paraId="4061ACB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 Information Administration (US DOE)</w:t>
            </w:r>
          </w:p>
        </w:tc>
      </w:tr>
      <w:tr w:rsidR="00C95C96" w:rsidRPr="00AA34B3" w14:paraId="1EEF018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403156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EIPC</w:t>
            </w:r>
          </w:p>
        </w:tc>
        <w:tc>
          <w:tcPr>
            <w:tcW w:w="6920" w:type="dxa"/>
          </w:tcPr>
          <w:p w14:paraId="155953C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Planning Collaborative</w:t>
            </w:r>
          </w:p>
        </w:tc>
      </w:tr>
      <w:tr w:rsidR="008D59DA" w:rsidRPr="00AA34B3" w14:paraId="620CA42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21B9ABF"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 xml:space="preserve">EISA </w:t>
            </w:r>
          </w:p>
        </w:tc>
        <w:tc>
          <w:tcPr>
            <w:tcW w:w="6920" w:type="dxa"/>
          </w:tcPr>
          <w:p w14:paraId="080C7C63" w14:textId="77777777"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Energy Independence and Security Act of 2007</w:t>
            </w:r>
            <w:r>
              <w:rPr>
                <w:rFonts w:asciiTheme="minorHAnsi" w:hAnsiTheme="minorHAnsi" w:cs="Arial"/>
                <w:szCs w:val="18"/>
              </w:rPr>
              <w:t xml:space="preserve"> (US)</w:t>
            </w:r>
          </w:p>
        </w:tc>
      </w:tr>
      <w:tr w:rsidR="008D59DA" w:rsidRPr="00AA34B3" w14:paraId="13BCD68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A014861"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EMS</w:t>
            </w:r>
          </w:p>
        </w:tc>
        <w:tc>
          <w:tcPr>
            <w:tcW w:w="6920" w:type="dxa"/>
          </w:tcPr>
          <w:p w14:paraId="3E42622B" w14:textId="77777777" w:rsidR="008D59DA" w:rsidRPr="00AA34B3" w:rsidRDefault="008D59DA" w:rsidP="00C95C96">
            <w:pPr>
              <w:spacing w:after="0"/>
              <w:rPr>
                <w:rFonts w:asciiTheme="minorHAnsi" w:hAnsiTheme="minorHAnsi" w:cs="Arial"/>
                <w:szCs w:val="18"/>
              </w:rPr>
            </w:pPr>
            <w:r>
              <w:rPr>
                <w:rFonts w:asciiTheme="minorHAnsi" w:hAnsiTheme="minorHAnsi" w:cs="Arial"/>
                <w:szCs w:val="18"/>
              </w:rPr>
              <w:t>Energy Management System</w:t>
            </w:r>
          </w:p>
        </w:tc>
      </w:tr>
      <w:tr w:rsidR="00C95C96" w:rsidRPr="00AA34B3" w14:paraId="64118E8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E7FAB4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EISPC</w:t>
            </w:r>
          </w:p>
        </w:tc>
        <w:tc>
          <w:tcPr>
            <w:tcW w:w="6920" w:type="dxa"/>
          </w:tcPr>
          <w:p w14:paraId="12DA844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Eastern Interconnection States Planning Council</w:t>
            </w:r>
          </w:p>
        </w:tc>
      </w:tr>
      <w:tr w:rsidR="00C95C96" w:rsidRPr="00AA34B3" w14:paraId="24E1F20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096B39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ELG</w:t>
            </w:r>
          </w:p>
        </w:tc>
        <w:tc>
          <w:tcPr>
            <w:tcW w:w="6920" w:type="dxa"/>
          </w:tcPr>
          <w:p w14:paraId="007508D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Effluent Limit Guidelines (for Electric Steam Generation) (US EPA)</w:t>
            </w:r>
          </w:p>
        </w:tc>
      </w:tr>
      <w:tr w:rsidR="00C95C96" w:rsidRPr="00AA34B3" w14:paraId="5607B8D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B0EFE6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EOR</w:t>
            </w:r>
          </w:p>
        </w:tc>
        <w:tc>
          <w:tcPr>
            <w:tcW w:w="6920" w:type="dxa"/>
          </w:tcPr>
          <w:p w14:paraId="59420D5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energy-only resource</w:t>
            </w:r>
          </w:p>
        </w:tc>
      </w:tr>
      <w:tr w:rsidR="00C95C96" w:rsidRPr="00AA34B3" w14:paraId="558FA85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14AB84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EPA</w:t>
            </w:r>
          </w:p>
        </w:tc>
        <w:tc>
          <w:tcPr>
            <w:tcW w:w="6920" w:type="dxa"/>
          </w:tcPr>
          <w:p w14:paraId="2A8BF05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Environmental Protection Agency (US)</w:t>
            </w:r>
          </w:p>
        </w:tc>
      </w:tr>
      <w:tr w:rsidR="00C95C96" w:rsidRPr="00AA34B3" w14:paraId="2662E93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33B326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EPRI</w:t>
            </w:r>
          </w:p>
        </w:tc>
        <w:tc>
          <w:tcPr>
            <w:tcW w:w="6920" w:type="dxa"/>
          </w:tcPr>
          <w:p w14:paraId="110921D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Power Research Institute</w:t>
            </w:r>
          </w:p>
        </w:tc>
      </w:tr>
      <w:tr w:rsidR="008D59DA" w:rsidRPr="00AA34B3" w14:paraId="292977E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B9A3D8C" w14:textId="77777777" w:rsidR="008D59DA" w:rsidRDefault="008D59DA" w:rsidP="00C95C96">
            <w:pPr>
              <w:spacing w:after="0"/>
              <w:rPr>
                <w:rFonts w:asciiTheme="minorHAnsi" w:hAnsiTheme="minorHAnsi" w:cs="Arial"/>
                <w:b/>
                <w:szCs w:val="18"/>
              </w:rPr>
            </w:pPr>
            <w:r>
              <w:rPr>
                <w:rFonts w:asciiTheme="minorHAnsi" w:hAnsiTheme="minorHAnsi" w:cs="Arial"/>
                <w:b/>
                <w:szCs w:val="18"/>
              </w:rPr>
              <w:t>ERAG</w:t>
            </w:r>
          </w:p>
        </w:tc>
        <w:tc>
          <w:tcPr>
            <w:tcW w:w="6920" w:type="dxa"/>
          </w:tcPr>
          <w:p w14:paraId="2737F7C8" w14:textId="77777777" w:rsidR="008D59DA" w:rsidRDefault="008D59DA" w:rsidP="00C95C96">
            <w:pPr>
              <w:spacing w:after="0"/>
              <w:rPr>
                <w:rFonts w:asciiTheme="minorHAnsi" w:hAnsiTheme="minorHAnsi" w:cs="Arial"/>
                <w:szCs w:val="18"/>
              </w:rPr>
            </w:pPr>
            <w:r>
              <w:rPr>
                <w:rFonts w:asciiTheme="minorHAnsi" w:hAnsiTheme="minorHAnsi" w:cs="Arial"/>
                <w:szCs w:val="18"/>
              </w:rPr>
              <w:t>Eastern Interconnection Reliability Assessment Group (NERC)</w:t>
            </w:r>
          </w:p>
        </w:tc>
      </w:tr>
      <w:tr w:rsidR="008D59DA" w:rsidRPr="00AA34B3" w14:paraId="785AFCA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6EA380E"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ERCOT</w:t>
            </w:r>
          </w:p>
        </w:tc>
        <w:tc>
          <w:tcPr>
            <w:tcW w:w="6920" w:type="dxa"/>
          </w:tcPr>
          <w:p w14:paraId="52754814" w14:textId="77777777" w:rsidR="008D59DA" w:rsidRPr="00AA34B3" w:rsidRDefault="008D59DA" w:rsidP="00C95C96">
            <w:pPr>
              <w:spacing w:after="0"/>
              <w:rPr>
                <w:rFonts w:asciiTheme="minorHAnsi" w:hAnsiTheme="minorHAnsi" w:cs="Arial"/>
                <w:szCs w:val="18"/>
              </w:rPr>
            </w:pPr>
            <w:r>
              <w:rPr>
                <w:rFonts w:asciiTheme="minorHAnsi" w:hAnsiTheme="minorHAnsi" w:cs="Arial"/>
                <w:szCs w:val="18"/>
              </w:rPr>
              <w:t>Electric Reliability Council of Texas</w:t>
            </w:r>
          </w:p>
        </w:tc>
      </w:tr>
      <w:tr w:rsidR="00C95C96" w:rsidRPr="00AA34B3" w14:paraId="337EBD0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59CA21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ERO</w:t>
            </w:r>
          </w:p>
        </w:tc>
        <w:tc>
          <w:tcPr>
            <w:tcW w:w="6920" w:type="dxa"/>
          </w:tcPr>
          <w:p w14:paraId="7503F29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 Reliability Organization</w:t>
            </w:r>
          </w:p>
        </w:tc>
      </w:tr>
      <w:tr w:rsidR="00C95C96" w:rsidRPr="00AA34B3" w14:paraId="7A0875E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026DA0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ERSTF</w:t>
            </w:r>
          </w:p>
        </w:tc>
        <w:tc>
          <w:tcPr>
            <w:tcW w:w="6920" w:type="dxa"/>
          </w:tcPr>
          <w:p w14:paraId="0D86737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Task Force (NERC)</w:t>
            </w:r>
          </w:p>
        </w:tc>
      </w:tr>
      <w:tr w:rsidR="00C95C96" w:rsidRPr="00AA34B3" w14:paraId="76D2F98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1A0A27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ERSWG</w:t>
            </w:r>
          </w:p>
        </w:tc>
        <w:tc>
          <w:tcPr>
            <w:tcW w:w="6920" w:type="dxa"/>
          </w:tcPr>
          <w:p w14:paraId="7A85B73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Essential Reliability Services Working Group (NERC)</w:t>
            </w:r>
          </w:p>
        </w:tc>
      </w:tr>
      <w:tr w:rsidR="00C95C96" w:rsidRPr="00AA34B3" w14:paraId="0C55635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6BC42C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ETU</w:t>
            </w:r>
          </w:p>
        </w:tc>
        <w:tc>
          <w:tcPr>
            <w:tcW w:w="6920" w:type="dxa"/>
          </w:tcPr>
          <w:p w14:paraId="4F5BB5A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elective transmission upgrade</w:t>
            </w:r>
          </w:p>
        </w:tc>
      </w:tr>
      <w:tr w:rsidR="00C95C96" w:rsidRPr="00AA34B3" w14:paraId="3C566FB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2D11B5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F.3d</w:t>
            </w:r>
            <w:r w:rsidRPr="00AA34B3">
              <w:rPr>
                <w:rFonts w:asciiTheme="minorHAnsi" w:hAnsiTheme="minorHAnsi"/>
                <w:b/>
                <w:szCs w:val="18"/>
              </w:rPr>
              <w:t xml:space="preserve"> </w:t>
            </w:r>
          </w:p>
        </w:tc>
        <w:tc>
          <w:tcPr>
            <w:tcW w:w="6920" w:type="dxa"/>
          </w:tcPr>
          <w:p w14:paraId="6B126916" w14:textId="77777777" w:rsidR="00C95C96" w:rsidRPr="00AA34B3" w:rsidRDefault="00C95C96" w:rsidP="00C95C96">
            <w:pPr>
              <w:spacing w:after="0"/>
              <w:rPr>
                <w:rFonts w:asciiTheme="minorHAnsi" w:hAnsiTheme="minorHAnsi" w:cs="Arial"/>
                <w:szCs w:val="18"/>
              </w:rPr>
            </w:pPr>
            <w:r w:rsidRPr="00AA34B3">
              <w:rPr>
                <w:rFonts w:asciiTheme="minorHAnsi" w:hAnsiTheme="minorHAnsi"/>
                <w:i/>
                <w:szCs w:val="18"/>
              </w:rPr>
              <w:t>Federal Reporter</w:t>
            </w:r>
            <w:r w:rsidRPr="00AA34B3">
              <w:rPr>
                <w:rFonts w:asciiTheme="minorHAnsi" w:hAnsiTheme="minorHAnsi"/>
                <w:szCs w:val="18"/>
              </w:rPr>
              <w:t>, third series</w:t>
            </w:r>
          </w:p>
        </w:tc>
      </w:tr>
      <w:tr w:rsidR="00C95C96" w:rsidRPr="00AA34B3" w14:paraId="5CD2A769"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B07DF7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FACTS</w:t>
            </w:r>
          </w:p>
        </w:tc>
        <w:tc>
          <w:tcPr>
            <w:tcW w:w="6920" w:type="dxa"/>
          </w:tcPr>
          <w:p w14:paraId="5815F13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Flexible Alternating-Current Transmission System</w:t>
            </w:r>
          </w:p>
        </w:tc>
      </w:tr>
      <w:tr w:rsidR="00C95C96" w:rsidRPr="00AA34B3" w14:paraId="1DFDF5F3"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86D535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FCA</w:t>
            </w:r>
          </w:p>
        </w:tc>
        <w:tc>
          <w:tcPr>
            <w:tcW w:w="6920" w:type="dxa"/>
          </w:tcPr>
          <w:p w14:paraId="3523158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Auction</w:t>
            </w:r>
          </w:p>
        </w:tc>
      </w:tr>
      <w:tr w:rsidR="00C95C96" w:rsidRPr="00AA34B3" w14:paraId="2760366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2D12233" w14:textId="77777777" w:rsidR="00C95C96" w:rsidRPr="00AA34B3" w:rsidRDefault="00C95C96" w:rsidP="005678FB">
            <w:pPr>
              <w:spacing w:after="0"/>
              <w:rPr>
                <w:rFonts w:asciiTheme="minorHAnsi" w:hAnsiTheme="minorHAnsi" w:cs="Arial"/>
                <w:b/>
                <w:bCs/>
                <w:szCs w:val="18"/>
              </w:rPr>
            </w:pPr>
            <w:r w:rsidRPr="00AA34B3">
              <w:rPr>
                <w:rFonts w:asciiTheme="minorHAnsi" w:hAnsiTheme="minorHAnsi" w:cs="Arial"/>
                <w:b/>
                <w:szCs w:val="18"/>
              </w:rPr>
              <w:t>FCA #</w:t>
            </w:r>
          </w:p>
        </w:tc>
        <w:tc>
          <w:tcPr>
            <w:tcW w:w="6920" w:type="dxa"/>
          </w:tcPr>
          <w:p w14:paraId="1C19DDD7" w14:textId="77777777" w:rsidR="00C95C96" w:rsidRPr="00AA34B3" w:rsidRDefault="005678FB" w:rsidP="005678FB">
            <w:pPr>
              <w:spacing w:after="0"/>
              <w:rPr>
                <w:rFonts w:asciiTheme="minorHAnsi" w:hAnsiTheme="minorHAnsi" w:cs="Arial"/>
                <w:szCs w:val="18"/>
              </w:rPr>
            </w:pPr>
            <w:r>
              <w:rPr>
                <w:rFonts w:asciiTheme="minorHAnsi" w:hAnsiTheme="minorHAnsi" w:cs="Arial"/>
                <w:szCs w:val="18"/>
              </w:rPr>
              <w:t># st/nd/rd/</w:t>
            </w:r>
            <w:r w:rsidR="00C95C96" w:rsidRPr="00AA34B3">
              <w:rPr>
                <w:rFonts w:asciiTheme="minorHAnsi" w:hAnsiTheme="minorHAnsi" w:cs="Arial"/>
                <w:szCs w:val="18"/>
              </w:rPr>
              <w:t>th Forward Capacity Auction</w:t>
            </w:r>
          </w:p>
        </w:tc>
      </w:tr>
      <w:tr w:rsidR="00C95C96" w:rsidRPr="00AA34B3" w14:paraId="66192F6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11306B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FCM</w:t>
            </w:r>
          </w:p>
        </w:tc>
        <w:tc>
          <w:tcPr>
            <w:tcW w:w="6920" w:type="dxa"/>
          </w:tcPr>
          <w:p w14:paraId="41F4C43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Capacity Market</w:t>
            </w:r>
          </w:p>
        </w:tc>
      </w:tr>
      <w:tr w:rsidR="00C95C96" w:rsidRPr="00AA34B3" w14:paraId="464C3EA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F3B603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Fed. Reg.</w:t>
            </w:r>
          </w:p>
        </w:tc>
        <w:tc>
          <w:tcPr>
            <w:tcW w:w="6920" w:type="dxa"/>
          </w:tcPr>
          <w:p w14:paraId="53E654B3" w14:textId="77777777"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C95C96" w:rsidRPr="00AA34B3" w14:paraId="49AB455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60C6E8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FERC</w:t>
            </w:r>
          </w:p>
        </w:tc>
        <w:tc>
          <w:tcPr>
            <w:tcW w:w="6920" w:type="dxa"/>
          </w:tcPr>
          <w:p w14:paraId="55F8ED0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Federal Energy Regulatory Commission</w:t>
            </w:r>
          </w:p>
        </w:tc>
      </w:tr>
      <w:tr w:rsidR="00C95C96" w:rsidRPr="00AA34B3" w14:paraId="36849A8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A8F31B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FR</w:t>
            </w:r>
          </w:p>
        </w:tc>
        <w:tc>
          <w:tcPr>
            <w:tcW w:w="6920" w:type="dxa"/>
          </w:tcPr>
          <w:p w14:paraId="7272BB33" w14:textId="77777777"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Federal Register</w:t>
            </w:r>
          </w:p>
        </w:tc>
      </w:tr>
      <w:tr w:rsidR="008D59DA" w:rsidRPr="00AA34B3" w14:paraId="09FC8C7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829D2FD"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FRCC</w:t>
            </w:r>
          </w:p>
        </w:tc>
        <w:tc>
          <w:tcPr>
            <w:tcW w:w="6920" w:type="dxa"/>
          </w:tcPr>
          <w:p w14:paraId="178FFD7E" w14:textId="77777777" w:rsidR="008D59DA" w:rsidRPr="00AA34B3" w:rsidRDefault="008D59DA" w:rsidP="00C95C96">
            <w:pPr>
              <w:spacing w:after="0"/>
              <w:rPr>
                <w:rFonts w:asciiTheme="minorHAnsi" w:hAnsiTheme="minorHAnsi" w:cs="Arial"/>
                <w:szCs w:val="18"/>
              </w:rPr>
            </w:pPr>
            <w:r w:rsidRPr="008D59DA">
              <w:rPr>
                <w:rFonts w:asciiTheme="minorHAnsi" w:hAnsiTheme="minorHAnsi" w:cs="Arial"/>
                <w:szCs w:val="18"/>
              </w:rPr>
              <w:t>Florida Reliability Coordinating Council</w:t>
            </w:r>
          </w:p>
        </w:tc>
      </w:tr>
      <w:tr w:rsidR="00C95C96" w:rsidRPr="00AA34B3" w14:paraId="4C21396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8A6565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FRM</w:t>
            </w:r>
          </w:p>
        </w:tc>
        <w:tc>
          <w:tcPr>
            <w:tcW w:w="6920" w:type="dxa"/>
          </w:tcPr>
          <w:p w14:paraId="604B84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Forward Reserve Market</w:t>
            </w:r>
          </w:p>
        </w:tc>
      </w:tr>
      <w:tr w:rsidR="00C95C96" w:rsidRPr="00AA34B3" w14:paraId="3CB5F9D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1A2F90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FTR</w:t>
            </w:r>
          </w:p>
        </w:tc>
        <w:tc>
          <w:tcPr>
            <w:tcW w:w="6920" w:type="dxa"/>
          </w:tcPr>
          <w:p w14:paraId="54397E7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Financial Transmission Right</w:t>
            </w:r>
          </w:p>
        </w:tc>
      </w:tr>
      <w:tr w:rsidR="00C95C96" w:rsidRPr="00AA34B3" w14:paraId="733FBC4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C3EA00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GHCC</w:t>
            </w:r>
          </w:p>
        </w:tc>
        <w:tc>
          <w:tcPr>
            <w:tcW w:w="6920" w:type="dxa"/>
          </w:tcPr>
          <w:p w14:paraId="798EB84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Greater Hartford/Central Connecticut (part of NEEWS)</w:t>
            </w:r>
          </w:p>
        </w:tc>
      </w:tr>
      <w:tr w:rsidR="00C95C96" w:rsidRPr="00AA34B3" w14:paraId="26A908A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F25E24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GHG</w:t>
            </w:r>
          </w:p>
        </w:tc>
        <w:tc>
          <w:tcPr>
            <w:tcW w:w="6920" w:type="dxa"/>
          </w:tcPr>
          <w:p w14:paraId="1B65ACF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greenhouse gas</w:t>
            </w:r>
          </w:p>
        </w:tc>
      </w:tr>
      <w:tr w:rsidR="008D59DA" w:rsidRPr="00AA34B3" w14:paraId="26D9B0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DBD9362"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GPS</w:t>
            </w:r>
          </w:p>
        </w:tc>
        <w:tc>
          <w:tcPr>
            <w:tcW w:w="6920" w:type="dxa"/>
          </w:tcPr>
          <w:p w14:paraId="2CCBF098" w14:textId="77777777" w:rsidR="008D59DA" w:rsidRPr="00AA34B3" w:rsidRDefault="008D59DA" w:rsidP="008D59DA">
            <w:pPr>
              <w:spacing w:after="0"/>
              <w:rPr>
                <w:rFonts w:asciiTheme="minorHAnsi" w:hAnsiTheme="minorHAnsi" w:cs="Arial"/>
                <w:szCs w:val="18"/>
              </w:rPr>
            </w:pPr>
            <w:r>
              <w:rPr>
                <w:rFonts w:asciiTheme="minorHAnsi" w:hAnsiTheme="minorHAnsi" w:cs="Arial"/>
                <w:szCs w:val="18"/>
              </w:rPr>
              <w:t>global positioning satellite</w:t>
            </w:r>
          </w:p>
        </w:tc>
      </w:tr>
      <w:tr w:rsidR="00C95C96" w:rsidRPr="00AA34B3" w14:paraId="2BF7D39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853966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Greater Connecticut; Greater CT</w:t>
            </w:r>
          </w:p>
        </w:tc>
        <w:tc>
          <w:tcPr>
            <w:tcW w:w="6920" w:type="dxa"/>
          </w:tcPr>
          <w:p w14:paraId="09BCD63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study area that includes the RSP subareas of NOR, SWCT, and CT</w:t>
            </w:r>
          </w:p>
          <w:p w14:paraId="2C72C0B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capacity zone</w:t>
            </w:r>
          </w:p>
          <w:p w14:paraId="49570F6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C95C96" w:rsidRPr="00AA34B3" w14:paraId="2A02DE3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D7D1F8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lastRenderedPageBreak/>
              <w:t>Greater Southwest Connecticut; Greater Southwest CT; Greater SWCT</w:t>
            </w:r>
          </w:p>
        </w:tc>
        <w:tc>
          <w:tcPr>
            <w:tcW w:w="6920" w:type="dxa"/>
          </w:tcPr>
          <w:p w14:paraId="242F1F17" w14:textId="77777777"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1) RSP study area that includes the southwestern and western portions of Connecticut and comprises the SWCT and NOR subareas</w:t>
            </w:r>
          </w:p>
          <w:p w14:paraId="3EC86CCE" w14:textId="77777777" w:rsidR="00C95C96" w:rsidRPr="00AA34B3" w:rsidRDefault="00C95C96" w:rsidP="00C95C96">
            <w:pPr>
              <w:spacing w:after="0"/>
              <w:ind w:left="144" w:hanging="144"/>
              <w:rPr>
                <w:rFonts w:asciiTheme="minorHAnsi" w:hAnsiTheme="minorHAnsi" w:cs="Arial"/>
                <w:szCs w:val="18"/>
              </w:rPr>
            </w:pPr>
            <w:r w:rsidRPr="00AA34B3">
              <w:rPr>
                <w:rFonts w:asciiTheme="minorHAnsi" w:hAnsiTheme="minorHAnsi" w:cs="Arial"/>
                <w:szCs w:val="18"/>
              </w:rPr>
              <w:t>2) reserve zone</w:t>
            </w:r>
          </w:p>
        </w:tc>
      </w:tr>
      <w:tr w:rsidR="00C95C96" w:rsidRPr="00AA34B3" w14:paraId="608C2E2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B13095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GSP</w:t>
            </w:r>
          </w:p>
        </w:tc>
        <w:tc>
          <w:tcPr>
            <w:tcW w:w="6920" w:type="dxa"/>
          </w:tcPr>
          <w:p w14:paraId="34594A8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gross state product</w:t>
            </w:r>
          </w:p>
        </w:tc>
      </w:tr>
      <w:tr w:rsidR="00C95C96" w:rsidRPr="00AA34B3" w14:paraId="6A794EF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CD3483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w:t>
            </w:r>
          </w:p>
        </w:tc>
        <w:tc>
          <w:tcPr>
            <w:tcW w:w="6920" w:type="dxa"/>
          </w:tcPr>
          <w:p w14:paraId="50871D3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w:t>
            </w:r>
          </w:p>
        </w:tc>
      </w:tr>
      <w:tr w:rsidR="00C95C96" w:rsidRPr="00AA34B3" w14:paraId="7E0A86E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AD6BD6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GWh</w:t>
            </w:r>
          </w:p>
        </w:tc>
        <w:tc>
          <w:tcPr>
            <w:tcW w:w="6920" w:type="dxa"/>
          </w:tcPr>
          <w:p w14:paraId="2B2D25A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gigawatt-hour(s)</w:t>
            </w:r>
          </w:p>
        </w:tc>
      </w:tr>
      <w:tr w:rsidR="00C95C96" w:rsidRPr="00AA34B3" w14:paraId="51C2A3A8"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4E73DB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GWSA</w:t>
            </w:r>
          </w:p>
        </w:tc>
        <w:tc>
          <w:tcPr>
            <w:tcW w:w="6920" w:type="dxa"/>
          </w:tcPr>
          <w:p w14:paraId="6636720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Global Warming Solutions Act</w:t>
            </w:r>
            <w:r w:rsidRPr="00AA34B3">
              <w:rPr>
                <w:rFonts w:asciiTheme="minorHAnsi" w:hAnsiTheme="minorHAnsi" w:cs="Arial"/>
                <w:szCs w:val="18"/>
              </w:rPr>
              <w:t xml:space="preserve"> (MA)</w:t>
            </w:r>
          </w:p>
        </w:tc>
      </w:tr>
      <w:tr w:rsidR="008D59DA" w:rsidRPr="00AA34B3" w14:paraId="2450F3A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30D47B0"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HE</w:t>
            </w:r>
          </w:p>
        </w:tc>
        <w:tc>
          <w:tcPr>
            <w:tcW w:w="6920" w:type="dxa"/>
          </w:tcPr>
          <w:p w14:paraId="1F83F4BF" w14:textId="77777777" w:rsidR="008D59DA" w:rsidRPr="00AA34B3" w:rsidRDefault="008D59DA" w:rsidP="008D59DA">
            <w:pPr>
              <w:spacing w:after="0"/>
              <w:rPr>
                <w:rFonts w:asciiTheme="minorHAnsi" w:hAnsiTheme="minorHAnsi" w:cs="Arial"/>
                <w:szCs w:val="18"/>
              </w:rPr>
            </w:pPr>
            <w:r>
              <w:rPr>
                <w:rFonts w:asciiTheme="minorHAnsi" w:hAnsiTheme="minorHAnsi" w:cs="Arial"/>
                <w:szCs w:val="18"/>
              </w:rPr>
              <w:t>hour ending</w:t>
            </w:r>
          </w:p>
        </w:tc>
      </w:tr>
      <w:tr w:rsidR="008D59DA" w:rsidRPr="00AA34B3" w14:paraId="12F43D3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09FB384"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HP</w:t>
            </w:r>
          </w:p>
        </w:tc>
        <w:tc>
          <w:tcPr>
            <w:tcW w:w="6920" w:type="dxa"/>
          </w:tcPr>
          <w:p w14:paraId="19B6C019" w14:textId="77777777" w:rsidR="008D59DA" w:rsidRPr="00AA34B3" w:rsidRDefault="008D59DA" w:rsidP="00C95C96">
            <w:pPr>
              <w:spacing w:after="0"/>
              <w:rPr>
                <w:rFonts w:asciiTheme="minorHAnsi" w:hAnsiTheme="minorHAnsi" w:cs="Arial"/>
                <w:szCs w:val="18"/>
              </w:rPr>
            </w:pPr>
            <w:r>
              <w:rPr>
                <w:rFonts w:asciiTheme="minorHAnsi" w:hAnsiTheme="minorHAnsi" w:cs="Arial"/>
                <w:szCs w:val="18"/>
              </w:rPr>
              <w:t>horsepower</w:t>
            </w:r>
          </w:p>
        </w:tc>
      </w:tr>
      <w:tr w:rsidR="00C95C96" w:rsidRPr="00AA34B3" w14:paraId="30A36D3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EDC974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w:t>
            </w:r>
          </w:p>
        </w:tc>
        <w:tc>
          <w:tcPr>
            <w:tcW w:w="6920" w:type="dxa"/>
          </w:tcPr>
          <w:p w14:paraId="2FA38EA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Balancing Authority Area</w:t>
            </w:r>
          </w:p>
        </w:tc>
      </w:tr>
      <w:tr w:rsidR="00C95C96" w:rsidRPr="00AA34B3" w14:paraId="6C8DBE2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8A094D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HQICC</w:t>
            </w:r>
          </w:p>
        </w:tc>
        <w:tc>
          <w:tcPr>
            <w:tcW w:w="6920" w:type="dxa"/>
          </w:tcPr>
          <w:p w14:paraId="137AE41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Hydro-Québec Installed Capability Credit</w:t>
            </w:r>
          </w:p>
        </w:tc>
      </w:tr>
      <w:tr w:rsidR="00C95C96" w:rsidRPr="00AA34B3" w14:paraId="3FB617C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4C45F3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(the) Hub</w:t>
            </w:r>
          </w:p>
        </w:tc>
        <w:tc>
          <w:tcPr>
            <w:tcW w:w="6920" w:type="dxa"/>
          </w:tcPr>
          <w:p w14:paraId="4C85AFC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 New England energy trading hub</w:t>
            </w:r>
          </w:p>
        </w:tc>
      </w:tr>
      <w:tr w:rsidR="00C95C96" w:rsidRPr="00AA34B3" w14:paraId="0DDDC1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7B9F724"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HV</w:t>
            </w:r>
          </w:p>
        </w:tc>
        <w:tc>
          <w:tcPr>
            <w:tcW w:w="6920" w:type="dxa"/>
          </w:tcPr>
          <w:p w14:paraId="444B0A7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high voltage</w:t>
            </w:r>
          </w:p>
        </w:tc>
      </w:tr>
      <w:tr w:rsidR="00C95C96" w:rsidRPr="00AA34B3" w14:paraId="7FD1D11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F53AF3A" w14:textId="77777777" w:rsidR="00C95C96" w:rsidRPr="00E3232A" w:rsidRDefault="00C95C96" w:rsidP="00C95C96">
            <w:pPr>
              <w:spacing w:after="0"/>
              <w:rPr>
                <w:rFonts w:asciiTheme="minorHAnsi" w:hAnsiTheme="minorHAnsi" w:cs="Arial"/>
                <w:b/>
                <w:bCs/>
                <w:szCs w:val="18"/>
              </w:rPr>
            </w:pPr>
            <w:r w:rsidRPr="00E3232A">
              <w:rPr>
                <w:rFonts w:asciiTheme="minorHAnsi" w:hAnsiTheme="minorHAnsi" w:cs="Arial"/>
                <w:b/>
                <w:szCs w:val="18"/>
              </w:rPr>
              <w:t>HVDC</w:t>
            </w:r>
          </w:p>
        </w:tc>
        <w:tc>
          <w:tcPr>
            <w:tcW w:w="6920" w:type="dxa"/>
          </w:tcPr>
          <w:p w14:paraId="1875F201" w14:textId="77777777" w:rsidR="00C95C96" w:rsidRPr="00E3232A" w:rsidRDefault="00C95C96" w:rsidP="00C95C96">
            <w:pPr>
              <w:spacing w:after="0"/>
              <w:rPr>
                <w:rFonts w:asciiTheme="minorHAnsi" w:hAnsiTheme="minorHAnsi" w:cs="Arial"/>
                <w:szCs w:val="18"/>
              </w:rPr>
            </w:pPr>
            <w:r w:rsidRPr="00E3232A">
              <w:rPr>
                <w:rFonts w:asciiTheme="minorHAnsi" w:hAnsiTheme="minorHAnsi" w:cs="Arial"/>
                <w:szCs w:val="18"/>
              </w:rPr>
              <w:t>high voltage, direct current</w:t>
            </w:r>
          </w:p>
        </w:tc>
      </w:tr>
      <w:tr w:rsidR="00C95C96" w:rsidRPr="00AA34B3" w14:paraId="7C415A8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F4FA9E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hydro</w:t>
            </w:r>
          </w:p>
        </w:tc>
        <w:tc>
          <w:tcPr>
            <w:tcW w:w="6920" w:type="dxa"/>
          </w:tcPr>
          <w:p w14:paraId="1E35426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hydroelectricity</w:t>
            </w:r>
          </w:p>
        </w:tc>
      </w:tr>
      <w:tr w:rsidR="008D59DA" w:rsidRPr="00AA34B3" w14:paraId="491D6AE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23C046D" w14:textId="77777777" w:rsidR="008D59DA" w:rsidRDefault="008D59DA" w:rsidP="00C95C96">
            <w:pPr>
              <w:spacing w:after="0"/>
              <w:rPr>
                <w:rFonts w:asciiTheme="minorHAnsi" w:hAnsiTheme="minorHAnsi" w:cs="Arial"/>
                <w:b/>
                <w:szCs w:val="18"/>
              </w:rPr>
            </w:pPr>
            <w:r>
              <w:rPr>
                <w:rFonts w:asciiTheme="minorHAnsi" w:hAnsiTheme="minorHAnsi" w:cs="Arial"/>
                <w:b/>
                <w:szCs w:val="18"/>
              </w:rPr>
              <w:t>IBR</w:t>
            </w:r>
          </w:p>
        </w:tc>
        <w:tc>
          <w:tcPr>
            <w:tcW w:w="6920" w:type="dxa"/>
          </w:tcPr>
          <w:p w14:paraId="0382B9C5" w14:textId="77777777" w:rsidR="008D59DA" w:rsidRDefault="008D59DA" w:rsidP="008D59DA">
            <w:pPr>
              <w:spacing w:after="0"/>
              <w:rPr>
                <w:rFonts w:asciiTheme="minorHAnsi" w:hAnsiTheme="minorHAnsi" w:cs="Arial"/>
                <w:szCs w:val="18"/>
              </w:rPr>
            </w:pPr>
            <w:r>
              <w:rPr>
                <w:rFonts w:asciiTheme="minorHAnsi" w:hAnsiTheme="minorHAnsi" w:cs="Arial"/>
                <w:szCs w:val="18"/>
              </w:rPr>
              <w:t>inverter-based resource</w:t>
            </w:r>
          </w:p>
        </w:tc>
      </w:tr>
      <w:tr w:rsidR="008D59DA" w:rsidRPr="00AA34B3" w14:paraId="6E44D14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89AB31A"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IC</w:t>
            </w:r>
          </w:p>
        </w:tc>
        <w:tc>
          <w:tcPr>
            <w:tcW w:w="6920" w:type="dxa"/>
          </w:tcPr>
          <w:p w14:paraId="31D5B31B" w14:textId="77777777" w:rsidR="008D59DA" w:rsidRPr="00AA34B3" w:rsidRDefault="008D59DA" w:rsidP="008D59DA">
            <w:pPr>
              <w:spacing w:after="0"/>
              <w:rPr>
                <w:rFonts w:asciiTheme="minorHAnsi" w:hAnsiTheme="minorHAnsi" w:cs="Arial"/>
                <w:szCs w:val="18"/>
              </w:rPr>
            </w:pPr>
            <w:r>
              <w:rPr>
                <w:rFonts w:asciiTheme="minorHAnsi" w:hAnsiTheme="minorHAnsi" w:cs="Arial"/>
                <w:szCs w:val="18"/>
              </w:rPr>
              <w:t>interconnection customer</w:t>
            </w:r>
          </w:p>
        </w:tc>
      </w:tr>
      <w:tr w:rsidR="00C95C96" w:rsidRPr="00AA34B3" w14:paraId="776E10B3"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11E3D2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ICE</w:t>
            </w:r>
          </w:p>
        </w:tc>
        <w:tc>
          <w:tcPr>
            <w:tcW w:w="6920" w:type="dxa"/>
          </w:tcPr>
          <w:p w14:paraId="601DEF3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Intercontinental Exchange, Inc.</w:t>
            </w:r>
          </w:p>
        </w:tc>
      </w:tr>
      <w:tr w:rsidR="00C95C96" w:rsidRPr="00AA34B3" w14:paraId="3520C35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483A46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ICR</w:t>
            </w:r>
          </w:p>
        </w:tc>
        <w:tc>
          <w:tcPr>
            <w:tcW w:w="6920" w:type="dxa"/>
          </w:tcPr>
          <w:p w14:paraId="5947DE1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Installed Capacity Requirement</w:t>
            </w:r>
          </w:p>
        </w:tc>
      </w:tr>
      <w:tr w:rsidR="00C95C96" w:rsidRPr="00AA34B3" w14:paraId="41386C7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4F1F0E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IEEE</w:t>
            </w:r>
          </w:p>
        </w:tc>
        <w:tc>
          <w:tcPr>
            <w:tcW w:w="6920" w:type="dxa"/>
          </w:tcPr>
          <w:p w14:paraId="10B314F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Institute of Electrical and Electronics Engineers</w:t>
            </w:r>
          </w:p>
        </w:tc>
      </w:tr>
      <w:tr w:rsidR="00C95C96" w:rsidRPr="00AA34B3" w14:paraId="5BEF3E3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CA72E6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IGTS</w:t>
            </w:r>
          </w:p>
        </w:tc>
        <w:tc>
          <w:tcPr>
            <w:tcW w:w="6920" w:type="dxa"/>
          </w:tcPr>
          <w:p w14:paraId="24AB552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Iroquois Gas Transmission System</w:t>
            </w:r>
          </w:p>
        </w:tc>
      </w:tr>
      <w:tr w:rsidR="00C95C96" w:rsidRPr="00AA34B3" w14:paraId="377D89F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432BDE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IPSAC</w:t>
            </w:r>
          </w:p>
        </w:tc>
        <w:tc>
          <w:tcPr>
            <w:tcW w:w="6920" w:type="dxa"/>
          </w:tcPr>
          <w:p w14:paraId="29AB9B9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Inter-Area Planning Stakeholder Advisory Committee</w:t>
            </w:r>
          </w:p>
        </w:tc>
      </w:tr>
      <w:tr w:rsidR="00C95C96" w:rsidRPr="00AA34B3" w14:paraId="0DD22461" w14:textId="77777777" w:rsidTr="00327CD2">
        <w:trPr>
          <w:cnfStyle w:val="000000100000" w:firstRow="0" w:lastRow="0" w:firstColumn="0" w:lastColumn="0" w:oddVBand="0" w:evenVBand="0" w:oddHBand="1" w:evenHBand="0" w:firstRowFirstColumn="0" w:firstRowLastColumn="0" w:lastRowFirstColumn="0" w:lastRowLastColumn="0"/>
          <w:trHeight w:val="164"/>
        </w:trPr>
        <w:tc>
          <w:tcPr>
            <w:tcW w:w="2074" w:type="dxa"/>
          </w:tcPr>
          <w:p w14:paraId="6622777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IRC</w:t>
            </w:r>
          </w:p>
        </w:tc>
        <w:tc>
          <w:tcPr>
            <w:tcW w:w="6920" w:type="dxa"/>
          </w:tcPr>
          <w:p w14:paraId="534EB71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ISO/RTO Council</w:t>
            </w:r>
          </w:p>
        </w:tc>
      </w:tr>
      <w:tr w:rsidR="00C95C96" w:rsidRPr="00AA34B3" w14:paraId="4E5B66F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1CA53D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IRP</w:t>
            </w:r>
            <w:r w:rsidR="00825782">
              <w:rPr>
                <w:rFonts w:asciiTheme="minorHAnsi" w:hAnsiTheme="minorHAnsi" w:cs="Arial"/>
                <w:b/>
                <w:szCs w:val="18"/>
              </w:rPr>
              <w:t>TF</w:t>
            </w:r>
          </w:p>
        </w:tc>
        <w:tc>
          <w:tcPr>
            <w:tcW w:w="6920" w:type="dxa"/>
          </w:tcPr>
          <w:p w14:paraId="5A0008B8" w14:textId="77777777" w:rsidR="00C95C96" w:rsidRPr="00AA34B3" w:rsidRDefault="00C95C96" w:rsidP="00825782">
            <w:pPr>
              <w:spacing w:after="0"/>
              <w:rPr>
                <w:rFonts w:asciiTheme="minorHAnsi" w:hAnsiTheme="minorHAnsi" w:cs="Arial"/>
                <w:szCs w:val="18"/>
              </w:rPr>
            </w:pPr>
            <w:r w:rsidRPr="00AA34B3">
              <w:rPr>
                <w:rFonts w:asciiTheme="minorHAnsi" w:hAnsiTheme="minorHAnsi" w:cs="Arial"/>
                <w:szCs w:val="18"/>
              </w:rPr>
              <w:t>In</w:t>
            </w:r>
            <w:r w:rsidR="00825782">
              <w:rPr>
                <w:rFonts w:asciiTheme="minorHAnsi" w:hAnsiTheme="minorHAnsi" w:cs="Arial"/>
                <w:szCs w:val="18"/>
              </w:rPr>
              <w:t>verter-Based Resource Performance Task Force (NERC)</w:t>
            </w:r>
          </w:p>
        </w:tc>
      </w:tr>
      <w:tr w:rsidR="00C95C96" w:rsidRPr="00AA34B3" w14:paraId="5D180C7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389EFB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ISO</w:t>
            </w:r>
          </w:p>
        </w:tc>
        <w:tc>
          <w:tcPr>
            <w:tcW w:w="6920" w:type="dxa"/>
          </w:tcPr>
          <w:p w14:paraId="7DBD2A9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w:t>
            </w:r>
          </w:p>
        </w:tc>
      </w:tr>
      <w:tr w:rsidR="00C95C96" w:rsidRPr="00AA34B3" w14:paraId="4A3EA32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EA4209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(the) ISO</w:t>
            </w:r>
          </w:p>
        </w:tc>
        <w:tc>
          <w:tcPr>
            <w:tcW w:w="6920" w:type="dxa"/>
          </w:tcPr>
          <w:p w14:paraId="7983A42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 of New England; ISO New England</w:t>
            </w:r>
          </w:p>
        </w:tc>
      </w:tr>
      <w:tr w:rsidR="00C95C96" w:rsidRPr="00AA34B3" w14:paraId="6B21846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006B1D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ISO/RTO</w:t>
            </w:r>
          </w:p>
        </w:tc>
        <w:tc>
          <w:tcPr>
            <w:tcW w:w="6920" w:type="dxa"/>
          </w:tcPr>
          <w:p w14:paraId="7BE068C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Independent System Operator/Regional Transmission Organization</w:t>
            </w:r>
          </w:p>
        </w:tc>
      </w:tr>
      <w:tr w:rsidR="00C95C96" w:rsidRPr="00AA34B3" w14:paraId="5823DAF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FE1F82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ISO tariff</w:t>
            </w:r>
          </w:p>
        </w:tc>
        <w:tc>
          <w:tcPr>
            <w:tcW w:w="6920" w:type="dxa"/>
          </w:tcPr>
          <w:p w14:paraId="1AF8DC3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New England’s </w:t>
            </w:r>
            <w:r w:rsidRPr="00AA34B3">
              <w:rPr>
                <w:rFonts w:asciiTheme="minorHAnsi" w:hAnsiTheme="minorHAnsi" w:cs="Arial"/>
                <w:i/>
                <w:szCs w:val="18"/>
              </w:rPr>
              <w:t>Transmission, Markets, and Services Tariff</w:t>
            </w:r>
          </w:p>
        </w:tc>
      </w:tr>
      <w:tr w:rsidR="00C95C96" w:rsidRPr="00AA34B3" w14:paraId="6CE71B6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293A15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JIPC</w:t>
            </w:r>
          </w:p>
        </w:tc>
        <w:tc>
          <w:tcPr>
            <w:tcW w:w="6920" w:type="dxa"/>
          </w:tcPr>
          <w:p w14:paraId="24A1C3F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Joint ISO/RTO Planning Committee</w:t>
            </w:r>
          </w:p>
        </w:tc>
      </w:tr>
      <w:tr w:rsidR="00C95C96" w:rsidRPr="00AA34B3" w14:paraId="52D133D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9139F0D"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ktons</w:t>
            </w:r>
          </w:p>
        </w:tc>
        <w:tc>
          <w:tcPr>
            <w:tcW w:w="6920" w:type="dxa"/>
          </w:tcPr>
          <w:p w14:paraId="00C9A52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kilotons</w:t>
            </w:r>
          </w:p>
        </w:tc>
      </w:tr>
      <w:tr w:rsidR="00C95C96" w:rsidRPr="00AA34B3" w14:paraId="119BD9F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EBD955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kV</w:t>
            </w:r>
          </w:p>
        </w:tc>
        <w:tc>
          <w:tcPr>
            <w:tcW w:w="6920" w:type="dxa"/>
          </w:tcPr>
          <w:p w14:paraId="0A16392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kilovolt(s)</w:t>
            </w:r>
          </w:p>
        </w:tc>
      </w:tr>
      <w:tr w:rsidR="00C95C96" w:rsidRPr="00AA34B3" w14:paraId="589E65A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305030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w:t>
            </w:r>
          </w:p>
        </w:tc>
        <w:tc>
          <w:tcPr>
            <w:tcW w:w="6920" w:type="dxa"/>
          </w:tcPr>
          <w:p w14:paraId="12516BB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w:t>
            </w:r>
          </w:p>
        </w:tc>
      </w:tr>
      <w:tr w:rsidR="00C95C96" w:rsidRPr="00AA34B3" w14:paraId="4A13246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FAFBD5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kWh</w:t>
            </w:r>
          </w:p>
        </w:tc>
        <w:tc>
          <w:tcPr>
            <w:tcW w:w="6920" w:type="dxa"/>
          </w:tcPr>
          <w:p w14:paraId="2400B45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kilowatt-hour</w:t>
            </w:r>
          </w:p>
        </w:tc>
      </w:tr>
      <w:tr w:rsidR="00C95C96" w:rsidRPr="00AA34B3" w14:paraId="0BD211E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B676E9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lb</w:t>
            </w:r>
          </w:p>
        </w:tc>
        <w:tc>
          <w:tcPr>
            <w:tcW w:w="6920" w:type="dxa"/>
          </w:tcPr>
          <w:p w14:paraId="2A0B3A8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pound</w:t>
            </w:r>
          </w:p>
        </w:tc>
      </w:tr>
      <w:tr w:rsidR="008D59DA" w:rsidRPr="00AA34B3" w14:paraId="060C5A19"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506C815"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LGIA</w:t>
            </w:r>
          </w:p>
        </w:tc>
        <w:tc>
          <w:tcPr>
            <w:tcW w:w="6920" w:type="dxa"/>
          </w:tcPr>
          <w:p w14:paraId="40368154" w14:textId="77777777"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Agreement</w:t>
            </w:r>
          </w:p>
        </w:tc>
      </w:tr>
      <w:tr w:rsidR="008D59DA" w:rsidRPr="00AA34B3" w14:paraId="478818D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2E917BF" w14:textId="77777777" w:rsidR="008D59DA" w:rsidRPr="00AA34B3" w:rsidRDefault="008D59DA" w:rsidP="00C95C96">
            <w:pPr>
              <w:spacing w:after="0"/>
              <w:rPr>
                <w:rFonts w:asciiTheme="minorHAnsi" w:hAnsiTheme="minorHAnsi" w:cs="Arial"/>
                <w:b/>
                <w:szCs w:val="18"/>
              </w:rPr>
            </w:pPr>
            <w:r>
              <w:rPr>
                <w:rFonts w:asciiTheme="minorHAnsi" w:hAnsiTheme="minorHAnsi" w:cs="Arial"/>
                <w:b/>
                <w:szCs w:val="18"/>
              </w:rPr>
              <w:t>LGIP</w:t>
            </w:r>
          </w:p>
        </w:tc>
        <w:tc>
          <w:tcPr>
            <w:tcW w:w="6920" w:type="dxa"/>
          </w:tcPr>
          <w:p w14:paraId="6340C9BC" w14:textId="77777777" w:rsidR="008D59DA" w:rsidRPr="00AA34B3" w:rsidRDefault="008D59DA" w:rsidP="008D59DA">
            <w:pPr>
              <w:spacing w:after="0"/>
              <w:rPr>
                <w:rFonts w:asciiTheme="minorHAnsi" w:hAnsiTheme="minorHAnsi" w:cs="Arial"/>
                <w:szCs w:val="18"/>
              </w:rPr>
            </w:pPr>
            <w:r w:rsidRPr="008D59DA">
              <w:rPr>
                <w:rFonts w:asciiTheme="minorHAnsi" w:hAnsiTheme="minorHAnsi" w:cs="Arial"/>
                <w:szCs w:val="18"/>
              </w:rPr>
              <w:t>Large Generator Interconnection Procedure</w:t>
            </w:r>
          </w:p>
        </w:tc>
      </w:tr>
      <w:tr w:rsidR="00C95C96" w:rsidRPr="00AA34B3" w14:paraId="31EF206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B2E17B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LLC</w:t>
            </w:r>
          </w:p>
        </w:tc>
        <w:tc>
          <w:tcPr>
            <w:tcW w:w="6920" w:type="dxa"/>
          </w:tcPr>
          <w:p w14:paraId="4250D4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limited liability company</w:t>
            </w:r>
          </w:p>
        </w:tc>
      </w:tr>
      <w:tr w:rsidR="00C95C96" w:rsidRPr="00AA34B3" w14:paraId="5A2CEAE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DBA6FC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LMP</w:t>
            </w:r>
          </w:p>
        </w:tc>
        <w:tc>
          <w:tcPr>
            <w:tcW w:w="6920" w:type="dxa"/>
          </w:tcPr>
          <w:p w14:paraId="345FCC4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locational marginal price</w:t>
            </w:r>
          </w:p>
        </w:tc>
      </w:tr>
      <w:tr w:rsidR="00C95C96" w:rsidRPr="00AA34B3" w14:paraId="2408B7C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83D813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LNG</w:t>
            </w:r>
          </w:p>
        </w:tc>
        <w:tc>
          <w:tcPr>
            <w:tcW w:w="6920" w:type="dxa"/>
          </w:tcPr>
          <w:p w14:paraId="3A92927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liquefied natural gas</w:t>
            </w:r>
          </w:p>
        </w:tc>
      </w:tr>
      <w:tr w:rsidR="00C95C96" w:rsidRPr="00AA34B3" w14:paraId="471E10B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D7EB55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LOLE</w:t>
            </w:r>
          </w:p>
        </w:tc>
        <w:tc>
          <w:tcPr>
            <w:tcW w:w="6920" w:type="dxa"/>
          </w:tcPr>
          <w:p w14:paraId="00FEB97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loss-of-load expectation</w:t>
            </w:r>
          </w:p>
        </w:tc>
      </w:tr>
      <w:tr w:rsidR="00C95C96" w:rsidRPr="00AA34B3" w14:paraId="1629450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7748B2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Lower SEMA</w:t>
            </w:r>
          </w:p>
        </w:tc>
        <w:tc>
          <w:tcPr>
            <w:tcW w:w="6920" w:type="dxa"/>
          </w:tcPr>
          <w:p w14:paraId="7D0A7B4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Lower Southeast Massachusetts active-demand-resource dispatch zone</w:t>
            </w:r>
          </w:p>
        </w:tc>
      </w:tr>
      <w:tr w:rsidR="00C95C96" w:rsidRPr="00AA34B3" w14:paraId="2D1D6B6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84970A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LSE</w:t>
            </w:r>
          </w:p>
        </w:tc>
        <w:tc>
          <w:tcPr>
            <w:tcW w:w="6920" w:type="dxa"/>
          </w:tcPr>
          <w:p w14:paraId="4473E4C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load-serving entity</w:t>
            </w:r>
          </w:p>
        </w:tc>
      </w:tr>
      <w:tr w:rsidR="00C95C96" w:rsidRPr="00AA34B3" w14:paraId="23E408F4" w14:textId="77777777" w:rsidTr="00327CD2">
        <w:trPr>
          <w:cnfStyle w:val="000000100000" w:firstRow="0" w:lastRow="0" w:firstColumn="0" w:lastColumn="0" w:oddVBand="0" w:evenVBand="0" w:oddHBand="1" w:evenHBand="0" w:firstRowFirstColumn="0" w:firstRowLastColumn="0" w:lastRowFirstColumn="0" w:lastRowLastColumn="0"/>
          <w:trHeight w:val="200"/>
        </w:trPr>
        <w:tc>
          <w:tcPr>
            <w:tcW w:w="2074" w:type="dxa"/>
          </w:tcPr>
          <w:p w14:paraId="5CAE53F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LSP</w:t>
            </w:r>
          </w:p>
        </w:tc>
        <w:tc>
          <w:tcPr>
            <w:tcW w:w="6920" w:type="dxa"/>
          </w:tcPr>
          <w:p w14:paraId="26D7124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System Plan</w:t>
            </w:r>
          </w:p>
        </w:tc>
      </w:tr>
      <w:tr w:rsidR="00C95C96" w:rsidRPr="00AA34B3" w14:paraId="0FE610B7" w14:textId="77777777" w:rsidTr="00327CD2">
        <w:trPr>
          <w:cnfStyle w:val="000000010000" w:firstRow="0" w:lastRow="0" w:firstColumn="0" w:lastColumn="0" w:oddVBand="0" w:evenVBand="0" w:oddHBand="0" w:evenHBand="1" w:firstRowFirstColumn="0" w:firstRowLastColumn="0" w:lastRowFirstColumn="0" w:lastRowLastColumn="0"/>
          <w:trHeight w:val="200"/>
        </w:trPr>
        <w:tc>
          <w:tcPr>
            <w:tcW w:w="2074" w:type="dxa"/>
          </w:tcPr>
          <w:p w14:paraId="7E383B1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LSR</w:t>
            </w:r>
          </w:p>
        </w:tc>
        <w:tc>
          <w:tcPr>
            <w:tcW w:w="6920" w:type="dxa"/>
          </w:tcPr>
          <w:p w14:paraId="4E4032B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local sourcing requirement</w:t>
            </w:r>
          </w:p>
        </w:tc>
      </w:tr>
      <w:tr w:rsidR="00C95C96" w:rsidRPr="00AA34B3" w14:paraId="28A3BA79"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81BF07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lastRenderedPageBreak/>
              <w:t>LTRA</w:t>
            </w:r>
          </w:p>
        </w:tc>
        <w:tc>
          <w:tcPr>
            <w:tcW w:w="6920" w:type="dxa"/>
          </w:tcPr>
          <w:p w14:paraId="32E57AC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Long-Term Reliability Assessment </w:t>
            </w:r>
            <w:r w:rsidRPr="00AA34B3">
              <w:rPr>
                <w:rFonts w:asciiTheme="minorHAnsi" w:hAnsiTheme="minorHAnsi" w:cs="Arial"/>
                <w:szCs w:val="18"/>
              </w:rPr>
              <w:t>(NERC)</w:t>
            </w:r>
          </w:p>
        </w:tc>
      </w:tr>
      <w:tr w:rsidR="00C95C96" w:rsidRPr="00AA34B3" w14:paraId="2BC2DB2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C3584C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M&amp;N</w:t>
            </w:r>
          </w:p>
        </w:tc>
        <w:tc>
          <w:tcPr>
            <w:tcW w:w="6920" w:type="dxa"/>
          </w:tcPr>
          <w:p w14:paraId="1C34AC4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Maritimes and Northeast Pipeline</w:t>
            </w:r>
          </w:p>
        </w:tc>
      </w:tr>
      <w:tr w:rsidR="00C95C96" w:rsidRPr="00AA34B3" w14:paraId="5BCAAE2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D5EC84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w:t>
            </w:r>
          </w:p>
        </w:tc>
        <w:tc>
          <w:tcPr>
            <w:tcW w:w="6920" w:type="dxa"/>
          </w:tcPr>
          <w:p w14:paraId="683531F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w:t>
            </w:r>
          </w:p>
        </w:tc>
      </w:tr>
      <w:tr w:rsidR="00C95C96" w:rsidRPr="00AA34B3" w14:paraId="0309AA3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9886E8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MACT</w:t>
            </w:r>
          </w:p>
        </w:tc>
        <w:tc>
          <w:tcPr>
            <w:tcW w:w="6920" w:type="dxa"/>
          </w:tcPr>
          <w:p w14:paraId="52041E4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achievable control technology</w:t>
            </w:r>
          </w:p>
        </w:tc>
      </w:tr>
      <w:tr w:rsidR="00C95C96" w:rsidRPr="00AA34B3" w14:paraId="56F26EE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4D2AF9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 DEP</w:t>
            </w:r>
          </w:p>
        </w:tc>
        <w:tc>
          <w:tcPr>
            <w:tcW w:w="6920" w:type="dxa"/>
          </w:tcPr>
          <w:p w14:paraId="41A7A1A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Environmental Protection</w:t>
            </w:r>
          </w:p>
        </w:tc>
      </w:tr>
      <w:tr w:rsidR="00C95C96" w:rsidRPr="00AA34B3" w14:paraId="46DAD30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D961DF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MA DPU</w:t>
            </w:r>
          </w:p>
        </w:tc>
        <w:tc>
          <w:tcPr>
            <w:tcW w:w="6920" w:type="dxa"/>
          </w:tcPr>
          <w:p w14:paraId="73094CF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Massachusetts Department of Public Utilities</w:t>
            </w:r>
          </w:p>
        </w:tc>
      </w:tr>
      <w:tr w:rsidR="00C95C96" w:rsidRPr="00AA34B3" w14:paraId="42F6277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3DECD5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Maine</w:t>
            </w:r>
          </w:p>
        </w:tc>
        <w:tc>
          <w:tcPr>
            <w:tcW w:w="6920" w:type="dxa"/>
          </w:tcPr>
          <w:p w14:paraId="25798BD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C95C96" w:rsidRPr="00AA34B3" w14:paraId="71F802E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8541BA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MATS</w:t>
            </w:r>
          </w:p>
        </w:tc>
        <w:tc>
          <w:tcPr>
            <w:tcW w:w="6920" w:type="dxa"/>
          </w:tcPr>
          <w:p w14:paraId="4DB69ED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Mercury and Air Toxics Standard (US EPA)</w:t>
            </w:r>
          </w:p>
        </w:tc>
      </w:tr>
      <w:tr w:rsidR="00C95C96" w:rsidRPr="00AA34B3" w14:paraId="4291469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2945A9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Mcf</w:t>
            </w:r>
          </w:p>
        </w:tc>
        <w:tc>
          <w:tcPr>
            <w:tcW w:w="6920" w:type="dxa"/>
          </w:tcPr>
          <w:p w14:paraId="20644AA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1,000 cubic feet</w:t>
            </w:r>
          </w:p>
        </w:tc>
      </w:tr>
      <w:tr w:rsidR="00C95C96" w:rsidRPr="00AA34B3" w14:paraId="5AA8ED9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A4E82E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MCL</w:t>
            </w:r>
          </w:p>
        </w:tc>
        <w:tc>
          <w:tcPr>
            <w:tcW w:w="6920" w:type="dxa"/>
          </w:tcPr>
          <w:p w14:paraId="11007C3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maximum capacity limit</w:t>
            </w:r>
          </w:p>
        </w:tc>
      </w:tr>
      <w:tr w:rsidR="00C95C96" w:rsidRPr="00AA34B3" w14:paraId="0F70F74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DB0985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MDth/d</w:t>
            </w:r>
          </w:p>
        </w:tc>
        <w:tc>
          <w:tcPr>
            <w:tcW w:w="6920" w:type="dxa"/>
          </w:tcPr>
          <w:p w14:paraId="1AD2436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thousand dekatherms per day</w:t>
            </w:r>
          </w:p>
        </w:tc>
      </w:tr>
      <w:tr w:rsidR="00C95C96" w:rsidRPr="00AA34B3" w14:paraId="09FD7B2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BCA1F7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ME</w:t>
            </w:r>
          </w:p>
        </w:tc>
        <w:tc>
          <w:tcPr>
            <w:tcW w:w="6920" w:type="dxa"/>
          </w:tcPr>
          <w:p w14:paraId="142755C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Maine</w:t>
            </w:r>
          </w:p>
          <w:p w14:paraId="4411A873" w14:textId="77777777" w:rsidR="00C95C96" w:rsidRPr="00AA34B3" w:rsidRDefault="00C95C96" w:rsidP="00C95C96">
            <w:pPr>
              <w:spacing w:after="0"/>
              <w:ind w:left="230" w:hanging="230"/>
              <w:rPr>
                <w:rFonts w:asciiTheme="minorHAnsi" w:hAnsiTheme="minorHAnsi" w:cs="Arial"/>
                <w:szCs w:val="18"/>
              </w:rPr>
            </w:pPr>
            <w:r w:rsidRPr="00AA34B3">
              <w:rPr>
                <w:rFonts w:asciiTheme="minorHAnsi" w:hAnsiTheme="minorHAnsi" w:cs="Arial"/>
                <w:szCs w:val="18"/>
              </w:rPr>
              <w:t>2) RSP subarea that includes western and central Maine and Saco Valley, New Hampshire</w:t>
            </w:r>
          </w:p>
          <w:p w14:paraId="74782DB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Maine load zone</w:t>
            </w:r>
          </w:p>
          <w:p w14:paraId="417F0C44" w14:textId="77777777"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4) Maine capacity zone, including the area north of the ME-NH interface and comprising the RSP bubbles for BHE, ME, and SME</w:t>
            </w:r>
          </w:p>
          <w:p w14:paraId="4206627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5) Maine active-demand-resource dispatch zone</w:t>
            </w:r>
          </w:p>
        </w:tc>
      </w:tr>
      <w:tr w:rsidR="00C95C96" w:rsidRPr="00AA34B3" w14:paraId="53C2854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C6A58E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ME PUC</w:t>
            </w:r>
          </w:p>
        </w:tc>
        <w:tc>
          <w:tcPr>
            <w:tcW w:w="6920" w:type="dxa"/>
          </w:tcPr>
          <w:p w14:paraId="76E1E95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Public Utilities Commission</w:t>
            </w:r>
          </w:p>
        </w:tc>
      </w:tr>
      <w:tr w:rsidR="00C95C96" w:rsidRPr="00AA34B3" w14:paraId="5F936BD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87EDAD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METU</w:t>
            </w:r>
          </w:p>
        </w:tc>
        <w:tc>
          <w:tcPr>
            <w:tcW w:w="6920" w:type="dxa"/>
          </w:tcPr>
          <w:p w14:paraId="659D53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market efficiency transmission upgrade</w:t>
            </w:r>
          </w:p>
        </w:tc>
      </w:tr>
      <w:tr w:rsidR="00C95C96" w:rsidRPr="00AA34B3" w14:paraId="47B2C76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59D60F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MGD</w:t>
            </w:r>
          </w:p>
        </w:tc>
        <w:tc>
          <w:tcPr>
            <w:tcW w:w="6920" w:type="dxa"/>
          </w:tcPr>
          <w:p w14:paraId="719DA43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millions gallons per day</w:t>
            </w:r>
          </w:p>
        </w:tc>
      </w:tr>
      <w:tr w:rsidR="00C95C96" w:rsidRPr="00AA34B3" w14:paraId="4445762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0995F7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MMBtu</w:t>
            </w:r>
          </w:p>
        </w:tc>
        <w:tc>
          <w:tcPr>
            <w:tcW w:w="6920" w:type="dxa"/>
          </w:tcPr>
          <w:p w14:paraId="06F01AE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British thermal units</w:t>
            </w:r>
          </w:p>
        </w:tc>
      </w:tr>
      <w:tr w:rsidR="00C95C96" w:rsidRPr="00AA34B3" w14:paraId="69AE785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7D356C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MMcf</w:t>
            </w:r>
            <w:r w:rsidR="006B79B7">
              <w:rPr>
                <w:rFonts w:asciiTheme="minorHAnsi" w:hAnsiTheme="minorHAnsi" w:cs="Arial"/>
                <w:b/>
                <w:szCs w:val="18"/>
              </w:rPr>
              <w:t>; MMcf/d</w:t>
            </w:r>
          </w:p>
        </w:tc>
        <w:tc>
          <w:tcPr>
            <w:tcW w:w="6920" w:type="dxa"/>
          </w:tcPr>
          <w:p w14:paraId="41B5774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cubic feet</w:t>
            </w:r>
            <w:r w:rsidR="006B79B7">
              <w:rPr>
                <w:rFonts w:asciiTheme="minorHAnsi" w:hAnsiTheme="minorHAnsi" w:cs="Arial"/>
                <w:szCs w:val="18"/>
              </w:rPr>
              <w:t>; million cubic feet per day</w:t>
            </w:r>
          </w:p>
        </w:tc>
      </w:tr>
      <w:tr w:rsidR="006B79B7" w:rsidRPr="00AA34B3" w14:paraId="5C2C1DA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54CC594" w14:textId="77777777" w:rsidR="006B79B7" w:rsidRDefault="006B79B7" w:rsidP="00C95C96">
            <w:pPr>
              <w:spacing w:after="0"/>
              <w:rPr>
                <w:rFonts w:asciiTheme="minorHAnsi" w:hAnsiTheme="minorHAnsi" w:cs="Arial"/>
                <w:b/>
                <w:szCs w:val="18"/>
              </w:rPr>
            </w:pPr>
            <w:r>
              <w:rPr>
                <w:rFonts w:asciiTheme="minorHAnsi" w:hAnsiTheme="minorHAnsi" w:cs="Arial"/>
                <w:b/>
                <w:szCs w:val="18"/>
              </w:rPr>
              <w:t>M-MVDR</w:t>
            </w:r>
          </w:p>
        </w:tc>
        <w:tc>
          <w:tcPr>
            <w:tcW w:w="6920" w:type="dxa"/>
          </w:tcPr>
          <w:p w14:paraId="4D449C47" w14:textId="77777777" w:rsidR="006B79B7" w:rsidRPr="006B79B7" w:rsidRDefault="006B79B7" w:rsidP="00C95C96">
            <w:pPr>
              <w:spacing w:after="0"/>
              <w:rPr>
                <w:rFonts w:asciiTheme="minorHAnsi" w:hAnsiTheme="minorHAnsi" w:cs="Arial"/>
                <w:szCs w:val="18"/>
              </w:rPr>
            </w:pPr>
            <w:r w:rsidRPr="00E3232A">
              <w:rPr>
                <w:rFonts w:asciiTheme="minorHAnsi" w:hAnsiTheme="minorHAnsi" w:cs="Arial"/>
                <w:i/>
                <w:szCs w:val="18"/>
              </w:rPr>
              <w:t>Manual for Measurement and Verification of On-Peak Demand Resources and Seasonal Peak Demand Resources</w:t>
            </w:r>
            <w:r>
              <w:rPr>
                <w:rFonts w:asciiTheme="minorHAnsi" w:hAnsiTheme="minorHAnsi" w:cs="Arial"/>
                <w:i/>
                <w:szCs w:val="18"/>
              </w:rPr>
              <w:t xml:space="preserve"> </w:t>
            </w:r>
            <w:r>
              <w:rPr>
                <w:rFonts w:asciiTheme="minorHAnsi" w:hAnsiTheme="minorHAnsi" w:cs="Arial"/>
                <w:szCs w:val="18"/>
              </w:rPr>
              <w:t>(ISO New England)</w:t>
            </w:r>
          </w:p>
        </w:tc>
      </w:tr>
      <w:tr w:rsidR="006B79B7" w:rsidRPr="00AA34B3" w14:paraId="7C647B5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37A1238"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MMWG</w:t>
            </w:r>
          </w:p>
        </w:tc>
        <w:tc>
          <w:tcPr>
            <w:tcW w:w="6920" w:type="dxa"/>
          </w:tcPr>
          <w:p w14:paraId="1D19A891" w14:textId="77777777"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Multiregional Modeling Working Group</w:t>
            </w:r>
            <w:r>
              <w:rPr>
                <w:rFonts w:asciiTheme="minorHAnsi" w:hAnsiTheme="minorHAnsi" w:cs="Arial"/>
                <w:szCs w:val="18"/>
              </w:rPr>
              <w:t xml:space="preserve"> (NERC)</w:t>
            </w:r>
          </w:p>
        </w:tc>
      </w:tr>
      <w:tr w:rsidR="00C95C96" w:rsidRPr="00AA34B3" w14:paraId="5A2B803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5DBDEE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MPRP</w:t>
            </w:r>
          </w:p>
        </w:tc>
        <w:tc>
          <w:tcPr>
            <w:tcW w:w="6920" w:type="dxa"/>
          </w:tcPr>
          <w:p w14:paraId="4F03A70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Maine Power Reliability Program</w:t>
            </w:r>
          </w:p>
        </w:tc>
      </w:tr>
      <w:tr w:rsidR="00C95C96" w:rsidRPr="00AA34B3" w14:paraId="1B1DE41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1E2EBE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MRI</w:t>
            </w:r>
          </w:p>
        </w:tc>
        <w:tc>
          <w:tcPr>
            <w:tcW w:w="6920" w:type="dxa"/>
          </w:tcPr>
          <w:p w14:paraId="098053D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marginal-reliability-impact</w:t>
            </w:r>
          </w:p>
        </w:tc>
      </w:tr>
      <w:tr w:rsidR="006B79B7" w:rsidRPr="00AA34B3" w14:paraId="668DF77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4C3C634"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MRIS</w:t>
            </w:r>
          </w:p>
        </w:tc>
        <w:tc>
          <w:tcPr>
            <w:tcW w:w="6920" w:type="dxa"/>
          </w:tcPr>
          <w:p w14:paraId="4597AB28" w14:textId="77777777" w:rsidR="006B79B7" w:rsidRPr="00DD5397" w:rsidRDefault="006B79B7" w:rsidP="00C95C96">
            <w:pPr>
              <w:spacing w:after="0"/>
              <w:rPr>
                <w:rFonts w:asciiTheme="minorHAnsi" w:hAnsiTheme="minorHAnsi" w:cs="Arial"/>
                <w:i/>
                <w:szCs w:val="18"/>
              </w:rPr>
            </w:pPr>
            <w:r w:rsidRPr="00DD5397">
              <w:rPr>
                <w:rFonts w:asciiTheme="minorHAnsi" w:hAnsiTheme="minorHAnsi" w:cs="Arial"/>
                <w:i/>
                <w:szCs w:val="18"/>
              </w:rPr>
              <w:t>Maine Resource Integration Study</w:t>
            </w:r>
          </w:p>
        </w:tc>
      </w:tr>
      <w:tr w:rsidR="006B79B7" w:rsidRPr="00AA34B3" w14:paraId="1ACE98D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F5AA90D"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MRO-MISO</w:t>
            </w:r>
          </w:p>
        </w:tc>
        <w:tc>
          <w:tcPr>
            <w:tcW w:w="6920" w:type="dxa"/>
          </w:tcPr>
          <w:p w14:paraId="0414535C" w14:textId="77777777" w:rsidR="006B79B7" w:rsidRPr="00AA34B3" w:rsidRDefault="006B79B7" w:rsidP="006B79B7">
            <w:pPr>
              <w:spacing w:after="0"/>
              <w:rPr>
                <w:rFonts w:asciiTheme="minorHAnsi" w:hAnsiTheme="minorHAnsi" w:cs="Arial"/>
                <w:szCs w:val="18"/>
              </w:rPr>
            </w:pPr>
            <w:r w:rsidRPr="006B79B7">
              <w:rPr>
                <w:rFonts w:asciiTheme="minorHAnsi" w:hAnsiTheme="minorHAnsi" w:cs="Arial"/>
                <w:szCs w:val="18"/>
              </w:rPr>
              <w:t>Midwest Reliability Organization-Midcontinent ISO</w:t>
            </w:r>
          </w:p>
        </w:tc>
      </w:tr>
      <w:tr w:rsidR="006B79B7" w:rsidRPr="00AA34B3" w14:paraId="42B5C11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2C9135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MTF</w:t>
            </w:r>
          </w:p>
        </w:tc>
        <w:tc>
          <w:tcPr>
            <w:tcW w:w="6920" w:type="dxa"/>
          </w:tcPr>
          <w:p w14:paraId="76F8D2A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merchant transmission facility</w:t>
            </w:r>
          </w:p>
        </w:tc>
      </w:tr>
      <w:tr w:rsidR="006B79B7" w:rsidRPr="00AA34B3" w14:paraId="2262392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1BD3BF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mtons</w:t>
            </w:r>
          </w:p>
        </w:tc>
        <w:tc>
          <w:tcPr>
            <w:tcW w:w="6920" w:type="dxa"/>
          </w:tcPr>
          <w:p w14:paraId="63B142F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million tons</w:t>
            </w:r>
          </w:p>
        </w:tc>
      </w:tr>
      <w:tr w:rsidR="006B79B7" w:rsidRPr="00AA34B3" w14:paraId="03AD34C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D381F1B" w14:textId="77777777" w:rsidR="006C19DA" w:rsidRPr="00AA34B3" w:rsidRDefault="006C19DA" w:rsidP="00C95C96">
            <w:pPr>
              <w:spacing w:after="0"/>
              <w:rPr>
                <w:rFonts w:asciiTheme="minorHAnsi" w:hAnsiTheme="minorHAnsi" w:cs="Arial"/>
                <w:b/>
                <w:szCs w:val="18"/>
              </w:rPr>
            </w:pPr>
            <w:r w:rsidRPr="00AA34B3">
              <w:rPr>
                <w:rFonts w:asciiTheme="minorHAnsi" w:hAnsiTheme="minorHAnsi" w:cs="Arial"/>
                <w:b/>
                <w:szCs w:val="18"/>
              </w:rPr>
              <w:t>MVA</w:t>
            </w:r>
          </w:p>
        </w:tc>
        <w:tc>
          <w:tcPr>
            <w:tcW w:w="6920" w:type="dxa"/>
          </w:tcPr>
          <w:p w14:paraId="5D0E2BA5" w14:textId="77777777" w:rsidR="006C19DA" w:rsidRPr="00AA34B3" w:rsidRDefault="006C19DA" w:rsidP="00D10561">
            <w:pPr>
              <w:spacing w:after="0"/>
              <w:rPr>
                <w:rFonts w:asciiTheme="minorHAnsi" w:hAnsiTheme="minorHAnsi" w:cs="Arial"/>
                <w:szCs w:val="18"/>
              </w:rPr>
            </w:pPr>
            <w:r w:rsidRPr="00AA34B3">
              <w:t>million volt-ampere</w:t>
            </w:r>
          </w:p>
        </w:tc>
      </w:tr>
      <w:tr w:rsidR="006B79B7" w:rsidRPr="00AA34B3" w14:paraId="4C1FEEF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6CF90D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MVAR</w:t>
            </w:r>
          </w:p>
        </w:tc>
        <w:tc>
          <w:tcPr>
            <w:tcW w:w="6920" w:type="dxa"/>
          </w:tcPr>
          <w:p w14:paraId="03F43EF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megavolt-ampere reactive</w:t>
            </w:r>
          </w:p>
        </w:tc>
      </w:tr>
      <w:tr w:rsidR="006B79B7" w:rsidRPr="00AA34B3" w14:paraId="7E17C1F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01FF2F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w:t>
            </w:r>
          </w:p>
        </w:tc>
        <w:tc>
          <w:tcPr>
            <w:tcW w:w="6920" w:type="dxa"/>
          </w:tcPr>
          <w:p w14:paraId="64B7E6A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megawatt(s)</w:t>
            </w:r>
          </w:p>
        </w:tc>
      </w:tr>
      <w:tr w:rsidR="006B79B7" w:rsidRPr="00AA34B3" w14:paraId="196FBC2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0785B1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AC</w:t>
            </w:r>
          </w:p>
        </w:tc>
        <w:tc>
          <w:tcPr>
            <w:tcW w:w="6920" w:type="dxa"/>
          </w:tcPr>
          <w:p w14:paraId="544C97FE" w14:textId="142CD2BD" w:rsidR="00C95C96" w:rsidRPr="00AA34B3" w:rsidRDefault="00C95C96" w:rsidP="0029072E">
            <w:pPr>
              <w:spacing w:after="0"/>
              <w:rPr>
                <w:rFonts w:asciiTheme="minorHAnsi" w:hAnsiTheme="minorHAnsi" w:cs="Arial"/>
                <w:szCs w:val="18"/>
              </w:rPr>
            </w:pPr>
            <w:r w:rsidRPr="00AA34B3">
              <w:rPr>
                <w:rFonts w:asciiTheme="minorHAnsi" w:hAnsiTheme="minorHAnsi" w:cs="Arial"/>
                <w:szCs w:val="18"/>
              </w:rPr>
              <w:t>the megawatts converted from the direct-current electricity produced by the photovoltaic panels to alter</w:t>
            </w:r>
            <w:r w:rsidR="0029072E">
              <w:rPr>
                <w:rFonts w:asciiTheme="minorHAnsi" w:hAnsiTheme="minorHAnsi" w:cs="Arial"/>
                <w:szCs w:val="18"/>
              </w:rPr>
              <w:t>nating</w:t>
            </w:r>
            <w:r w:rsidRPr="00AA34B3">
              <w:rPr>
                <w:rFonts w:asciiTheme="minorHAnsi" w:hAnsiTheme="minorHAnsi" w:cs="Arial"/>
                <w:szCs w:val="18"/>
              </w:rPr>
              <w:t xml:space="preserve"> current, which typically is supplied to utility customers </w:t>
            </w:r>
          </w:p>
        </w:tc>
      </w:tr>
      <w:tr w:rsidR="006B79B7" w:rsidRPr="00AA34B3" w14:paraId="6E7C24E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E90CAB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w:t>
            </w:r>
            <w:r w:rsidRPr="00AA34B3">
              <w:rPr>
                <w:rFonts w:asciiTheme="minorHAnsi" w:hAnsiTheme="minorHAnsi" w:cs="Arial"/>
                <w:b/>
                <w:szCs w:val="18"/>
                <w:vertAlign w:val="subscript"/>
              </w:rPr>
              <w:t>DC</w:t>
            </w:r>
          </w:p>
        </w:tc>
        <w:tc>
          <w:tcPr>
            <w:tcW w:w="6920" w:type="dxa"/>
          </w:tcPr>
          <w:p w14:paraId="43BE16C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the megawatts generated by photovoltaic panels, which produce direct-current electricity </w:t>
            </w:r>
          </w:p>
        </w:tc>
      </w:tr>
      <w:tr w:rsidR="006B79B7" w:rsidRPr="00AA34B3" w14:paraId="4D8815B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BA0D1F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MWe</w:t>
            </w:r>
          </w:p>
        </w:tc>
        <w:tc>
          <w:tcPr>
            <w:tcW w:w="6920" w:type="dxa"/>
          </w:tcPr>
          <w:p w14:paraId="53A3C9F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electrical megawatts (of nuclear power plants)</w:t>
            </w:r>
          </w:p>
        </w:tc>
      </w:tr>
      <w:tr w:rsidR="006B79B7" w:rsidRPr="00AA34B3" w14:paraId="65C6B2F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8B7146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MWh</w:t>
            </w:r>
          </w:p>
        </w:tc>
        <w:tc>
          <w:tcPr>
            <w:tcW w:w="6920" w:type="dxa"/>
          </w:tcPr>
          <w:p w14:paraId="2295BED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megawatt-hour(s)</w:t>
            </w:r>
          </w:p>
        </w:tc>
      </w:tr>
      <w:tr w:rsidR="006B79B7" w:rsidRPr="00AA34B3" w14:paraId="1465720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2CB9EE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w:t>
            </w:r>
          </w:p>
        </w:tc>
        <w:tc>
          <w:tcPr>
            <w:tcW w:w="6920" w:type="dxa"/>
          </w:tcPr>
          <w:p w14:paraId="289C6F4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first-contingency loss</w:t>
            </w:r>
          </w:p>
        </w:tc>
      </w:tr>
      <w:tr w:rsidR="006B79B7" w:rsidRPr="00AA34B3" w14:paraId="0F2F2EA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2D32BD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N-1-1</w:t>
            </w:r>
          </w:p>
        </w:tc>
        <w:tc>
          <w:tcPr>
            <w:tcW w:w="6920" w:type="dxa"/>
          </w:tcPr>
          <w:p w14:paraId="4A468A2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second-contingency loss</w:t>
            </w:r>
          </w:p>
        </w:tc>
      </w:tr>
      <w:tr w:rsidR="006B79B7" w:rsidRPr="00AA34B3" w14:paraId="241204F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01E45E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w:t>
            </w:r>
          </w:p>
        </w:tc>
        <w:tc>
          <w:tcPr>
            <w:tcW w:w="6920" w:type="dxa"/>
          </w:tcPr>
          <w:p w14:paraId="446CFC2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not applicable</w:t>
            </w:r>
          </w:p>
        </w:tc>
      </w:tr>
      <w:tr w:rsidR="006B79B7" w:rsidRPr="00AA34B3" w14:paraId="30C5975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25626D0" w14:textId="77777777" w:rsidR="00C95C96" w:rsidRPr="00AA34B3" w:rsidRDefault="00C95C96" w:rsidP="00C95C96">
            <w:pPr>
              <w:spacing w:after="0"/>
              <w:rPr>
                <w:rFonts w:asciiTheme="minorHAnsi" w:hAnsiTheme="minorHAnsi" w:cs="Arial"/>
                <w:b/>
                <w:bCs/>
                <w:szCs w:val="18"/>
                <w:highlight w:val="yellow"/>
              </w:rPr>
            </w:pPr>
            <w:r w:rsidRPr="00AA34B3">
              <w:rPr>
                <w:rFonts w:asciiTheme="minorHAnsi" w:hAnsiTheme="minorHAnsi" w:cs="Arial"/>
                <w:b/>
                <w:szCs w:val="18"/>
              </w:rPr>
              <w:t>NAESB</w:t>
            </w:r>
          </w:p>
        </w:tc>
        <w:tc>
          <w:tcPr>
            <w:tcW w:w="6920" w:type="dxa"/>
          </w:tcPr>
          <w:p w14:paraId="1E1BEFA7" w14:textId="77777777" w:rsidR="00C95C96" w:rsidRPr="00AA34B3" w:rsidRDefault="00C95C96" w:rsidP="00C95C96">
            <w:pPr>
              <w:spacing w:after="0"/>
              <w:rPr>
                <w:rFonts w:asciiTheme="minorHAnsi" w:hAnsiTheme="minorHAnsi" w:cs="Arial"/>
                <w:szCs w:val="18"/>
                <w:highlight w:val="yellow"/>
              </w:rPr>
            </w:pPr>
            <w:r w:rsidRPr="00AA34B3">
              <w:rPr>
                <w:rFonts w:asciiTheme="minorHAnsi" w:hAnsiTheme="minorHAnsi" w:cs="Arial"/>
                <w:szCs w:val="18"/>
              </w:rPr>
              <w:t>North American Energy Standards Board</w:t>
            </w:r>
          </w:p>
        </w:tc>
      </w:tr>
      <w:tr w:rsidR="006B79B7" w:rsidRPr="00AA34B3" w14:paraId="725780E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74B848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NARUC</w:t>
            </w:r>
          </w:p>
        </w:tc>
        <w:tc>
          <w:tcPr>
            <w:tcW w:w="6920" w:type="dxa"/>
          </w:tcPr>
          <w:p w14:paraId="1727F10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Association of Regulatory Utility Commissioners</w:t>
            </w:r>
          </w:p>
        </w:tc>
      </w:tr>
      <w:tr w:rsidR="006B79B7" w:rsidRPr="00AA34B3" w14:paraId="250DD5B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1F8D717"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NASEO</w:t>
            </w:r>
          </w:p>
        </w:tc>
        <w:tc>
          <w:tcPr>
            <w:tcW w:w="6920" w:type="dxa"/>
          </w:tcPr>
          <w:p w14:paraId="6260579C" w14:textId="77777777" w:rsidR="006B79B7" w:rsidRPr="00AA34B3" w:rsidRDefault="006B79B7" w:rsidP="00C95C96">
            <w:pPr>
              <w:spacing w:after="0"/>
              <w:rPr>
                <w:rFonts w:asciiTheme="minorHAnsi" w:hAnsiTheme="minorHAnsi" w:cs="Arial"/>
                <w:szCs w:val="18"/>
              </w:rPr>
            </w:pPr>
            <w:r>
              <w:rPr>
                <w:rFonts w:asciiTheme="minorHAnsi" w:hAnsiTheme="minorHAnsi" w:cs="Arial"/>
                <w:szCs w:val="18"/>
              </w:rPr>
              <w:t>National Association of State Energy Offices</w:t>
            </w:r>
          </w:p>
        </w:tc>
      </w:tr>
      <w:tr w:rsidR="006B79B7" w:rsidRPr="00AA34B3" w14:paraId="3F49D9C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ECD73E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lastRenderedPageBreak/>
              <w:t>NB</w:t>
            </w:r>
          </w:p>
        </w:tc>
        <w:tc>
          <w:tcPr>
            <w:tcW w:w="6920" w:type="dxa"/>
          </w:tcPr>
          <w:p w14:paraId="4AE32567" w14:textId="77777777" w:rsidR="00C95C96" w:rsidRPr="00AA34B3" w:rsidRDefault="00C95C96" w:rsidP="00C95C96">
            <w:pPr>
              <w:spacing w:after="0"/>
              <w:rPr>
                <w:rFonts w:asciiTheme="minorHAnsi" w:eastAsia="Times New Roman" w:hAnsiTheme="minorHAnsi"/>
                <w:szCs w:val="18"/>
              </w:rPr>
            </w:pPr>
            <w:r w:rsidRPr="00AA34B3">
              <w:rPr>
                <w:rFonts w:asciiTheme="minorHAnsi" w:hAnsiTheme="minorHAnsi" w:cs="Arial"/>
                <w:szCs w:val="18"/>
              </w:rPr>
              <w:t>1) Province of New Brunswick</w:t>
            </w:r>
            <w:r w:rsidRPr="00AA34B3">
              <w:rPr>
                <w:rFonts w:asciiTheme="minorHAnsi" w:eastAsia="Times New Roman" w:hAnsiTheme="minorHAnsi"/>
                <w:szCs w:val="18"/>
              </w:rPr>
              <w:t xml:space="preserve"> </w:t>
            </w:r>
          </w:p>
          <w:p w14:paraId="071EAFC5" w14:textId="77777777" w:rsidR="00C95C96" w:rsidRPr="00AA34B3" w:rsidRDefault="00C95C96" w:rsidP="00C95C96">
            <w:pPr>
              <w:spacing w:after="0"/>
              <w:rPr>
                <w:rFonts w:asciiTheme="minorHAnsi" w:hAnsiTheme="minorHAnsi" w:cs="Arial"/>
                <w:szCs w:val="18"/>
              </w:rPr>
            </w:pPr>
            <w:r w:rsidRPr="00AA34B3">
              <w:rPr>
                <w:rFonts w:asciiTheme="minorHAnsi" w:eastAsia="Times New Roman" w:hAnsiTheme="minorHAnsi"/>
                <w:szCs w:val="18"/>
              </w:rPr>
              <w:t>2) New Brunswick (Maritimes) balancing authority area</w:t>
            </w:r>
          </w:p>
        </w:tc>
      </w:tr>
      <w:tr w:rsidR="006B79B7" w:rsidRPr="00AA34B3" w14:paraId="46A524E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F339C0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NCEP</w:t>
            </w:r>
          </w:p>
        </w:tc>
        <w:tc>
          <w:tcPr>
            <w:tcW w:w="6920" w:type="dxa"/>
          </w:tcPr>
          <w:p w14:paraId="49F4928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National Council for Electricity Policy</w:t>
            </w:r>
          </w:p>
        </w:tc>
      </w:tr>
      <w:tr w:rsidR="006B79B7" w:rsidRPr="00AA34B3" w14:paraId="115D419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886453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NCPC</w:t>
            </w:r>
          </w:p>
        </w:tc>
        <w:tc>
          <w:tcPr>
            <w:tcW w:w="6920" w:type="dxa"/>
          </w:tcPr>
          <w:p w14:paraId="6219C31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Commitment-Period Compensation</w:t>
            </w:r>
          </w:p>
        </w:tc>
      </w:tr>
      <w:tr w:rsidR="006B79B7" w:rsidRPr="00AA34B3" w14:paraId="4825A90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1A9EC3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NCSPXY</w:t>
            </w:r>
          </w:p>
        </w:tc>
        <w:tc>
          <w:tcPr>
            <w:tcW w:w="6920" w:type="dxa"/>
          </w:tcPr>
          <w:p w14:paraId="2ED8A4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Coordinated System Plan 20XY</w:t>
            </w:r>
          </w:p>
        </w:tc>
      </w:tr>
      <w:tr w:rsidR="006B79B7" w:rsidRPr="00AA34B3" w14:paraId="5687070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7D30C7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n.d.</w:t>
            </w:r>
          </w:p>
        </w:tc>
        <w:tc>
          <w:tcPr>
            <w:tcW w:w="6920" w:type="dxa"/>
          </w:tcPr>
          <w:p w14:paraId="2692530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 date</w:t>
            </w:r>
          </w:p>
        </w:tc>
      </w:tr>
      <w:tr w:rsidR="006B79B7" w:rsidRPr="00AA34B3" w14:paraId="566B38A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5269F0C"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NECEC</w:t>
            </w:r>
          </w:p>
        </w:tc>
        <w:tc>
          <w:tcPr>
            <w:tcW w:w="6920" w:type="dxa"/>
          </w:tcPr>
          <w:p w14:paraId="05B0459D" w14:textId="77777777"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Clean Energy Connect (Central Maine Power)</w:t>
            </w:r>
          </w:p>
        </w:tc>
      </w:tr>
      <w:tr w:rsidR="006B79B7" w:rsidRPr="00AA34B3" w14:paraId="7B1E1A0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A6852D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NECPUC</w:t>
            </w:r>
          </w:p>
        </w:tc>
        <w:tc>
          <w:tcPr>
            <w:tcW w:w="6920" w:type="dxa"/>
          </w:tcPr>
          <w:p w14:paraId="3F3F514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Conference of Public Utilities Commissioners</w:t>
            </w:r>
          </w:p>
        </w:tc>
      </w:tr>
      <w:tr w:rsidR="006B79B7" w:rsidRPr="00AA34B3" w14:paraId="404C90F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CDAA8A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NEEWS</w:t>
            </w:r>
          </w:p>
        </w:tc>
        <w:tc>
          <w:tcPr>
            <w:tcW w:w="6920" w:type="dxa"/>
          </w:tcPr>
          <w:p w14:paraId="7B8534E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East–West Solution</w:t>
            </w:r>
          </w:p>
        </w:tc>
      </w:tr>
      <w:tr w:rsidR="006B79B7" w:rsidRPr="00AA34B3" w14:paraId="38095EF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462FD92" w14:textId="77777777" w:rsidR="006B79B7" w:rsidRPr="00AA34B3" w:rsidRDefault="006B79B7" w:rsidP="006B79B7">
            <w:pPr>
              <w:spacing w:after="0"/>
              <w:rPr>
                <w:rFonts w:asciiTheme="minorHAnsi" w:hAnsiTheme="minorHAnsi" w:cs="Arial"/>
                <w:b/>
                <w:szCs w:val="18"/>
              </w:rPr>
            </w:pPr>
            <w:r>
              <w:rPr>
                <w:rFonts w:asciiTheme="minorHAnsi" w:hAnsiTheme="minorHAnsi" w:cs="Arial"/>
                <w:b/>
                <w:szCs w:val="18"/>
              </w:rPr>
              <w:t>NEG-ECP</w:t>
            </w:r>
          </w:p>
        </w:tc>
        <w:tc>
          <w:tcPr>
            <w:tcW w:w="6920" w:type="dxa"/>
          </w:tcPr>
          <w:p w14:paraId="74A6A4B3" w14:textId="77777777" w:rsidR="006B79B7" w:rsidRPr="00AA34B3" w:rsidRDefault="006B79B7" w:rsidP="00C95C96">
            <w:pPr>
              <w:spacing w:after="0"/>
              <w:rPr>
                <w:rFonts w:asciiTheme="minorHAnsi" w:hAnsiTheme="minorHAnsi" w:cs="Arial"/>
                <w:szCs w:val="18"/>
              </w:rPr>
            </w:pPr>
            <w:r>
              <w:rPr>
                <w:rFonts w:asciiTheme="minorHAnsi" w:hAnsiTheme="minorHAnsi" w:cs="Arial"/>
                <w:szCs w:val="18"/>
              </w:rPr>
              <w:t>New England Governors-Eastern Canadian Premiers</w:t>
            </w:r>
          </w:p>
        </w:tc>
      </w:tr>
      <w:tr w:rsidR="006B79B7" w:rsidRPr="00AA34B3" w14:paraId="241F4B5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A8DE268"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NEL</w:t>
            </w:r>
          </w:p>
        </w:tc>
        <w:tc>
          <w:tcPr>
            <w:tcW w:w="6920" w:type="dxa"/>
          </w:tcPr>
          <w:p w14:paraId="1033891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energy for load</w:t>
            </w:r>
          </w:p>
        </w:tc>
      </w:tr>
      <w:tr w:rsidR="006B79B7" w:rsidRPr="00AA34B3" w14:paraId="24694CD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F9A187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w:t>
            </w:r>
          </w:p>
        </w:tc>
        <w:tc>
          <w:tcPr>
            <w:tcW w:w="6920" w:type="dxa"/>
          </w:tcPr>
          <w:p w14:paraId="35A9F24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for northeast Massachusetts</w:t>
            </w:r>
            <w:r w:rsidRPr="00AA34B3">
              <w:t xml:space="preserve"> </w:t>
            </w:r>
          </w:p>
          <w:p w14:paraId="53C0BEE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Northeast Massachusetts load zone</w:t>
            </w:r>
          </w:p>
        </w:tc>
      </w:tr>
      <w:tr w:rsidR="006B79B7" w:rsidRPr="00AA34B3" w14:paraId="28AFA4E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6B667B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NEMA/Boston</w:t>
            </w:r>
          </w:p>
        </w:tc>
        <w:tc>
          <w:tcPr>
            <w:tcW w:w="6920" w:type="dxa"/>
          </w:tcPr>
          <w:p w14:paraId="4EB4CDF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combined load zone that includes northeast Massachusetts and the Boston area</w:t>
            </w:r>
          </w:p>
          <w:p w14:paraId="094F30EA" w14:textId="77777777"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capacity zone, including the area within the Boston import interface and comprising the RSP bubble for BOSTON</w:t>
            </w:r>
          </w:p>
          <w:p w14:paraId="3E1437D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reserve zone</w:t>
            </w:r>
          </w:p>
        </w:tc>
      </w:tr>
      <w:tr w:rsidR="006B79B7" w:rsidRPr="00AA34B3" w14:paraId="07B6E79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555EB4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NEPOOL</w:t>
            </w:r>
          </w:p>
        </w:tc>
        <w:tc>
          <w:tcPr>
            <w:tcW w:w="6920" w:type="dxa"/>
          </w:tcPr>
          <w:p w14:paraId="7C313B2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Power Pool</w:t>
            </w:r>
          </w:p>
        </w:tc>
      </w:tr>
      <w:tr w:rsidR="006B79B7" w:rsidRPr="00AA34B3" w14:paraId="6B1EDF3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EE03E8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NERC</w:t>
            </w:r>
          </w:p>
        </w:tc>
        <w:tc>
          <w:tcPr>
            <w:tcW w:w="6920" w:type="dxa"/>
          </w:tcPr>
          <w:p w14:paraId="4BCBF91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 American Electric Reliability Corporation</w:t>
            </w:r>
          </w:p>
        </w:tc>
      </w:tr>
      <w:tr w:rsidR="00CF4541" w:rsidRPr="00AA34B3" w14:paraId="75E5EDC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A65F2E3"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NESCAUM</w:t>
            </w:r>
          </w:p>
        </w:tc>
        <w:tc>
          <w:tcPr>
            <w:tcW w:w="6920" w:type="dxa"/>
          </w:tcPr>
          <w:p w14:paraId="5423A10A" w14:textId="77777777" w:rsidR="00CF4541" w:rsidRPr="00AA34B3" w:rsidRDefault="00CF4541" w:rsidP="00C95C96">
            <w:pPr>
              <w:spacing w:after="0"/>
              <w:rPr>
                <w:rFonts w:asciiTheme="minorHAnsi" w:hAnsiTheme="minorHAnsi" w:cs="Arial"/>
                <w:szCs w:val="18"/>
              </w:rPr>
            </w:pPr>
            <w:r w:rsidRPr="00CF4541">
              <w:rPr>
                <w:rFonts w:asciiTheme="minorHAnsi" w:hAnsiTheme="minorHAnsi" w:cs="Arial"/>
                <w:szCs w:val="18"/>
              </w:rPr>
              <w:t>Northeast States for Coordinated Air Use Management</w:t>
            </w:r>
          </w:p>
        </w:tc>
      </w:tr>
      <w:tr w:rsidR="006B79B7" w:rsidRPr="00AA34B3" w14:paraId="26AC42E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0DFA96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NESCOE</w:t>
            </w:r>
          </w:p>
        </w:tc>
        <w:tc>
          <w:tcPr>
            <w:tcW w:w="6920" w:type="dxa"/>
          </w:tcPr>
          <w:p w14:paraId="6F72EAF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England States Committee on Electricity</w:t>
            </w:r>
          </w:p>
        </w:tc>
      </w:tr>
      <w:tr w:rsidR="006B79B7" w:rsidRPr="00AA34B3" w14:paraId="533A91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98F242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New Hampshire</w:t>
            </w:r>
          </w:p>
        </w:tc>
        <w:tc>
          <w:tcPr>
            <w:tcW w:w="6920" w:type="dxa"/>
          </w:tcPr>
          <w:p w14:paraId="4369F72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1BBD08E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8EB725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w:t>
            </w:r>
          </w:p>
        </w:tc>
        <w:tc>
          <w:tcPr>
            <w:tcW w:w="6920" w:type="dxa"/>
          </w:tcPr>
          <w:p w14:paraId="4B8DA9C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Hampshire</w:t>
            </w:r>
          </w:p>
          <w:p w14:paraId="14B7FA89" w14:textId="77777777"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RSP subarea comprising northern, eastern, and central New Hampshire; eastern Vermont; and southwestern Maine</w:t>
            </w:r>
          </w:p>
          <w:p w14:paraId="7113242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New Hampshire load zone</w:t>
            </w:r>
          </w:p>
          <w:p w14:paraId="065F93F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4) New Hampshire active-demand-resource dispatch zone</w:t>
            </w:r>
          </w:p>
        </w:tc>
      </w:tr>
      <w:tr w:rsidR="006B79B7" w:rsidRPr="00AA34B3" w14:paraId="13C775B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E0A93E1"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NH DES</w:t>
            </w:r>
          </w:p>
        </w:tc>
        <w:tc>
          <w:tcPr>
            <w:tcW w:w="6920" w:type="dxa"/>
          </w:tcPr>
          <w:p w14:paraId="36D7E70C" w14:textId="77777777" w:rsidR="006B79B7" w:rsidRPr="00AA34B3" w:rsidRDefault="006B79B7" w:rsidP="00C95C96">
            <w:pPr>
              <w:spacing w:after="0"/>
              <w:rPr>
                <w:rFonts w:asciiTheme="minorHAnsi" w:hAnsiTheme="minorHAnsi" w:cs="Arial"/>
                <w:szCs w:val="18"/>
              </w:rPr>
            </w:pPr>
            <w:r>
              <w:rPr>
                <w:rFonts w:asciiTheme="minorHAnsi" w:hAnsiTheme="minorHAnsi" w:cs="Arial"/>
                <w:szCs w:val="18"/>
              </w:rPr>
              <w:t>New Hampshire Department of Environmental Services</w:t>
            </w:r>
          </w:p>
        </w:tc>
      </w:tr>
      <w:tr w:rsidR="006B79B7" w:rsidRPr="00AA34B3" w14:paraId="7924EF2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5FB32A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NH PUC</w:t>
            </w:r>
          </w:p>
        </w:tc>
        <w:tc>
          <w:tcPr>
            <w:tcW w:w="6920" w:type="dxa"/>
          </w:tcPr>
          <w:p w14:paraId="70D3670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Hampshire Public Utilities Commission</w:t>
            </w:r>
          </w:p>
        </w:tc>
      </w:tr>
      <w:tr w:rsidR="006B79B7" w:rsidRPr="00AA34B3" w14:paraId="4F52774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8F89DFE"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NICE</w:t>
            </w:r>
          </w:p>
        </w:tc>
        <w:tc>
          <w:tcPr>
            <w:tcW w:w="6920" w:type="dxa"/>
          </w:tcPr>
          <w:p w14:paraId="14D1CA81" w14:textId="77777777" w:rsidR="006B79B7" w:rsidRPr="00AA34B3" w:rsidRDefault="006B79B7" w:rsidP="00C95C96">
            <w:pPr>
              <w:spacing w:after="0"/>
              <w:rPr>
                <w:rFonts w:asciiTheme="minorHAnsi" w:hAnsiTheme="minorHAnsi" w:cs="Arial"/>
                <w:szCs w:val="18"/>
              </w:rPr>
            </w:pPr>
            <w:r w:rsidRPr="006B79B7">
              <w:rPr>
                <w:rFonts w:asciiTheme="minorHAnsi" w:hAnsiTheme="minorHAnsi" w:cs="Arial"/>
                <w:szCs w:val="18"/>
              </w:rPr>
              <w:t>Northeast International Committee on Energy</w:t>
            </w:r>
          </w:p>
        </w:tc>
      </w:tr>
      <w:tr w:rsidR="006B79B7" w:rsidRPr="00AA34B3" w14:paraId="3A247A6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9B7A6E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NICR</w:t>
            </w:r>
          </w:p>
        </w:tc>
        <w:tc>
          <w:tcPr>
            <w:tcW w:w="6920" w:type="dxa"/>
          </w:tcPr>
          <w:p w14:paraId="058AD54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net Installed Capacity Requirement</w:t>
            </w:r>
          </w:p>
        </w:tc>
      </w:tr>
      <w:tr w:rsidR="006B79B7" w:rsidRPr="00AA34B3" w14:paraId="217EF5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477AB90" w14:textId="77777777" w:rsidR="006B79B7" w:rsidRPr="00AA34B3" w:rsidRDefault="006B79B7" w:rsidP="00C95C96">
            <w:pPr>
              <w:spacing w:after="0"/>
              <w:rPr>
                <w:rFonts w:asciiTheme="minorHAnsi" w:hAnsiTheme="minorHAnsi" w:cs="Arial"/>
                <w:b/>
                <w:szCs w:val="18"/>
              </w:rPr>
            </w:pPr>
            <w:r>
              <w:rPr>
                <w:rFonts w:asciiTheme="minorHAnsi" w:hAnsiTheme="minorHAnsi" w:cs="Arial"/>
                <w:b/>
                <w:szCs w:val="18"/>
              </w:rPr>
              <w:t>NGA</w:t>
            </w:r>
          </w:p>
        </w:tc>
        <w:tc>
          <w:tcPr>
            <w:tcW w:w="6920" w:type="dxa"/>
          </w:tcPr>
          <w:p w14:paraId="1DFD825D" w14:textId="77777777" w:rsidR="006B79B7" w:rsidRPr="00AA34B3" w:rsidRDefault="006B79B7" w:rsidP="00C95C96">
            <w:pPr>
              <w:spacing w:after="0"/>
              <w:rPr>
                <w:rFonts w:asciiTheme="minorHAnsi" w:hAnsiTheme="minorHAnsi" w:cs="Arial"/>
                <w:szCs w:val="18"/>
              </w:rPr>
            </w:pPr>
            <w:r>
              <w:rPr>
                <w:rFonts w:asciiTheme="minorHAnsi" w:hAnsiTheme="minorHAnsi" w:cs="Arial"/>
                <w:szCs w:val="18"/>
              </w:rPr>
              <w:t>Northeast Gas Association</w:t>
            </w:r>
          </w:p>
        </w:tc>
      </w:tr>
      <w:tr w:rsidR="006B79B7" w:rsidRPr="00AA34B3" w14:paraId="46061767"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E9B9B3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NMISA</w:t>
            </w:r>
          </w:p>
        </w:tc>
        <w:tc>
          <w:tcPr>
            <w:tcW w:w="6920" w:type="dxa"/>
          </w:tcPr>
          <w:p w14:paraId="529F582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Maine Independent System Administrator, Inc.</w:t>
            </w:r>
          </w:p>
        </w:tc>
      </w:tr>
      <w:tr w:rsidR="006B79B7" w:rsidRPr="00AA34B3" w14:paraId="50EA0EE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2BCA39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NNE</w:t>
            </w:r>
          </w:p>
        </w:tc>
        <w:tc>
          <w:tcPr>
            <w:tcW w:w="6920" w:type="dxa"/>
          </w:tcPr>
          <w:p w14:paraId="49DC6AD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northern New England</w:t>
            </w:r>
          </w:p>
          <w:p w14:paraId="27FA85C1" w14:textId="77777777" w:rsidR="00C95C96" w:rsidRPr="00AA34B3" w:rsidRDefault="00C95C96" w:rsidP="00C95C96">
            <w:pPr>
              <w:spacing w:after="0"/>
              <w:ind w:left="173" w:hanging="173"/>
              <w:rPr>
                <w:rFonts w:asciiTheme="minorHAnsi" w:hAnsiTheme="minorHAnsi" w:cs="Arial"/>
                <w:szCs w:val="18"/>
              </w:rPr>
            </w:pPr>
            <w:r w:rsidRPr="00AA34B3">
              <w:rPr>
                <w:rFonts w:asciiTheme="minorHAnsi" w:hAnsiTheme="minorHAnsi" w:cs="Arial"/>
                <w:szCs w:val="18"/>
              </w:rPr>
              <w:t>2) export-constrained capacity zone, which includes the area north of the North–South interface and comprises the RSP bubbles for BHE, ME, SME, NH, and VT</w:t>
            </w:r>
          </w:p>
        </w:tc>
      </w:tr>
      <w:tr w:rsidR="006B79B7" w:rsidRPr="00AA34B3" w14:paraId="46E4C8AB" w14:textId="77777777" w:rsidTr="00327CD2">
        <w:trPr>
          <w:cnfStyle w:val="000000010000" w:firstRow="0" w:lastRow="0" w:firstColumn="0" w:lastColumn="0" w:oddVBand="0" w:evenVBand="0" w:oddHBand="0" w:evenHBand="1" w:firstRowFirstColumn="0" w:firstRowLastColumn="0" w:lastRowFirstColumn="0" w:lastRowLastColumn="0"/>
          <w:trHeight w:val="182"/>
        </w:trPr>
        <w:tc>
          <w:tcPr>
            <w:tcW w:w="2074" w:type="dxa"/>
          </w:tcPr>
          <w:p w14:paraId="3E4BCE2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w:t>
            </w:r>
          </w:p>
        </w:tc>
        <w:tc>
          <w:tcPr>
            <w:tcW w:w="6920" w:type="dxa"/>
          </w:tcPr>
          <w:p w14:paraId="7D30742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number</w:t>
            </w:r>
          </w:p>
        </w:tc>
      </w:tr>
      <w:tr w:rsidR="006B79B7" w:rsidRPr="00AA34B3" w14:paraId="1EB39F7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1F3337E" w14:textId="77777777" w:rsidR="006B79B7" w:rsidRPr="00AA34B3" w:rsidRDefault="006B79B7" w:rsidP="00C95C96">
            <w:pPr>
              <w:spacing w:after="0"/>
              <w:rPr>
                <w:rFonts w:asciiTheme="minorHAnsi" w:hAnsiTheme="minorHAnsi" w:cs="Arial"/>
                <w:b/>
                <w:bCs/>
                <w:szCs w:val="18"/>
              </w:rPr>
            </w:pPr>
            <w:r>
              <w:rPr>
                <w:rFonts w:asciiTheme="minorHAnsi" w:hAnsiTheme="minorHAnsi" w:cs="Arial"/>
                <w:b/>
                <w:bCs/>
                <w:szCs w:val="18"/>
              </w:rPr>
              <w:t>NOPR</w:t>
            </w:r>
          </w:p>
        </w:tc>
        <w:tc>
          <w:tcPr>
            <w:tcW w:w="6920" w:type="dxa"/>
          </w:tcPr>
          <w:p w14:paraId="7A0B4DC6" w14:textId="77777777" w:rsidR="006B79B7" w:rsidRPr="00AA34B3" w:rsidRDefault="006B79B7" w:rsidP="006B79B7">
            <w:pPr>
              <w:spacing w:after="0"/>
              <w:rPr>
                <w:rFonts w:asciiTheme="minorHAnsi" w:hAnsiTheme="minorHAnsi" w:cs="Arial"/>
                <w:szCs w:val="18"/>
              </w:rPr>
            </w:pPr>
            <w:r>
              <w:rPr>
                <w:rFonts w:asciiTheme="minorHAnsi" w:hAnsiTheme="minorHAnsi" w:cs="Arial"/>
                <w:szCs w:val="18"/>
              </w:rPr>
              <w:t>notice of proposed rulemaking</w:t>
            </w:r>
          </w:p>
        </w:tc>
      </w:tr>
      <w:tr w:rsidR="006B79B7" w:rsidRPr="00AA34B3" w14:paraId="6F569FE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BF864E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NOR</w:t>
            </w:r>
          </w:p>
        </w:tc>
        <w:tc>
          <w:tcPr>
            <w:tcW w:w="6920" w:type="dxa"/>
          </w:tcPr>
          <w:p w14:paraId="3344BEC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that includes Norwalk and Stamford, Connecticut</w:t>
            </w:r>
          </w:p>
        </w:tc>
      </w:tr>
      <w:tr w:rsidR="006B79B7" w:rsidRPr="00AA34B3" w14:paraId="490F5FE1" w14:textId="77777777"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14:paraId="6940ED5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Northern CT</w:t>
            </w:r>
          </w:p>
        </w:tc>
        <w:tc>
          <w:tcPr>
            <w:tcW w:w="6920" w:type="dxa"/>
          </w:tcPr>
          <w:p w14:paraId="7ADE9BE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Northern Connecticut active-demand-resource dispatch zone</w:t>
            </w:r>
          </w:p>
        </w:tc>
      </w:tr>
      <w:tr w:rsidR="006B79B7" w:rsidRPr="00AA34B3" w14:paraId="2CEC5AEC" w14:textId="77777777"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14:paraId="6DDE23D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Northshore</w:t>
            </w:r>
          </w:p>
        </w:tc>
        <w:tc>
          <w:tcPr>
            <w:tcW w:w="6920" w:type="dxa"/>
          </w:tcPr>
          <w:p w14:paraId="7E12A90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62060D3B" w14:textId="77777777"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14:paraId="0268EBAD"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Northwest Vermont</w:t>
            </w:r>
          </w:p>
        </w:tc>
        <w:tc>
          <w:tcPr>
            <w:tcW w:w="6920" w:type="dxa"/>
          </w:tcPr>
          <w:p w14:paraId="0E25FA7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628E73E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D36802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Norwalk-Stamford</w:t>
            </w:r>
          </w:p>
        </w:tc>
        <w:tc>
          <w:tcPr>
            <w:tcW w:w="6920" w:type="dxa"/>
          </w:tcPr>
          <w:p w14:paraId="4EDF2B5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7500107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E017A2E"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NO</w:t>
            </w:r>
            <w:r w:rsidRPr="00AA34B3">
              <w:rPr>
                <w:rFonts w:asciiTheme="minorHAnsi" w:hAnsiTheme="minorHAnsi" w:cs="Arial"/>
                <w:b/>
                <w:szCs w:val="18"/>
                <w:vertAlign w:val="subscript"/>
              </w:rPr>
              <w:t>X</w:t>
            </w:r>
          </w:p>
        </w:tc>
        <w:tc>
          <w:tcPr>
            <w:tcW w:w="6920" w:type="dxa"/>
          </w:tcPr>
          <w:p w14:paraId="69B8E39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nitrogen oxide(s)</w:t>
            </w:r>
          </w:p>
        </w:tc>
      </w:tr>
      <w:tr w:rsidR="006B79B7" w:rsidRPr="00AA34B3" w14:paraId="6D3DA74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E85762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NPCC</w:t>
            </w:r>
          </w:p>
        </w:tc>
        <w:tc>
          <w:tcPr>
            <w:tcW w:w="6920" w:type="dxa"/>
          </w:tcPr>
          <w:p w14:paraId="0113BCC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Northeast Power Coordinating Council, Inc.</w:t>
            </w:r>
          </w:p>
        </w:tc>
      </w:tr>
      <w:tr w:rsidR="006B79B7" w:rsidRPr="00AA34B3" w14:paraId="195B258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1476D91" w14:textId="77777777" w:rsidR="006B79B7" w:rsidRPr="00AA34B3" w:rsidRDefault="006B79B7" w:rsidP="00C95C96">
            <w:pPr>
              <w:spacing w:after="0"/>
              <w:rPr>
                <w:rFonts w:asciiTheme="minorHAnsi" w:hAnsiTheme="minorHAnsi" w:cs="Arial"/>
                <w:b/>
                <w:snapToGrid w:val="0"/>
                <w:szCs w:val="18"/>
              </w:rPr>
            </w:pPr>
            <w:r>
              <w:rPr>
                <w:rFonts w:asciiTheme="minorHAnsi" w:hAnsiTheme="minorHAnsi" w:cs="Arial"/>
                <w:b/>
                <w:snapToGrid w:val="0"/>
                <w:szCs w:val="18"/>
              </w:rPr>
              <w:t>NPDES</w:t>
            </w:r>
          </w:p>
        </w:tc>
        <w:tc>
          <w:tcPr>
            <w:tcW w:w="6920" w:type="dxa"/>
          </w:tcPr>
          <w:p w14:paraId="5C433528" w14:textId="77777777" w:rsidR="006B79B7" w:rsidRPr="00AA34B3" w:rsidRDefault="006B79B7" w:rsidP="00C95C96">
            <w:pPr>
              <w:spacing w:after="0"/>
              <w:rPr>
                <w:rFonts w:asciiTheme="minorHAnsi" w:hAnsiTheme="minorHAnsi" w:cs="Arial"/>
                <w:snapToGrid w:val="0"/>
                <w:szCs w:val="18"/>
              </w:rPr>
            </w:pPr>
            <w:r>
              <w:rPr>
                <w:rFonts w:asciiTheme="minorHAnsi" w:hAnsiTheme="minorHAnsi" w:cs="Arial"/>
                <w:snapToGrid w:val="0"/>
                <w:szCs w:val="18"/>
              </w:rPr>
              <w:t>National Pollution Discharge Elimination System (US EPA)</w:t>
            </w:r>
          </w:p>
        </w:tc>
      </w:tr>
      <w:tr w:rsidR="006B79B7" w:rsidRPr="00AA34B3" w14:paraId="745EB34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8BACE3B" w14:textId="77777777"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t>NRC</w:t>
            </w:r>
          </w:p>
        </w:tc>
        <w:tc>
          <w:tcPr>
            <w:tcW w:w="6920" w:type="dxa"/>
          </w:tcPr>
          <w:p w14:paraId="11869DC1"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Nuclear Regulatory Commission (US)</w:t>
            </w:r>
          </w:p>
        </w:tc>
      </w:tr>
      <w:tr w:rsidR="006B79B7" w:rsidRPr="00AA34B3" w14:paraId="6FD52B7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0118808" w14:textId="77777777" w:rsidR="00C95C96" w:rsidRPr="00AA34B3" w:rsidRDefault="00C95C96" w:rsidP="00C95C96">
            <w:pPr>
              <w:spacing w:after="0"/>
              <w:rPr>
                <w:rFonts w:asciiTheme="minorHAnsi" w:hAnsiTheme="minorHAnsi" w:cs="Arial"/>
                <w:b/>
                <w:snapToGrid w:val="0"/>
                <w:szCs w:val="18"/>
              </w:rPr>
            </w:pPr>
            <w:r w:rsidRPr="00AA34B3">
              <w:rPr>
                <w:rFonts w:asciiTheme="minorHAnsi" w:hAnsiTheme="minorHAnsi" w:cs="Arial"/>
                <w:b/>
                <w:snapToGrid w:val="0"/>
                <w:szCs w:val="18"/>
              </w:rPr>
              <w:lastRenderedPageBreak/>
              <w:t>NREL</w:t>
            </w:r>
          </w:p>
        </w:tc>
        <w:tc>
          <w:tcPr>
            <w:tcW w:w="6920" w:type="dxa"/>
          </w:tcPr>
          <w:p w14:paraId="6B9C8CDF"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National Renewable Energy Laboratory (US DOE)</w:t>
            </w:r>
          </w:p>
        </w:tc>
      </w:tr>
      <w:tr w:rsidR="006B79B7" w:rsidRPr="00AA34B3" w14:paraId="4496072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FF24A9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w:t>
            </w:r>
          </w:p>
        </w:tc>
        <w:tc>
          <w:tcPr>
            <w:tcW w:w="6920" w:type="dxa"/>
          </w:tcPr>
          <w:p w14:paraId="6D23E67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New York</w:t>
            </w:r>
          </w:p>
          <w:p w14:paraId="154CF66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New York Balancing Authority Area</w:t>
            </w:r>
          </w:p>
        </w:tc>
      </w:tr>
      <w:tr w:rsidR="006B79B7" w:rsidRPr="00AA34B3" w14:paraId="08BC136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A9DBB1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NYISO</w:t>
            </w:r>
          </w:p>
        </w:tc>
        <w:tc>
          <w:tcPr>
            <w:tcW w:w="6920" w:type="dxa"/>
          </w:tcPr>
          <w:p w14:paraId="20200DB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New York Independent System Operator</w:t>
            </w:r>
          </w:p>
        </w:tc>
      </w:tr>
      <w:tr w:rsidR="006B79B7" w:rsidRPr="00AA34B3" w14:paraId="5B60C36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24241E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NY</w:t>
            </w:r>
            <w:r w:rsidR="006B79B7">
              <w:rPr>
                <w:rFonts w:asciiTheme="minorHAnsi" w:hAnsiTheme="minorHAnsi" w:cs="Arial"/>
                <w:b/>
                <w:szCs w:val="18"/>
              </w:rPr>
              <w:t>S-DEC</w:t>
            </w:r>
          </w:p>
        </w:tc>
        <w:tc>
          <w:tcPr>
            <w:tcW w:w="6920" w:type="dxa"/>
          </w:tcPr>
          <w:p w14:paraId="32E6CD5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New York </w:t>
            </w:r>
            <w:r w:rsidR="006B79B7">
              <w:rPr>
                <w:rFonts w:asciiTheme="minorHAnsi" w:hAnsiTheme="minorHAnsi" w:cs="Arial"/>
                <w:szCs w:val="18"/>
              </w:rPr>
              <w:t>State Department of Environmental Conservation</w:t>
            </w:r>
          </w:p>
        </w:tc>
      </w:tr>
      <w:tr w:rsidR="00CF4541" w:rsidRPr="00AA34B3" w14:paraId="24D4906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A34E165"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NYMEX</w:t>
            </w:r>
          </w:p>
        </w:tc>
        <w:tc>
          <w:tcPr>
            <w:tcW w:w="6920" w:type="dxa"/>
          </w:tcPr>
          <w:p w14:paraId="49B7A227"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New York Mercantile Exchange</w:t>
            </w:r>
          </w:p>
        </w:tc>
      </w:tr>
      <w:tr w:rsidR="006B79B7" w:rsidRPr="00AA34B3" w14:paraId="5BF2039A"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9B592C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w:t>
            </w:r>
            <w:r w:rsidRPr="00AA34B3">
              <w:rPr>
                <w:rFonts w:asciiTheme="minorHAnsi" w:hAnsiTheme="minorHAnsi" w:cs="Arial"/>
                <w:b/>
                <w:szCs w:val="18"/>
                <w:vertAlign w:val="subscript"/>
              </w:rPr>
              <w:t>3</w:t>
            </w:r>
          </w:p>
        </w:tc>
        <w:tc>
          <w:tcPr>
            <w:tcW w:w="6920" w:type="dxa"/>
          </w:tcPr>
          <w:p w14:paraId="15CC5BF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ozone</w:t>
            </w:r>
          </w:p>
        </w:tc>
      </w:tr>
      <w:tr w:rsidR="006B79B7" w:rsidRPr="00AA34B3" w14:paraId="29289DA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E810D1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OATT</w:t>
            </w:r>
          </w:p>
        </w:tc>
        <w:tc>
          <w:tcPr>
            <w:tcW w:w="6920" w:type="dxa"/>
          </w:tcPr>
          <w:p w14:paraId="67E07656" w14:textId="77777777" w:rsidR="00C95C96" w:rsidRPr="00AA34B3" w:rsidRDefault="00C95C96" w:rsidP="00C95C96">
            <w:pPr>
              <w:spacing w:after="0"/>
              <w:rPr>
                <w:rFonts w:asciiTheme="minorHAnsi" w:hAnsiTheme="minorHAnsi" w:cs="Arial"/>
                <w:i/>
                <w:szCs w:val="18"/>
              </w:rPr>
            </w:pPr>
            <w:r w:rsidRPr="00AA34B3">
              <w:rPr>
                <w:rFonts w:asciiTheme="minorHAnsi" w:hAnsiTheme="minorHAnsi" w:cs="Arial"/>
                <w:i/>
                <w:szCs w:val="18"/>
              </w:rPr>
              <w:t>Open Access Transmission Tariff</w:t>
            </w:r>
          </w:p>
        </w:tc>
      </w:tr>
      <w:tr w:rsidR="00CF4541" w:rsidRPr="00AA34B3" w14:paraId="1B9251E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63401E8"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OP</w:t>
            </w:r>
          </w:p>
        </w:tc>
        <w:tc>
          <w:tcPr>
            <w:tcW w:w="6920" w:type="dxa"/>
          </w:tcPr>
          <w:p w14:paraId="6439E1A5" w14:textId="77777777" w:rsidR="00CF4541" w:rsidRPr="00AA34B3" w:rsidRDefault="00665234" w:rsidP="00665234">
            <w:pPr>
              <w:spacing w:after="0"/>
              <w:rPr>
                <w:rFonts w:asciiTheme="minorHAnsi" w:hAnsiTheme="minorHAnsi" w:cs="Arial"/>
                <w:szCs w:val="18"/>
              </w:rPr>
            </w:pPr>
            <w:r>
              <w:rPr>
                <w:rFonts w:asciiTheme="minorHAnsi" w:hAnsiTheme="minorHAnsi" w:cs="Arial"/>
                <w:szCs w:val="18"/>
              </w:rPr>
              <w:t>O</w:t>
            </w:r>
            <w:r w:rsidR="00CF4541">
              <w:rPr>
                <w:rFonts w:asciiTheme="minorHAnsi" w:hAnsiTheme="minorHAnsi" w:cs="Arial"/>
                <w:szCs w:val="18"/>
              </w:rPr>
              <w:t>perating</w:t>
            </w:r>
            <w:r>
              <w:rPr>
                <w:rFonts w:asciiTheme="minorHAnsi" w:hAnsiTheme="minorHAnsi" w:cs="Arial"/>
                <w:szCs w:val="18"/>
              </w:rPr>
              <w:t>; operating date</w:t>
            </w:r>
          </w:p>
        </w:tc>
      </w:tr>
      <w:tr w:rsidR="006B79B7" w:rsidRPr="00AA34B3" w14:paraId="5575C28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75CF86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4</w:t>
            </w:r>
          </w:p>
        </w:tc>
        <w:tc>
          <w:tcPr>
            <w:tcW w:w="6920" w:type="dxa"/>
          </w:tcPr>
          <w:p w14:paraId="24B1D64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4, </w:t>
            </w:r>
            <w:r w:rsidRPr="00AA34B3">
              <w:rPr>
                <w:rFonts w:asciiTheme="minorHAnsi" w:hAnsiTheme="minorHAnsi" w:cs="Arial"/>
                <w:i/>
                <w:iCs/>
                <w:szCs w:val="18"/>
              </w:rPr>
              <w:t>Action during a Capacity Deficiency</w:t>
            </w:r>
          </w:p>
        </w:tc>
      </w:tr>
      <w:tr w:rsidR="006B79B7" w:rsidRPr="00AA34B3" w14:paraId="4CDEAE1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1B5588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7</w:t>
            </w:r>
          </w:p>
        </w:tc>
        <w:tc>
          <w:tcPr>
            <w:tcW w:w="6920" w:type="dxa"/>
          </w:tcPr>
          <w:p w14:paraId="451189C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7, </w:t>
            </w:r>
            <w:r w:rsidRPr="00AA34B3">
              <w:rPr>
                <w:rFonts w:asciiTheme="minorHAnsi" w:hAnsiTheme="minorHAnsi" w:cs="Arial"/>
                <w:i/>
                <w:iCs/>
                <w:szCs w:val="18"/>
              </w:rPr>
              <w:t>Action in an Emergency</w:t>
            </w:r>
          </w:p>
        </w:tc>
      </w:tr>
      <w:tr w:rsidR="006B79B7" w:rsidRPr="00AA34B3" w14:paraId="34FF81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5C9A7A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8</w:t>
            </w:r>
          </w:p>
        </w:tc>
        <w:tc>
          <w:tcPr>
            <w:tcW w:w="6920" w:type="dxa"/>
          </w:tcPr>
          <w:p w14:paraId="7431C92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8, </w:t>
            </w:r>
            <w:r w:rsidRPr="00AA34B3">
              <w:rPr>
                <w:rFonts w:asciiTheme="minorHAnsi" w:hAnsiTheme="minorHAnsi" w:cs="Arial"/>
                <w:i/>
                <w:iCs/>
                <w:szCs w:val="18"/>
              </w:rPr>
              <w:t>Operating Reserve and Regulation</w:t>
            </w:r>
          </w:p>
        </w:tc>
      </w:tr>
      <w:tr w:rsidR="006B79B7" w:rsidRPr="00AA34B3" w14:paraId="0A834C6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9167C0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OP 14</w:t>
            </w:r>
          </w:p>
        </w:tc>
        <w:tc>
          <w:tcPr>
            <w:tcW w:w="6920" w:type="dxa"/>
          </w:tcPr>
          <w:p w14:paraId="7EA13BE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14, </w:t>
            </w:r>
            <w:r w:rsidRPr="00AA34B3">
              <w:rPr>
                <w:rFonts w:asciiTheme="minorHAnsi" w:hAnsiTheme="minorHAnsi" w:cs="Arial"/>
                <w:i/>
                <w:szCs w:val="18"/>
              </w:rPr>
              <w:t>Technical Requirements for Generators, Demand Resources, Asset-Related Demands, and Alternative Technology Regulation Resources</w:t>
            </w:r>
          </w:p>
        </w:tc>
      </w:tr>
      <w:tr w:rsidR="006B79B7" w:rsidRPr="00AA34B3" w14:paraId="451F559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A16FCA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OP 19</w:t>
            </w:r>
          </w:p>
        </w:tc>
        <w:tc>
          <w:tcPr>
            <w:tcW w:w="6920" w:type="dxa"/>
          </w:tcPr>
          <w:p w14:paraId="0EE6BE4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 xml:space="preserve">ISO Operating Procedure No. 19, </w:t>
            </w:r>
            <w:r w:rsidRPr="00AA34B3">
              <w:rPr>
                <w:rFonts w:asciiTheme="minorHAnsi" w:hAnsiTheme="minorHAnsi" w:cs="Arial"/>
                <w:i/>
                <w:iCs/>
                <w:szCs w:val="18"/>
              </w:rPr>
              <w:t>Transmission Operations</w:t>
            </w:r>
          </w:p>
        </w:tc>
      </w:tr>
      <w:tr w:rsidR="006B79B7" w:rsidRPr="00AA34B3" w14:paraId="366835E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E23052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PAC</w:t>
            </w:r>
          </w:p>
        </w:tc>
        <w:tc>
          <w:tcPr>
            <w:tcW w:w="6920" w:type="dxa"/>
          </w:tcPr>
          <w:p w14:paraId="008982B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Planning Advisory Committee</w:t>
            </w:r>
          </w:p>
        </w:tc>
      </w:tr>
      <w:tr w:rsidR="00CF4541" w:rsidRPr="00AA34B3" w14:paraId="5CC2801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6E93BE2"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PC</w:t>
            </w:r>
          </w:p>
        </w:tc>
        <w:tc>
          <w:tcPr>
            <w:tcW w:w="6920" w:type="dxa"/>
          </w:tcPr>
          <w:p w14:paraId="4CAB254B" w14:textId="77777777" w:rsidR="00CF4541" w:rsidRPr="00AA34B3" w:rsidRDefault="00CF4541" w:rsidP="00C95C96">
            <w:pPr>
              <w:spacing w:after="0"/>
              <w:rPr>
                <w:rFonts w:asciiTheme="minorHAnsi" w:hAnsiTheme="minorHAnsi" w:cs="Arial"/>
                <w:snapToGrid w:val="0"/>
                <w:szCs w:val="18"/>
              </w:rPr>
            </w:pPr>
            <w:r>
              <w:rPr>
                <w:rFonts w:asciiTheme="minorHAnsi" w:hAnsiTheme="minorHAnsi" w:cs="Arial"/>
                <w:snapToGrid w:val="0"/>
                <w:szCs w:val="18"/>
              </w:rPr>
              <w:t>Participants Committee (NEPOOL)</w:t>
            </w:r>
          </w:p>
        </w:tc>
      </w:tr>
      <w:tr w:rsidR="006B79B7" w:rsidRPr="00AA34B3" w14:paraId="71878E5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CB7F38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PDR</w:t>
            </w:r>
          </w:p>
        </w:tc>
        <w:tc>
          <w:tcPr>
            <w:tcW w:w="6920" w:type="dxa"/>
          </w:tcPr>
          <w:p w14:paraId="280561D9"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passive demand resource</w:t>
            </w:r>
          </w:p>
        </w:tc>
      </w:tr>
      <w:tr w:rsidR="006B79B7" w:rsidRPr="00AA34B3" w14:paraId="1325E1F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86C3E2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PG</w:t>
            </w:r>
          </w:p>
        </w:tc>
        <w:tc>
          <w:tcPr>
            <w:tcW w:w="6920" w:type="dxa"/>
          </w:tcPr>
          <w:p w14:paraId="6B9A2261"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Pittsfield–Greenfield</w:t>
            </w:r>
          </w:p>
        </w:tc>
      </w:tr>
      <w:tr w:rsidR="006B79B7" w:rsidRPr="00AA34B3" w14:paraId="3E0E1AA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F59BA6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PJM</w:t>
            </w:r>
          </w:p>
        </w:tc>
        <w:tc>
          <w:tcPr>
            <w:tcW w:w="6920" w:type="dxa"/>
          </w:tcPr>
          <w:p w14:paraId="205027A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PJM Interconnection LLC; the RTO for all or parts of Delaware, Illinois, Indiana, Kentucky, Maryland, Michigan, New Jersey, North Carolina, Ohio, Pennsylvania, Tennessee, Virginia, and the District of Columbia</w:t>
            </w:r>
          </w:p>
        </w:tc>
      </w:tr>
      <w:tr w:rsidR="006B79B7" w:rsidRPr="00AA34B3" w14:paraId="33CE4E19"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E20F1C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p>
        </w:tc>
        <w:tc>
          <w:tcPr>
            <w:tcW w:w="6920" w:type="dxa"/>
          </w:tcPr>
          <w:p w14:paraId="10E81DDC"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particulate matter</w:t>
            </w:r>
          </w:p>
        </w:tc>
      </w:tr>
      <w:tr w:rsidR="006B79B7" w:rsidRPr="00AA34B3" w14:paraId="5575672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C96F25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w:t>
            </w:r>
            <w:r w:rsidRPr="00AA34B3">
              <w:rPr>
                <w:rFonts w:asciiTheme="minorHAnsi" w:hAnsiTheme="minorHAnsi" w:cs="Arial"/>
                <w:b/>
                <w:szCs w:val="18"/>
                <w:vertAlign w:val="subscript"/>
              </w:rPr>
              <w:t>2.5</w:t>
            </w:r>
          </w:p>
        </w:tc>
        <w:tc>
          <w:tcPr>
            <w:tcW w:w="6920" w:type="dxa"/>
          </w:tcPr>
          <w:p w14:paraId="15DCDF76" w14:textId="77777777" w:rsidR="00C95C96" w:rsidRPr="00AA34B3" w:rsidRDefault="00C95C96" w:rsidP="00C95C96">
            <w:pPr>
              <w:spacing w:after="0"/>
              <w:rPr>
                <w:rFonts w:asciiTheme="minorHAnsi" w:hAnsiTheme="minorHAnsi" w:cs="Arial"/>
                <w:snapToGrid w:val="0"/>
                <w:szCs w:val="18"/>
              </w:rPr>
            </w:pPr>
            <w:r w:rsidRPr="00AA34B3">
              <w:rPr>
                <w:rFonts w:asciiTheme="minorHAnsi" w:hAnsiTheme="minorHAnsi" w:cs="Arial"/>
                <w:snapToGrid w:val="0"/>
                <w:szCs w:val="18"/>
              </w:rPr>
              <w:t>fine particulate matter</w:t>
            </w:r>
          </w:p>
        </w:tc>
      </w:tr>
      <w:tr w:rsidR="006B79B7" w:rsidRPr="00AA34B3" w14:paraId="2F547B3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402AF8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PMU</w:t>
            </w:r>
          </w:p>
        </w:tc>
        <w:tc>
          <w:tcPr>
            <w:tcW w:w="6920" w:type="dxa"/>
          </w:tcPr>
          <w:p w14:paraId="4615045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napToGrid w:val="0"/>
                <w:szCs w:val="18"/>
              </w:rPr>
              <w:t>phasor measurement unit</w:t>
            </w:r>
          </w:p>
        </w:tc>
      </w:tr>
      <w:tr w:rsidR="006B79B7" w:rsidRPr="00AA34B3" w14:paraId="374B718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706A46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PNGTS</w:t>
            </w:r>
          </w:p>
        </w:tc>
        <w:tc>
          <w:tcPr>
            <w:tcW w:w="6920" w:type="dxa"/>
          </w:tcPr>
          <w:p w14:paraId="34DDAD3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Natural Gas Transmission System</w:t>
            </w:r>
          </w:p>
        </w:tc>
      </w:tr>
      <w:tr w:rsidR="006B79B7" w:rsidRPr="00AA34B3" w14:paraId="6E003C0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44FDBC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pnode</w:t>
            </w:r>
          </w:p>
        </w:tc>
        <w:tc>
          <w:tcPr>
            <w:tcW w:w="6920" w:type="dxa"/>
          </w:tcPr>
          <w:p w14:paraId="66AF4BE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pricing node</w:t>
            </w:r>
          </w:p>
        </w:tc>
      </w:tr>
      <w:tr w:rsidR="006B79B7" w:rsidRPr="00AA34B3" w14:paraId="682D95FB"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A0CBC1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Portland, ME</w:t>
            </w:r>
          </w:p>
        </w:tc>
        <w:tc>
          <w:tcPr>
            <w:tcW w:w="6920" w:type="dxa"/>
          </w:tcPr>
          <w:p w14:paraId="759820C2"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Portland, Maine, active-demand-resource dispatch zone</w:t>
            </w:r>
          </w:p>
        </w:tc>
      </w:tr>
      <w:tr w:rsidR="006B79B7" w:rsidRPr="00AA34B3" w14:paraId="10E7AB58"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7DFA06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 3</w:t>
            </w:r>
          </w:p>
        </w:tc>
        <w:tc>
          <w:tcPr>
            <w:tcW w:w="6920" w:type="dxa"/>
          </w:tcPr>
          <w:p w14:paraId="1919E15F" w14:textId="5D839F46" w:rsidR="00C95C96" w:rsidRPr="00AA34B3" w:rsidRDefault="00C95C96" w:rsidP="0029072E">
            <w:pPr>
              <w:spacing w:after="0"/>
              <w:rPr>
                <w:rFonts w:asciiTheme="minorHAnsi" w:hAnsiTheme="minorHAnsi" w:cs="Arial"/>
                <w:szCs w:val="18"/>
              </w:rPr>
            </w:pPr>
            <w:r w:rsidRPr="00AA34B3">
              <w:rPr>
                <w:rFonts w:asciiTheme="minorHAnsi" w:hAnsiTheme="minorHAnsi" w:cs="Arial"/>
                <w:szCs w:val="18"/>
              </w:rPr>
              <w:t xml:space="preserve">ISO Planning Procedure No. </w:t>
            </w:r>
            <w:r w:rsidR="0029072E">
              <w:rPr>
                <w:rFonts w:asciiTheme="minorHAnsi" w:hAnsiTheme="minorHAnsi" w:cs="Arial"/>
                <w:szCs w:val="18"/>
              </w:rPr>
              <w:t>3</w:t>
            </w:r>
            <w:r w:rsidRPr="00AA34B3">
              <w:rPr>
                <w:rFonts w:asciiTheme="minorHAnsi" w:hAnsiTheme="minorHAnsi" w:cs="Arial"/>
                <w:szCs w:val="18"/>
              </w:rPr>
              <w:t xml:space="preserve">, </w:t>
            </w:r>
            <w:r w:rsidRPr="00AA34B3">
              <w:rPr>
                <w:rFonts w:asciiTheme="minorHAnsi" w:hAnsiTheme="minorHAnsi" w:cs="Arial"/>
                <w:i/>
                <w:szCs w:val="18"/>
              </w:rPr>
              <w:t>Reliability Standards for the New England Area Pool Transmission Facilities</w:t>
            </w:r>
          </w:p>
        </w:tc>
      </w:tr>
      <w:tr w:rsidR="006B79B7" w:rsidRPr="00AA34B3" w14:paraId="51D1601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2A4FA6E"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PP 10</w:t>
            </w:r>
          </w:p>
        </w:tc>
        <w:tc>
          <w:tcPr>
            <w:tcW w:w="6920" w:type="dxa"/>
          </w:tcPr>
          <w:p w14:paraId="2E280EED" w14:textId="77777777"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szCs w:val="18"/>
              </w:rPr>
              <w:t xml:space="preserve">ISO Planning Procedure No. 10, </w:t>
            </w:r>
            <w:r w:rsidRPr="00AA34B3">
              <w:rPr>
                <w:rFonts w:asciiTheme="minorHAnsi" w:hAnsiTheme="minorHAnsi" w:cs="Arial"/>
                <w:i/>
                <w:szCs w:val="18"/>
              </w:rPr>
              <w:t>Planning Procedure to Support the Forward Capacity Market</w:t>
            </w:r>
          </w:p>
        </w:tc>
      </w:tr>
      <w:tr w:rsidR="006B79B7" w:rsidRPr="00AA34B3" w14:paraId="76A8F98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85FD221"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PPA</w:t>
            </w:r>
          </w:p>
        </w:tc>
        <w:tc>
          <w:tcPr>
            <w:tcW w:w="6920" w:type="dxa"/>
          </w:tcPr>
          <w:p w14:paraId="3F0D2749" w14:textId="77777777" w:rsidR="00C95C96" w:rsidRPr="00AA34B3" w:rsidRDefault="00B5039A" w:rsidP="00895B79">
            <w:pPr>
              <w:spacing w:after="0"/>
              <w:rPr>
                <w:rFonts w:asciiTheme="minorHAnsi" w:hAnsiTheme="minorHAnsi" w:cs="Arial"/>
                <w:iCs/>
                <w:szCs w:val="18"/>
              </w:rPr>
            </w:pPr>
            <w:r>
              <w:rPr>
                <w:rFonts w:asciiTheme="minorHAnsi" w:hAnsiTheme="minorHAnsi" w:cs="Arial"/>
                <w:iCs/>
                <w:szCs w:val="18"/>
              </w:rPr>
              <w:t>p</w:t>
            </w:r>
            <w:r w:rsidR="00C95C96" w:rsidRPr="00AA34B3">
              <w:rPr>
                <w:rFonts w:asciiTheme="minorHAnsi" w:hAnsiTheme="minorHAnsi" w:cs="Arial"/>
                <w:iCs/>
                <w:szCs w:val="18"/>
              </w:rPr>
              <w:t xml:space="preserve">roposed </w:t>
            </w:r>
            <w:r w:rsidR="00895B79" w:rsidRPr="00AA34B3">
              <w:rPr>
                <w:rFonts w:asciiTheme="minorHAnsi" w:hAnsiTheme="minorHAnsi" w:cs="Arial"/>
                <w:iCs/>
                <w:szCs w:val="18"/>
              </w:rPr>
              <w:t>p</w:t>
            </w:r>
            <w:r w:rsidR="00C95C96" w:rsidRPr="00AA34B3">
              <w:rPr>
                <w:rFonts w:asciiTheme="minorHAnsi" w:hAnsiTheme="minorHAnsi" w:cs="Arial"/>
                <w:iCs/>
                <w:szCs w:val="18"/>
              </w:rPr>
              <w:t xml:space="preserve">lan </w:t>
            </w:r>
            <w:r w:rsidR="00895B79" w:rsidRPr="00AA34B3">
              <w:rPr>
                <w:rFonts w:asciiTheme="minorHAnsi" w:hAnsiTheme="minorHAnsi" w:cs="Arial"/>
                <w:iCs/>
                <w:szCs w:val="18"/>
              </w:rPr>
              <w:t>a</w:t>
            </w:r>
            <w:r w:rsidR="00C95C96" w:rsidRPr="00AA34B3">
              <w:rPr>
                <w:rFonts w:asciiTheme="minorHAnsi" w:hAnsiTheme="minorHAnsi" w:cs="Arial"/>
                <w:iCs/>
                <w:szCs w:val="18"/>
              </w:rPr>
              <w:t>pplication</w:t>
            </w:r>
          </w:p>
        </w:tc>
      </w:tr>
      <w:tr w:rsidR="006B79B7" w:rsidRPr="00AA34B3" w14:paraId="6AB5317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B7A94D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PPTU</w:t>
            </w:r>
          </w:p>
        </w:tc>
        <w:tc>
          <w:tcPr>
            <w:tcW w:w="6920" w:type="dxa"/>
          </w:tcPr>
          <w:p w14:paraId="38AD4823"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policy transmission upgrade</w:t>
            </w:r>
          </w:p>
        </w:tc>
      </w:tr>
      <w:tr w:rsidR="00CF4541" w:rsidRPr="00AA34B3" w14:paraId="4C45759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4389341"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PRD</w:t>
            </w:r>
          </w:p>
        </w:tc>
        <w:tc>
          <w:tcPr>
            <w:tcW w:w="6920" w:type="dxa"/>
          </w:tcPr>
          <w:p w14:paraId="4975EE58" w14:textId="77777777" w:rsidR="00CF4541" w:rsidRPr="00AA34B3" w:rsidRDefault="00CF4541" w:rsidP="00CF4541">
            <w:pPr>
              <w:spacing w:after="0"/>
              <w:rPr>
                <w:rFonts w:asciiTheme="minorHAnsi" w:hAnsiTheme="minorHAnsi" w:cs="Arial"/>
                <w:iCs/>
                <w:szCs w:val="18"/>
              </w:rPr>
            </w:pPr>
            <w:r>
              <w:rPr>
                <w:rFonts w:asciiTheme="minorHAnsi" w:hAnsiTheme="minorHAnsi" w:cs="Arial"/>
                <w:iCs/>
                <w:szCs w:val="18"/>
              </w:rPr>
              <w:t>price-responsive demand</w:t>
            </w:r>
          </w:p>
        </w:tc>
      </w:tr>
      <w:tr w:rsidR="006B79B7" w:rsidRPr="00AA34B3" w14:paraId="6A74D71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FBE0B76"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PSERC</w:t>
            </w:r>
          </w:p>
        </w:tc>
        <w:tc>
          <w:tcPr>
            <w:tcW w:w="6920" w:type="dxa"/>
          </w:tcPr>
          <w:p w14:paraId="58CA7845"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Power System Engineering Research Center (US DOE)</w:t>
            </w:r>
          </w:p>
        </w:tc>
      </w:tr>
      <w:tr w:rsidR="006B79B7" w:rsidRPr="00AA34B3" w14:paraId="0DF99E7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F6B858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PSNH</w:t>
            </w:r>
          </w:p>
        </w:tc>
        <w:tc>
          <w:tcPr>
            <w:tcW w:w="6920" w:type="dxa"/>
          </w:tcPr>
          <w:p w14:paraId="7AEDC05D"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Service of New Hampshire</w:t>
            </w:r>
          </w:p>
        </w:tc>
      </w:tr>
      <w:tr w:rsidR="00CF4541" w:rsidRPr="00AA34B3" w14:paraId="01976DF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C40ACEB"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PSPC</w:t>
            </w:r>
          </w:p>
        </w:tc>
        <w:tc>
          <w:tcPr>
            <w:tcW w:w="6920" w:type="dxa"/>
          </w:tcPr>
          <w:p w14:paraId="183698FA"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Power Supply Planning Committee (NEPOOL)</w:t>
            </w:r>
          </w:p>
        </w:tc>
      </w:tr>
      <w:tr w:rsidR="006B79B7" w:rsidRPr="00AA34B3" w14:paraId="3A127238"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9633B1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PTF</w:t>
            </w:r>
          </w:p>
        </w:tc>
        <w:tc>
          <w:tcPr>
            <w:tcW w:w="6920" w:type="dxa"/>
          </w:tcPr>
          <w:p w14:paraId="5EDF5D7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pool transmission facility</w:t>
            </w:r>
          </w:p>
        </w:tc>
      </w:tr>
      <w:tr w:rsidR="006B79B7" w:rsidRPr="00AA34B3" w14:paraId="78B95C0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70B49C6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w:t>
            </w:r>
          </w:p>
        </w:tc>
        <w:tc>
          <w:tcPr>
            <w:tcW w:w="6920" w:type="dxa"/>
          </w:tcPr>
          <w:p w14:paraId="5BE1990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w:t>
            </w:r>
          </w:p>
        </w:tc>
      </w:tr>
      <w:tr w:rsidR="006B79B7" w:rsidRPr="00AA34B3" w14:paraId="3BA5747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A0BEC8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PTO-AC</w:t>
            </w:r>
          </w:p>
        </w:tc>
        <w:tc>
          <w:tcPr>
            <w:tcW w:w="6920" w:type="dxa"/>
          </w:tcPr>
          <w:p w14:paraId="367EDB0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Participating Transmission Owner-Administrative Committee</w:t>
            </w:r>
          </w:p>
        </w:tc>
      </w:tr>
      <w:tr w:rsidR="006B79B7" w:rsidRPr="00AA34B3" w14:paraId="744F541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57283D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PUC</w:t>
            </w:r>
          </w:p>
        </w:tc>
        <w:tc>
          <w:tcPr>
            <w:tcW w:w="6920" w:type="dxa"/>
          </w:tcPr>
          <w:p w14:paraId="25381A22" w14:textId="77777777"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Public Utilities Commission (ME, NH, RI, VT)</w:t>
            </w:r>
          </w:p>
        </w:tc>
      </w:tr>
      <w:tr w:rsidR="006B79B7" w:rsidRPr="00AA34B3" w14:paraId="3D4EFCD5"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259794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PURA</w:t>
            </w:r>
          </w:p>
        </w:tc>
        <w:tc>
          <w:tcPr>
            <w:tcW w:w="6920" w:type="dxa"/>
          </w:tcPr>
          <w:p w14:paraId="5D8E75ED"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Public Utilities Regulatory Authority (CT)</w:t>
            </w:r>
          </w:p>
        </w:tc>
      </w:tr>
      <w:tr w:rsidR="006B79B7" w:rsidRPr="00AA34B3" w14:paraId="4AA4173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A465B4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PV</w:t>
            </w:r>
          </w:p>
        </w:tc>
        <w:tc>
          <w:tcPr>
            <w:tcW w:w="6920" w:type="dxa"/>
          </w:tcPr>
          <w:p w14:paraId="1827D1B0" w14:textId="77777777"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photovoltaic</w:t>
            </w:r>
          </w:p>
        </w:tc>
      </w:tr>
      <w:tr w:rsidR="00CF4541" w:rsidRPr="00AA34B3" w14:paraId="25B14B5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41A8CDE"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PXP</w:t>
            </w:r>
          </w:p>
        </w:tc>
        <w:tc>
          <w:tcPr>
            <w:tcW w:w="6920" w:type="dxa"/>
          </w:tcPr>
          <w:p w14:paraId="599AE0DC" w14:textId="77777777" w:rsidR="00CF4541" w:rsidRPr="00AA34B3" w:rsidRDefault="00CF4541" w:rsidP="00C95C96">
            <w:pPr>
              <w:spacing w:after="0"/>
              <w:rPr>
                <w:rFonts w:asciiTheme="minorHAnsi" w:hAnsiTheme="minorHAnsi" w:cs="Arial"/>
                <w:iCs/>
                <w:szCs w:val="18"/>
              </w:rPr>
            </w:pPr>
            <w:r>
              <w:rPr>
                <w:rFonts w:asciiTheme="minorHAnsi" w:hAnsiTheme="minorHAnsi" w:cs="Arial"/>
                <w:iCs/>
                <w:szCs w:val="18"/>
              </w:rPr>
              <w:t>Portland Xpress Project</w:t>
            </w:r>
          </w:p>
        </w:tc>
      </w:tr>
      <w:tr w:rsidR="006B79B7" w:rsidRPr="00AA34B3" w14:paraId="0DE3618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DA30B6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QP</w:t>
            </w:r>
          </w:p>
        </w:tc>
        <w:tc>
          <w:tcPr>
            <w:tcW w:w="6920" w:type="dxa"/>
          </w:tcPr>
          <w:p w14:paraId="12F9A2B3"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queue project</w:t>
            </w:r>
          </w:p>
        </w:tc>
      </w:tr>
      <w:tr w:rsidR="006B79B7" w:rsidRPr="00AA34B3" w14:paraId="038248F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72244B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lastRenderedPageBreak/>
              <w:t>QTPS</w:t>
            </w:r>
          </w:p>
        </w:tc>
        <w:tc>
          <w:tcPr>
            <w:tcW w:w="6920" w:type="dxa"/>
          </w:tcPr>
          <w:p w14:paraId="28B359A1" w14:textId="77777777" w:rsidR="00C95C96" w:rsidRPr="00AA34B3" w:rsidRDefault="00C95C96" w:rsidP="00C95C96">
            <w:pPr>
              <w:spacing w:after="0"/>
              <w:rPr>
                <w:rFonts w:asciiTheme="minorHAnsi" w:hAnsiTheme="minorHAnsi" w:cs="Arial"/>
                <w:iCs/>
                <w:szCs w:val="18"/>
              </w:rPr>
            </w:pPr>
            <w:r w:rsidRPr="00AA34B3">
              <w:rPr>
                <w:rFonts w:asciiTheme="minorHAnsi" w:hAnsiTheme="minorHAnsi" w:cs="Arial"/>
                <w:iCs/>
                <w:szCs w:val="18"/>
              </w:rPr>
              <w:t xml:space="preserve">qualified transmission project sponsor </w:t>
            </w:r>
          </w:p>
        </w:tc>
      </w:tr>
      <w:tr w:rsidR="006B79B7" w:rsidRPr="00AA34B3" w14:paraId="6F97C70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835C62E"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queue (the)</w:t>
            </w:r>
          </w:p>
        </w:tc>
        <w:tc>
          <w:tcPr>
            <w:tcW w:w="6920" w:type="dxa"/>
          </w:tcPr>
          <w:p w14:paraId="0200B120" w14:textId="77777777"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ISO Interconnection Request Queue</w:t>
            </w:r>
          </w:p>
        </w:tc>
      </w:tr>
      <w:tr w:rsidR="006B79B7" w:rsidRPr="00AA34B3" w14:paraId="3036927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CBA5BE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RC</w:t>
            </w:r>
          </w:p>
        </w:tc>
        <w:tc>
          <w:tcPr>
            <w:tcW w:w="6920" w:type="dxa"/>
          </w:tcPr>
          <w:p w14:paraId="0464F5CE" w14:textId="77777777" w:rsidR="00C95C96" w:rsidRPr="00AA34B3" w:rsidRDefault="00C95C96" w:rsidP="00C95C96">
            <w:pPr>
              <w:spacing w:after="0"/>
              <w:rPr>
                <w:rFonts w:asciiTheme="minorHAnsi" w:hAnsiTheme="minorHAnsi" w:cs="Arial"/>
                <w:b/>
                <w:bCs/>
                <w:iCs/>
                <w:szCs w:val="18"/>
              </w:rPr>
            </w:pPr>
            <w:r w:rsidRPr="00AA34B3">
              <w:rPr>
                <w:rFonts w:asciiTheme="minorHAnsi" w:hAnsiTheme="minorHAnsi" w:cs="Arial"/>
                <w:iCs/>
                <w:szCs w:val="18"/>
              </w:rPr>
              <w:t>Reliability Committee</w:t>
            </w:r>
          </w:p>
        </w:tc>
      </w:tr>
      <w:tr w:rsidR="00CF4541" w:rsidRPr="00AA34B3" w14:paraId="70FD29E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89E9728"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RCRA</w:t>
            </w:r>
          </w:p>
        </w:tc>
        <w:tc>
          <w:tcPr>
            <w:tcW w:w="6920" w:type="dxa"/>
          </w:tcPr>
          <w:p w14:paraId="3719B9E4" w14:textId="77777777" w:rsidR="00CF4541" w:rsidRPr="00AA34B3" w:rsidRDefault="00CF4541" w:rsidP="00C95C96">
            <w:pPr>
              <w:spacing w:after="0"/>
              <w:rPr>
                <w:rFonts w:asciiTheme="minorHAnsi" w:hAnsiTheme="minorHAnsi" w:cs="Arial"/>
                <w:szCs w:val="18"/>
              </w:rPr>
            </w:pPr>
            <w:r w:rsidRPr="00E3232A">
              <w:rPr>
                <w:rFonts w:asciiTheme="minorHAnsi" w:hAnsiTheme="minorHAnsi" w:cs="Arial"/>
                <w:i/>
                <w:szCs w:val="18"/>
              </w:rPr>
              <w:t>Resource Conservation and Recovery Act</w:t>
            </w:r>
            <w:r>
              <w:rPr>
                <w:rFonts w:asciiTheme="minorHAnsi" w:hAnsiTheme="minorHAnsi" w:cs="Arial"/>
                <w:szCs w:val="18"/>
              </w:rPr>
              <w:t xml:space="preserve"> (US EPA)</w:t>
            </w:r>
          </w:p>
        </w:tc>
      </w:tr>
      <w:tr w:rsidR="00CF4541" w:rsidRPr="00AA34B3" w14:paraId="3784295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B3E81F4"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REC</w:t>
            </w:r>
          </w:p>
        </w:tc>
        <w:tc>
          <w:tcPr>
            <w:tcW w:w="6920" w:type="dxa"/>
          </w:tcPr>
          <w:p w14:paraId="680C3618"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Energy Certificate</w:t>
            </w:r>
          </w:p>
        </w:tc>
      </w:tr>
      <w:tr w:rsidR="006B79B7" w:rsidRPr="00AA34B3" w14:paraId="3639F98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43384D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REO</w:t>
            </w:r>
          </w:p>
        </w:tc>
        <w:tc>
          <w:tcPr>
            <w:tcW w:w="6920" w:type="dxa"/>
          </w:tcPr>
          <w:p w14:paraId="277B09F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Energy Outlook</w:t>
            </w:r>
          </w:p>
        </w:tc>
      </w:tr>
      <w:tr w:rsidR="006B79B7" w:rsidRPr="00AA34B3" w14:paraId="174C495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925D39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w:t>
            </w:r>
            <w:r w:rsidR="00CF4541">
              <w:rPr>
                <w:rFonts w:asciiTheme="minorHAnsi" w:hAnsiTheme="minorHAnsi" w:cs="Arial"/>
                <w:b/>
                <w:szCs w:val="18"/>
              </w:rPr>
              <w:t>F</w:t>
            </w:r>
          </w:p>
        </w:tc>
        <w:tc>
          <w:tcPr>
            <w:tcW w:w="6920" w:type="dxa"/>
          </w:tcPr>
          <w:p w14:paraId="6B32CF6C" w14:textId="77777777" w:rsidR="00C95C96" w:rsidRPr="00AA34B3" w:rsidRDefault="00CF4541" w:rsidP="00CF4541">
            <w:pPr>
              <w:spacing w:after="0"/>
              <w:rPr>
                <w:rFonts w:asciiTheme="minorHAnsi" w:hAnsiTheme="minorHAnsi" w:cs="Arial"/>
                <w:b/>
                <w:bCs/>
                <w:szCs w:val="18"/>
              </w:rPr>
            </w:pPr>
            <w:r w:rsidRPr="00AA34B3">
              <w:rPr>
                <w:rFonts w:asciiTheme="minorHAnsi" w:hAnsiTheme="minorHAnsi" w:cs="Arial"/>
                <w:szCs w:val="18"/>
              </w:rPr>
              <w:t>Re</w:t>
            </w:r>
            <w:r>
              <w:rPr>
                <w:rFonts w:asciiTheme="minorHAnsi" w:hAnsiTheme="minorHAnsi" w:cs="Arial"/>
                <w:szCs w:val="18"/>
              </w:rPr>
              <w:t>liabilityFirst</w:t>
            </w:r>
          </w:p>
        </w:tc>
      </w:tr>
      <w:tr w:rsidR="006B79B7" w:rsidRPr="00AA34B3" w14:paraId="0905B3D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4A63FAE"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RFP</w:t>
            </w:r>
          </w:p>
        </w:tc>
        <w:tc>
          <w:tcPr>
            <w:tcW w:w="6920" w:type="dxa"/>
          </w:tcPr>
          <w:p w14:paraId="58E5F57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request for proposals</w:t>
            </w:r>
          </w:p>
        </w:tc>
      </w:tr>
      <w:tr w:rsidR="006B79B7" w:rsidRPr="00AA34B3" w14:paraId="564C3170"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AD1E78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RGGI</w:t>
            </w:r>
          </w:p>
        </w:tc>
        <w:tc>
          <w:tcPr>
            <w:tcW w:w="6920" w:type="dxa"/>
          </w:tcPr>
          <w:p w14:paraId="21ABC909"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szCs w:val="18"/>
              </w:rPr>
              <w:t>Regional Greenhouse Gas Initiative</w:t>
            </w:r>
          </w:p>
        </w:tc>
      </w:tr>
      <w:tr w:rsidR="006B79B7" w:rsidRPr="00AA34B3" w14:paraId="2179BEF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411875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RI</w:t>
            </w:r>
          </w:p>
        </w:tc>
        <w:tc>
          <w:tcPr>
            <w:tcW w:w="6920" w:type="dxa"/>
          </w:tcPr>
          <w:p w14:paraId="6F827696"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1) State of Rhode Island</w:t>
            </w:r>
          </w:p>
          <w:p w14:paraId="7B0C5219"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szCs w:val="18"/>
              </w:rPr>
              <w:t>2) RSP subarea that includes the part of Rhode Island bordering Massachusetts</w:t>
            </w:r>
          </w:p>
          <w:p w14:paraId="22B681C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Rhode Island load zone</w:t>
            </w:r>
          </w:p>
          <w:p w14:paraId="4E9E1433" w14:textId="77777777" w:rsidR="00C95C96" w:rsidRPr="00AA34B3" w:rsidRDefault="00C95C96" w:rsidP="00C95C96">
            <w:pPr>
              <w:spacing w:after="0"/>
              <w:rPr>
                <w:rFonts w:asciiTheme="minorHAnsi" w:hAnsiTheme="minorHAnsi" w:cs="Arial"/>
                <w:bCs/>
                <w:szCs w:val="18"/>
              </w:rPr>
            </w:pPr>
            <w:r w:rsidRPr="00AA34B3">
              <w:rPr>
                <w:rFonts w:ascii="Calibri" w:hAnsi="Calibri"/>
              </w:rPr>
              <w:t>4) Rhode Island active-demand-resource dispatch zone</w:t>
            </w:r>
          </w:p>
        </w:tc>
      </w:tr>
      <w:tr w:rsidR="006B79B7" w:rsidRPr="00AA34B3" w14:paraId="24775E50" w14:textId="77777777" w:rsidTr="00327CD2">
        <w:trPr>
          <w:cnfStyle w:val="000000100000" w:firstRow="0" w:lastRow="0" w:firstColumn="0" w:lastColumn="0" w:oddVBand="0" w:evenVBand="0" w:oddHBand="1" w:evenHBand="0" w:firstRowFirstColumn="0" w:firstRowLastColumn="0" w:lastRowFirstColumn="0" w:lastRowLastColumn="0"/>
          <w:trHeight w:val="227"/>
        </w:trPr>
        <w:tc>
          <w:tcPr>
            <w:tcW w:w="2074" w:type="dxa"/>
          </w:tcPr>
          <w:p w14:paraId="56A107A4"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RNS</w:t>
            </w:r>
          </w:p>
        </w:tc>
        <w:tc>
          <w:tcPr>
            <w:tcW w:w="6920" w:type="dxa"/>
          </w:tcPr>
          <w:p w14:paraId="7AAEF19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Network Service</w:t>
            </w:r>
          </w:p>
        </w:tc>
      </w:tr>
      <w:tr w:rsidR="006B79B7" w:rsidRPr="00AA34B3" w14:paraId="0D1A065E" w14:textId="77777777" w:rsidTr="00327CD2">
        <w:trPr>
          <w:cnfStyle w:val="000000010000" w:firstRow="0" w:lastRow="0" w:firstColumn="0" w:lastColumn="0" w:oddVBand="0" w:evenVBand="0" w:oddHBand="0" w:evenHBand="1" w:firstRowFirstColumn="0" w:firstRowLastColumn="0" w:lastRowFirstColumn="0" w:lastRowLastColumn="0"/>
          <w:trHeight w:val="209"/>
        </w:trPr>
        <w:tc>
          <w:tcPr>
            <w:tcW w:w="2074" w:type="dxa"/>
          </w:tcPr>
          <w:p w14:paraId="1269F3E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ROP</w:t>
            </w:r>
          </w:p>
        </w:tc>
        <w:tc>
          <w:tcPr>
            <w:tcW w:w="6920" w:type="dxa"/>
          </w:tcPr>
          <w:p w14:paraId="05BF0B1D"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Rest-of-Pool capacity zone</w:t>
            </w:r>
          </w:p>
        </w:tc>
      </w:tr>
      <w:tr w:rsidR="006B79B7" w:rsidRPr="00AA34B3" w14:paraId="5B475E16" w14:textId="77777777" w:rsidTr="00327CD2">
        <w:trPr>
          <w:cnfStyle w:val="000000100000" w:firstRow="0" w:lastRow="0" w:firstColumn="0" w:lastColumn="0" w:oddVBand="0" w:evenVBand="0" w:oddHBand="1" w:evenHBand="0" w:firstRowFirstColumn="0" w:firstRowLastColumn="0" w:lastRowFirstColumn="0" w:lastRowLastColumn="0"/>
          <w:trHeight w:val="209"/>
        </w:trPr>
        <w:tc>
          <w:tcPr>
            <w:tcW w:w="2074" w:type="dxa"/>
          </w:tcPr>
          <w:p w14:paraId="3A730BC8" w14:textId="77777777" w:rsidR="00C95C96" w:rsidRPr="00E353DF" w:rsidRDefault="00C95C96" w:rsidP="00C95C96">
            <w:pPr>
              <w:spacing w:after="0"/>
              <w:rPr>
                <w:rFonts w:asciiTheme="minorHAnsi" w:hAnsiTheme="minorHAnsi" w:cs="Arial"/>
                <w:b/>
                <w:bCs/>
                <w:szCs w:val="18"/>
              </w:rPr>
            </w:pPr>
            <w:r w:rsidRPr="00E353DF">
              <w:rPr>
                <w:rFonts w:asciiTheme="minorHAnsi" w:hAnsiTheme="minorHAnsi" w:cs="Arial"/>
                <w:b/>
                <w:szCs w:val="18"/>
              </w:rPr>
              <w:t>ROS</w:t>
            </w:r>
          </w:p>
        </w:tc>
        <w:tc>
          <w:tcPr>
            <w:tcW w:w="6920" w:type="dxa"/>
          </w:tcPr>
          <w:p w14:paraId="6A97C402" w14:textId="77777777" w:rsidR="00C95C96" w:rsidRPr="00E353DF" w:rsidRDefault="00C95C96" w:rsidP="00C95C96">
            <w:pPr>
              <w:spacing w:after="0"/>
              <w:rPr>
                <w:rFonts w:asciiTheme="minorHAnsi" w:hAnsiTheme="minorHAnsi" w:cs="Arial"/>
                <w:szCs w:val="18"/>
              </w:rPr>
            </w:pPr>
            <w:r w:rsidRPr="00E353DF">
              <w:rPr>
                <w:rFonts w:asciiTheme="minorHAnsi" w:hAnsiTheme="minorHAnsi" w:cs="Arial"/>
                <w:szCs w:val="18"/>
              </w:rPr>
              <w:t>Rest-of-System reserve zone, which excludes the other, local reserve zones</w:t>
            </w:r>
          </w:p>
        </w:tc>
      </w:tr>
      <w:tr w:rsidR="006B79B7" w:rsidRPr="00AA34B3" w14:paraId="69D901F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BF15845"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RPS</w:t>
            </w:r>
          </w:p>
        </w:tc>
        <w:tc>
          <w:tcPr>
            <w:tcW w:w="6920" w:type="dxa"/>
          </w:tcPr>
          <w:p w14:paraId="54D4269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Renewable Portfolio Standard</w:t>
            </w:r>
          </w:p>
        </w:tc>
      </w:tr>
      <w:tr w:rsidR="006B79B7" w:rsidRPr="00AA34B3" w14:paraId="4184F7A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52D206B"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p>
        </w:tc>
        <w:tc>
          <w:tcPr>
            <w:tcW w:w="6920" w:type="dxa"/>
          </w:tcPr>
          <w:p w14:paraId="6F4191D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System Plan</w:t>
            </w:r>
          </w:p>
        </w:tc>
      </w:tr>
      <w:tr w:rsidR="006B79B7" w:rsidRPr="00AA34B3" w14:paraId="4D112FD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51E19B0"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RSP</w:t>
            </w:r>
            <w:r w:rsidRPr="00AA34B3">
              <w:rPr>
                <w:rFonts w:asciiTheme="minorHAnsi" w:hAnsiTheme="minorHAnsi" w:cs="Arial"/>
                <w:b/>
                <w:i/>
                <w:szCs w:val="18"/>
              </w:rPr>
              <w:t>XY</w:t>
            </w:r>
          </w:p>
        </w:tc>
        <w:tc>
          <w:tcPr>
            <w:tcW w:w="6920" w:type="dxa"/>
          </w:tcPr>
          <w:p w14:paraId="0ECC421E" w14:textId="77777777" w:rsidR="00C95C96" w:rsidRPr="00AA34B3" w:rsidRDefault="00C95C96" w:rsidP="00C95C96">
            <w:pPr>
              <w:spacing w:after="0"/>
              <w:rPr>
                <w:rFonts w:asciiTheme="minorHAnsi" w:hAnsiTheme="minorHAnsi" w:cs="Arial"/>
                <w:i/>
                <w:iCs/>
                <w:szCs w:val="18"/>
              </w:rPr>
            </w:pPr>
            <w:r w:rsidRPr="00AA34B3">
              <w:rPr>
                <w:rFonts w:asciiTheme="minorHAnsi" w:hAnsiTheme="minorHAnsi" w:cs="Arial"/>
                <w:i/>
                <w:iCs/>
                <w:szCs w:val="18"/>
              </w:rPr>
              <w:t>20XY Regional System Plan</w:t>
            </w:r>
          </w:p>
        </w:tc>
      </w:tr>
      <w:tr w:rsidR="006B79B7" w:rsidRPr="00AA34B3" w14:paraId="6D0482C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7646A9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RTO</w:t>
            </w:r>
          </w:p>
        </w:tc>
        <w:tc>
          <w:tcPr>
            <w:tcW w:w="6920" w:type="dxa"/>
          </w:tcPr>
          <w:p w14:paraId="525A4B3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Regional Transmission Organization</w:t>
            </w:r>
          </w:p>
        </w:tc>
      </w:tr>
      <w:tr w:rsidR="00CF4541" w:rsidRPr="00AA34B3" w14:paraId="522BC49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11ADC0C"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RTR</w:t>
            </w:r>
          </w:p>
        </w:tc>
        <w:tc>
          <w:tcPr>
            <w:tcW w:w="6920" w:type="dxa"/>
          </w:tcPr>
          <w:p w14:paraId="5E788FA6"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renewable technology resource</w:t>
            </w:r>
          </w:p>
        </w:tc>
      </w:tr>
      <w:tr w:rsidR="006B79B7" w:rsidRPr="00AA34B3" w14:paraId="0A1994F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421EDA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RTU</w:t>
            </w:r>
          </w:p>
        </w:tc>
        <w:tc>
          <w:tcPr>
            <w:tcW w:w="6920" w:type="dxa"/>
          </w:tcPr>
          <w:p w14:paraId="54A647B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reliability transmission upgrade</w:t>
            </w:r>
          </w:p>
        </w:tc>
      </w:tr>
      <w:tr w:rsidR="00CF4541" w:rsidRPr="00AA34B3" w14:paraId="21F5919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2739F25"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SA</w:t>
            </w:r>
          </w:p>
        </w:tc>
        <w:tc>
          <w:tcPr>
            <w:tcW w:w="6920" w:type="dxa"/>
          </w:tcPr>
          <w:p w14:paraId="78AD0DC1"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substitution auction</w:t>
            </w:r>
          </w:p>
        </w:tc>
      </w:tr>
      <w:tr w:rsidR="006B79B7" w:rsidRPr="00AA34B3" w14:paraId="137D58D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4DFE81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SB</w:t>
            </w:r>
          </w:p>
        </w:tc>
        <w:tc>
          <w:tcPr>
            <w:tcW w:w="6920" w:type="dxa"/>
          </w:tcPr>
          <w:p w14:paraId="7CD85D3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Senate Bill</w:t>
            </w:r>
          </w:p>
        </w:tc>
      </w:tr>
      <w:tr w:rsidR="006B79B7" w:rsidRPr="00AA34B3" w14:paraId="7E2BFE6C"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AC69AD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SBC</w:t>
            </w:r>
          </w:p>
        </w:tc>
        <w:tc>
          <w:tcPr>
            <w:tcW w:w="6920" w:type="dxa"/>
          </w:tcPr>
          <w:p w14:paraId="402FA07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systems benefits charge</w:t>
            </w:r>
          </w:p>
        </w:tc>
      </w:tr>
      <w:tr w:rsidR="00CF4541" w:rsidRPr="00AA34B3" w14:paraId="2F1016E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8CC6579" w14:textId="77777777" w:rsidR="00CF4541" w:rsidRPr="00AA34B3" w:rsidRDefault="00CF4541" w:rsidP="00C95C96">
            <w:pPr>
              <w:spacing w:after="0"/>
              <w:rPr>
                <w:rFonts w:asciiTheme="minorHAnsi" w:hAnsiTheme="minorHAnsi" w:cs="Arial"/>
                <w:b/>
                <w:szCs w:val="18"/>
              </w:rPr>
            </w:pPr>
            <w:r>
              <w:rPr>
                <w:rFonts w:asciiTheme="minorHAnsi" w:hAnsiTheme="minorHAnsi" w:cs="Arial"/>
                <w:b/>
                <w:szCs w:val="18"/>
              </w:rPr>
              <w:t>SCADA</w:t>
            </w:r>
          </w:p>
        </w:tc>
        <w:tc>
          <w:tcPr>
            <w:tcW w:w="6920" w:type="dxa"/>
          </w:tcPr>
          <w:p w14:paraId="545DD70E"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S</w:t>
            </w:r>
            <w:r w:rsidRPr="00CF4541">
              <w:rPr>
                <w:rFonts w:asciiTheme="minorHAnsi" w:hAnsiTheme="minorHAnsi" w:cs="Arial"/>
                <w:szCs w:val="18"/>
              </w:rPr>
              <w:t>ystem Control and Data Acquisition</w:t>
            </w:r>
          </w:p>
        </w:tc>
      </w:tr>
      <w:tr w:rsidR="006B79B7" w:rsidRPr="00AA34B3" w14:paraId="6E7B418F"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74BFF4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SCC</w:t>
            </w:r>
          </w:p>
        </w:tc>
        <w:tc>
          <w:tcPr>
            <w:tcW w:w="6920" w:type="dxa"/>
          </w:tcPr>
          <w:p w14:paraId="598C17D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seasonal claimed capability</w:t>
            </w:r>
          </w:p>
        </w:tc>
      </w:tr>
      <w:tr w:rsidR="006B79B7" w:rsidRPr="00AA34B3" w14:paraId="1992E6C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98EFC7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Seacoast</w:t>
            </w:r>
          </w:p>
        </w:tc>
        <w:tc>
          <w:tcPr>
            <w:tcW w:w="6920" w:type="dxa"/>
          </w:tcPr>
          <w:p w14:paraId="4D78424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1CB17BD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3ACED8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SEMA</w:t>
            </w:r>
          </w:p>
        </w:tc>
        <w:tc>
          <w:tcPr>
            <w:tcW w:w="6920" w:type="dxa"/>
          </w:tcPr>
          <w:p w14:paraId="0C20866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RSP subarea comprising southeastern Massachusetts and Newport, Rhode Island</w:t>
            </w:r>
          </w:p>
          <w:p w14:paraId="56D189D1"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Southeastern Massachusetts load zone</w:t>
            </w:r>
          </w:p>
          <w:p w14:paraId="3FA0F3B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3) active-demand-resource dispatch zone</w:t>
            </w:r>
          </w:p>
        </w:tc>
      </w:tr>
      <w:tr w:rsidR="006B79B7" w:rsidRPr="00AA34B3" w14:paraId="30988A1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FE86C8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SEMA/RI</w:t>
            </w:r>
          </w:p>
        </w:tc>
        <w:tc>
          <w:tcPr>
            <w:tcW w:w="6920" w:type="dxa"/>
          </w:tcPr>
          <w:p w14:paraId="72974755" w14:textId="77777777"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Massachusetts/Rhode Island capacity zone, the area within the SEMA/RI import interface, comprising the RSP “bubbles” for SEMA and RI</w:t>
            </w:r>
          </w:p>
        </w:tc>
      </w:tr>
      <w:tr w:rsidR="006B79B7" w:rsidRPr="00AA34B3" w14:paraId="4E60954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6F6FBF5"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SENE</w:t>
            </w:r>
          </w:p>
        </w:tc>
        <w:tc>
          <w:tcPr>
            <w:tcW w:w="6920" w:type="dxa"/>
          </w:tcPr>
          <w:p w14:paraId="2C2CD127" w14:textId="77777777" w:rsidR="00C95C96" w:rsidRPr="00AA34B3" w:rsidRDefault="00C95C96" w:rsidP="00B707AC">
            <w:pPr>
              <w:spacing w:after="0"/>
              <w:rPr>
                <w:rFonts w:asciiTheme="minorHAnsi" w:hAnsiTheme="minorHAnsi" w:cs="Arial"/>
                <w:szCs w:val="18"/>
              </w:rPr>
            </w:pPr>
            <w:r w:rsidRPr="00AA34B3">
              <w:rPr>
                <w:rFonts w:asciiTheme="minorHAnsi" w:hAnsiTheme="minorHAnsi" w:cs="Arial"/>
                <w:szCs w:val="18"/>
              </w:rPr>
              <w:t>Southeastern New England import-constrained capacity zone, which includes the area within the Southeast New England interface, comprising the RSP ‘bubbles” for SEMA, RI, and BOSTON</w:t>
            </w:r>
          </w:p>
        </w:tc>
      </w:tr>
      <w:tr w:rsidR="009B5673" w:rsidRPr="00AA34B3" w14:paraId="542F2C4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A4B3235" w14:textId="77777777" w:rsidR="009B5673" w:rsidRDefault="009B5673" w:rsidP="00C95C96">
            <w:pPr>
              <w:spacing w:after="0"/>
              <w:rPr>
                <w:rFonts w:asciiTheme="minorHAnsi" w:hAnsiTheme="minorHAnsi" w:cs="Arial"/>
                <w:b/>
                <w:szCs w:val="18"/>
              </w:rPr>
            </w:pPr>
            <w:r>
              <w:rPr>
                <w:rFonts w:asciiTheme="minorHAnsi" w:hAnsiTheme="minorHAnsi" w:cs="Arial"/>
                <w:b/>
                <w:szCs w:val="18"/>
              </w:rPr>
              <w:t>SERC</w:t>
            </w:r>
          </w:p>
        </w:tc>
        <w:tc>
          <w:tcPr>
            <w:tcW w:w="6920" w:type="dxa"/>
          </w:tcPr>
          <w:p w14:paraId="61D219A8" w14:textId="77777777" w:rsidR="009B5673" w:rsidRDefault="009B5673" w:rsidP="00C95C96">
            <w:pPr>
              <w:spacing w:after="0"/>
              <w:rPr>
                <w:rFonts w:asciiTheme="minorHAnsi" w:hAnsiTheme="minorHAnsi" w:cs="Arial"/>
                <w:szCs w:val="18"/>
              </w:rPr>
            </w:pPr>
            <w:r w:rsidRPr="009B5673">
              <w:rPr>
                <w:rFonts w:asciiTheme="minorHAnsi" w:hAnsiTheme="minorHAnsi" w:cs="Arial"/>
                <w:szCs w:val="18"/>
              </w:rPr>
              <w:t>Southeastern Reliability Corporation</w:t>
            </w:r>
          </w:p>
        </w:tc>
      </w:tr>
      <w:tr w:rsidR="00CF4541" w:rsidRPr="00AA34B3" w14:paraId="07F49B5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0C28F5D" w14:textId="77777777" w:rsidR="00CF4541" w:rsidRPr="00E3232A" w:rsidRDefault="00CF4541" w:rsidP="00C95C96">
            <w:pPr>
              <w:spacing w:after="0"/>
              <w:rPr>
                <w:rFonts w:asciiTheme="minorHAnsi" w:hAnsiTheme="minorHAnsi" w:cs="Arial"/>
                <w:b/>
                <w:szCs w:val="18"/>
                <w:vertAlign w:val="superscript"/>
              </w:rPr>
            </w:pPr>
            <w:r>
              <w:rPr>
                <w:rFonts w:asciiTheme="minorHAnsi" w:hAnsiTheme="minorHAnsi" w:cs="Arial"/>
                <w:b/>
                <w:szCs w:val="18"/>
              </w:rPr>
              <w:t>SF</w:t>
            </w:r>
            <w:r w:rsidRPr="00E3232A">
              <w:rPr>
                <w:rFonts w:asciiTheme="minorHAnsi" w:hAnsiTheme="minorHAnsi" w:cs="Arial"/>
                <w:b/>
                <w:szCs w:val="18"/>
                <w:vertAlign w:val="subscript"/>
              </w:rPr>
              <w:t>6</w:t>
            </w:r>
          </w:p>
        </w:tc>
        <w:tc>
          <w:tcPr>
            <w:tcW w:w="6920" w:type="dxa"/>
          </w:tcPr>
          <w:p w14:paraId="3302A805" w14:textId="77777777" w:rsidR="00CF4541" w:rsidRPr="00AA34B3" w:rsidRDefault="00CF4541" w:rsidP="00C95C96">
            <w:pPr>
              <w:spacing w:after="0"/>
              <w:rPr>
                <w:rFonts w:asciiTheme="minorHAnsi" w:hAnsiTheme="minorHAnsi" w:cs="Arial"/>
                <w:szCs w:val="18"/>
              </w:rPr>
            </w:pPr>
            <w:r>
              <w:rPr>
                <w:rFonts w:asciiTheme="minorHAnsi" w:hAnsiTheme="minorHAnsi" w:cs="Arial"/>
                <w:szCs w:val="18"/>
              </w:rPr>
              <w:t>sulfur hexafluoride</w:t>
            </w:r>
          </w:p>
        </w:tc>
      </w:tr>
      <w:tr w:rsidR="006B79B7" w:rsidRPr="00AA34B3" w14:paraId="24AD52DA"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DF90691"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SMD</w:t>
            </w:r>
          </w:p>
        </w:tc>
        <w:tc>
          <w:tcPr>
            <w:tcW w:w="6920" w:type="dxa"/>
          </w:tcPr>
          <w:p w14:paraId="657DC2F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Standard Market Design</w:t>
            </w:r>
          </w:p>
        </w:tc>
      </w:tr>
      <w:tr w:rsidR="006B79B7" w:rsidRPr="00AA34B3" w14:paraId="2F8844AE"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85035DC"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SME</w:t>
            </w:r>
          </w:p>
        </w:tc>
        <w:tc>
          <w:tcPr>
            <w:tcW w:w="6920" w:type="dxa"/>
          </w:tcPr>
          <w:p w14:paraId="282F096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southeastern Maine</w:t>
            </w:r>
          </w:p>
        </w:tc>
      </w:tr>
      <w:tr w:rsidR="006B79B7" w:rsidRPr="00AA34B3" w14:paraId="24A5EBC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9BF8AA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SO</w:t>
            </w:r>
            <w:r w:rsidRPr="00AA34B3">
              <w:rPr>
                <w:rFonts w:asciiTheme="minorHAnsi" w:hAnsiTheme="minorHAnsi" w:cs="Arial"/>
                <w:b/>
                <w:szCs w:val="18"/>
                <w:vertAlign w:val="subscript"/>
              </w:rPr>
              <w:t>2</w:t>
            </w:r>
          </w:p>
        </w:tc>
        <w:tc>
          <w:tcPr>
            <w:tcW w:w="6920" w:type="dxa"/>
          </w:tcPr>
          <w:p w14:paraId="6436C81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sulfur dioxide</w:t>
            </w:r>
          </w:p>
        </w:tc>
      </w:tr>
      <w:tr w:rsidR="006B79B7" w:rsidRPr="00AA34B3" w14:paraId="226F7504"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C52DC3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SOR</w:t>
            </w:r>
          </w:p>
        </w:tc>
        <w:tc>
          <w:tcPr>
            <w:tcW w:w="6920" w:type="dxa"/>
          </w:tcPr>
          <w:p w14:paraId="61D779F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settlement-only resource</w:t>
            </w:r>
          </w:p>
        </w:tc>
      </w:tr>
      <w:tr w:rsidR="006B79B7" w:rsidRPr="00AA34B3" w14:paraId="6B76A00C"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8E8E456"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SP-15</w:t>
            </w:r>
          </w:p>
        </w:tc>
        <w:tc>
          <w:tcPr>
            <w:tcW w:w="6920" w:type="dxa"/>
          </w:tcPr>
          <w:p w14:paraId="098C6E78" w14:textId="77777777" w:rsidR="00C95C96" w:rsidRPr="00AA34B3" w:rsidRDefault="00C95C96" w:rsidP="00C95C96">
            <w:pPr>
              <w:spacing w:after="0"/>
              <w:rPr>
                <w:rFonts w:asciiTheme="minorHAnsi" w:hAnsiTheme="minorHAnsi" w:cs="Arial"/>
                <w:szCs w:val="18"/>
              </w:rPr>
            </w:pPr>
            <w:r w:rsidRPr="00AA34B3">
              <w:rPr>
                <w:rFonts w:ascii="Calibri" w:hAnsi="Calibri"/>
                <w:bCs/>
                <w:szCs w:val="18"/>
              </w:rPr>
              <w:t>CAISO zone covering southern California</w:t>
            </w:r>
          </w:p>
        </w:tc>
      </w:tr>
      <w:tr w:rsidR="009B5673" w:rsidRPr="00AA34B3" w14:paraId="2954673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0E6DDE0" w14:textId="77777777" w:rsidR="009B5673" w:rsidRPr="00AA34B3" w:rsidRDefault="009B5673" w:rsidP="009B5673">
            <w:pPr>
              <w:spacing w:after="0"/>
              <w:rPr>
                <w:rFonts w:asciiTheme="minorHAnsi" w:hAnsiTheme="minorHAnsi" w:cs="Arial"/>
                <w:b/>
                <w:szCs w:val="18"/>
              </w:rPr>
            </w:pPr>
            <w:r>
              <w:rPr>
                <w:rFonts w:asciiTheme="minorHAnsi" w:hAnsiTheme="minorHAnsi" w:cs="Arial"/>
                <w:b/>
                <w:szCs w:val="18"/>
              </w:rPr>
              <w:t>SPIDERWG</w:t>
            </w:r>
          </w:p>
        </w:tc>
        <w:tc>
          <w:tcPr>
            <w:tcW w:w="6920" w:type="dxa"/>
          </w:tcPr>
          <w:p w14:paraId="73DABB68" w14:textId="77777777" w:rsidR="009B5673" w:rsidRDefault="009B5673" w:rsidP="00CF4541">
            <w:pPr>
              <w:spacing w:after="0"/>
              <w:rPr>
                <w:rFonts w:asciiTheme="minorHAnsi" w:hAnsiTheme="minorHAnsi" w:cs="Arial"/>
                <w:szCs w:val="18"/>
              </w:rPr>
            </w:pPr>
            <w:r w:rsidRPr="009B5673">
              <w:rPr>
                <w:rFonts w:asciiTheme="minorHAnsi" w:hAnsiTheme="minorHAnsi" w:cs="Arial"/>
                <w:szCs w:val="18"/>
              </w:rPr>
              <w:t>System Planning Impacts from Distributed Energy Resources Working Group</w:t>
            </w:r>
          </w:p>
        </w:tc>
      </w:tr>
      <w:tr w:rsidR="006B79B7" w:rsidRPr="00AA34B3" w14:paraId="57A127CE"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6095CB6"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w:t>
            </w:r>
            <w:r w:rsidR="00CF4541">
              <w:rPr>
                <w:rFonts w:asciiTheme="minorHAnsi" w:hAnsiTheme="minorHAnsi" w:cs="Arial"/>
                <w:b/>
                <w:szCs w:val="18"/>
              </w:rPr>
              <w:t>R</w:t>
            </w:r>
          </w:p>
        </w:tc>
        <w:tc>
          <w:tcPr>
            <w:tcW w:w="6920" w:type="dxa"/>
          </w:tcPr>
          <w:p w14:paraId="50368BE1" w14:textId="77777777" w:rsidR="00C95C96" w:rsidRPr="00AA34B3" w:rsidRDefault="00CF4541" w:rsidP="00CF4541">
            <w:pPr>
              <w:spacing w:after="0"/>
              <w:rPr>
                <w:rFonts w:asciiTheme="minorHAnsi" w:hAnsiTheme="minorHAnsi" w:cs="Arial"/>
                <w:szCs w:val="18"/>
              </w:rPr>
            </w:pPr>
            <w:r>
              <w:rPr>
                <w:rFonts w:asciiTheme="minorHAnsi" w:hAnsiTheme="minorHAnsi" w:cs="Arial"/>
                <w:szCs w:val="18"/>
              </w:rPr>
              <w:t>sponsored policy resource</w:t>
            </w:r>
          </w:p>
        </w:tc>
      </w:tr>
      <w:tr w:rsidR="006B79B7" w:rsidRPr="00AA34B3" w14:paraId="79AB4D5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C80E75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Springfield, MA</w:t>
            </w:r>
          </w:p>
        </w:tc>
        <w:tc>
          <w:tcPr>
            <w:tcW w:w="6920" w:type="dxa"/>
          </w:tcPr>
          <w:p w14:paraId="58380F2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Springfield, Massachusetts, active-demand-resource dispatch zone</w:t>
            </w:r>
          </w:p>
        </w:tc>
      </w:tr>
      <w:tr w:rsidR="006B79B7" w:rsidRPr="00AA34B3" w14:paraId="300D767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BC32FEA"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lastRenderedPageBreak/>
              <w:t>STATCOM</w:t>
            </w:r>
          </w:p>
        </w:tc>
        <w:tc>
          <w:tcPr>
            <w:tcW w:w="6920" w:type="dxa"/>
          </w:tcPr>
          <w:p w14:paraId="4A120317"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synchronous compensator</w:t>
            </w:r>
          </w:p>
        </w:tc>
      </w:tr>
      <w:tr w:rsidR="006B79B7" w:rsidRPr="00AA34B3" w14:paraId="25C1BFB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F86059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SVC</w:t>
            </w:r>
          </w:p>
        </w:tc>
        <w:tc>
          <w:tcPr>
            <w:tcW w:w="6920" w:type="dxa"/>
          </w:tcPr>
          <w:p w14:paraId="2391A70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static voltage ampere reactive (VAR; V) compensator</w:t>
            </w:r>
          </w:p>
        </w:tc>
      </w:tr>
      <w:tr w:rsidR="006B79B7" w:rsidRPr="00AA34B3" w14:paraId="2E893FD3"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4E39E5A"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SWCT</w:t>
            </w:r>
          </w:p>
        </w:tc>
        <w:tc>
          <w:tcPr>
            <w:tcW w:w="6920" w:type="dxa"/>
          </w:tcPr>
          <w:p w14:paraId="7B3EAD3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southwestern Connecticut</w:t>
            </w:r>
            <w:r w:rsidR="00967EA3" w:rsidRPr="00AA34B3">
              <w:rPr>
                <w:rFonts w:asciiTheme="minorHAnsi" w:hAnsiTheme="minorHAnsi" w:cs="Arial"/>
                <w:szCs w:val="18"/>
              </w:rPr>
              <w:t>; key transmission study area</w:t>
            </w:r>
          </w:p>
        </w:tc>
      </w:tr>
      <w:tr w:rsidR="009B5673" w:rsidRPr="00AA34B3" w14:paraId="3E688E0D"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626257E5" w14:textId="77777777" w:rsidR="009B5673" w:rsidRPr="00AA34B3" w:rsidRDefault="009B5673" w:rsidP="00C95C96">
            <w:pPr>
              <w:spacing w:after="0"/>
              <w:rPr>
                <w:rFonts w:asciiTheme="minorHAnsi" w:hAnsiTheme="minorHAnsi" w:cs="Arial"/>
                <w:b/>
                <w:szCs w:val="18"/>
              </w:rPr>
            </w:pPr>
            <w:r>
              <w:rPr>
                <w:rFonts w:asciiTheme="minorHAnsi" w:hAnsiTheme="minorHAnsi" w:cs="Arial"/>
                <w:b/>
                <w:szCs w:val="18"/>
              </w:rPr>
              <w:t>T&amp;D</w:t>
            </w:r>
          </w:p>
        </w:tc>
        <w:tc>
          <w:tcPr>
            <w:tcW w:w="6920" w:type="dxa"/>
          </w:tcPr>
          <w:p w14:paraId="71D2C8A6" w14:textId="77777777" w:rsidR="009B5673" w:rsidRPr="00AA34B3" w:rsidRDefault="009B5673" w:rsidP="009B5673">
            <w:pPr>
              <w:spacing w:after="0"/>
              <w:rPr>
                <w:rFonts w:asciiTheme="minorHAnsi" w:hAnsiTheme="minorHAnsi" w:cs="Arial"/>
                <w:szCs w:val="18"/>
              </w:rPr>
            </w:pPr>
            <w:r>
              <w:rPr>
                <w:rFonts w:asciiTheme="minorHAnsi" w:hAnsiTheme="minorHAnsi" w:cs="Arial"/>
                <w:szCs w:val="18"/>
              </w:rPr>
              <w:t>transmission and distribution</w:t>
            </w:r>
          </w:p>
        </w:tc>
      </w:tr>
      <w:tr w:rsidR="006B79B7" w:rsidRPr="00AA34B3" w14:paraId="36590F09"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C1E6B6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TBD</w:t>
            </w:r>
          </w:p>
        </w:tc>
        <w:tc>
          <w:tcPr>
            <w:tcW w:w="6920" w:type="dxa"/>
          </w:tcPr>
          <w:p w14:paraId="460B30B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to be determined</w:t>
            </w:r>
          </w:p>
        </w:tc>
      </w:tr>
      <w:tr w:rsidR="006B79B7" w:rsidRPr="00AA34B3" w14:paraId="12E1CB48"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1A2A05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TC</w:t>
            </w:r>
          </w:p>
        </w:tc>
        <w:tc>
          <w:tcPr>
            <w:tcW w:w="6920" w:type="dxa"/>
          </w:tcPr>
          <w:p w14:paraId="26EDFBC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Committee</w:t>
            </w:r>
          </w:p>
        </w:tc>
      </w:tr>
      <w:tr w:rsidR="009B5673" w:rsidRPr="00AA34B3" w14:paraId="5F322D4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B403A88" w14:textId="77777777" w:rsidR="009B5673" w:rsidRPr="00AA34B3" w:rsidDel="009B5673" w:rsidRDefault="009B5673" w:rsidP="00C95C96">
            <w:pPr>
              <w:spacing w:after="0"/>
              <w:rPr>
                <w:rFonts w:asciiTheme="minorHAnsi" w:hAnsiTheme="minorHAnsi" w:cs="Arial"/>
                <w:b/>
                <w:szCs w:val="18"/>
              </w:rPr>
            </w:pPr>
            <w:r>
              <w:rPr>
                <w:rFonts w:asciiTheme="minorHAnsi" w:hAnsiTheme="minorHAnsi" w:cs="Arial"/>
                <w:b/>
                <w:szCs w:val="18"/>
              </w:rPr>
              <w:t>TCI</w:t>
            </w:r>
          </w:p>
        </w:tc>
        <w:tc>
          <w:tcPr>
            <w:tcW w:w="6920" w:type="dxa"/>
          </w:tcPr>
          <w:p w14:paraId="6A126824" w14:textId="77777777" w:rsidR="009B5673" w:rsidRDefault="009B5673" w:rsidP="009B5673">
            <w:pPr>
              <w:spacing w:after="0"/>
              <w:rPr>
                <w:rFonts w:asciiTheme="minorHAnsi" w:hAnsiTheme="minorHAnsi" w:cs="Arial"/>
                <w:szCs w:val="18"/>
              </w:rPr>
            </w:pPr>
            <w:r w:rsidRPr="009B5673">
              <w:rPr>
                <w:rFonts w:asciiTheme="minorHAnsi" w:hAnsiTheme="minorHAnsi" w:cs="Arial"/>
                <w:szCs w:val="18"/>
              </w:rPr>
              <w:t>Transportation and Climate Initiative</w:t>
            </w:r>
          </w:p>
        </w:tc>
      </w:tr>
      <w:tr w:rsidR="006B79B7" w:rsidRPr="00AA34B3" w14:paraId="17E05E0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22FFF4D5" w14:textId="77777777" w:rsidR="00C95C96" w:rsidRPr="00AA34B3" w:rsidRDefault="009B5673" w:rsidP="00C95C96">
            <w:pPr>
              <w:spacing w:after="0"/>
              <w:rPr>
                <w:rFonts w:asciiTheme="minorHAnsi" w:hAnsiTheme="minorHAnsi" w:cs="Arial"/>
                <w:b/>
                <w:szCs w:val="18"/>
              </w:rPr>
            </w:pPr>
            <w:r>
              <w:rPr>
                <w:rFonts w:asciiTheme="minorHAnsi" w:hAnsiTheme="minorHAnsi" w:cs="Arial"/>
                <w:b/>
                <w:szCs w:val="18"/>
              </w:rPr>
              <w:t>TCA</w:t>
            </w:r>
          </w:p>
        </w:tc>
        <w:tc>
          <w:tcPr>
            <w:tcW w:w="6920" w:type="dxa"/>
          </w:tcPr>
          <w:p w14:paraId="50604268" w14:textId="77777777" w:rsidR="00C95C96" w:rsidRPr="00AA34B3" w:rsidRDefault="009B5673" w:rsidP="009B5673">
            <w:pPr>
              <w:spacing w:after="0"/>
              <w:rPr>
                <w:rFonts w:asciiTheme="minorHAnsi" w:hAnsiTheme="minorHAnsi" w:cs="Arial"/>
                <w:szCs w:val="18"/>
              </w:rPr>
            </w:pPr>
            <w:r>
              <w:rPr>
                <w:rFonts w:asciiTheme="minorHAnsi" w:hAnsiTheme="minorHAnsi" w:cs="Arial"/>
                <w:szCs w:val="18"/>
              </w:rPr>
              <w:t>transmission cost allocation</w:t>
            </w:r>
          </w:p>
        </w:tc>
      </w:tr>
      <w:tr w:rsidR="006B79B7" w:rsidRPr="00AA34B3" w14:paraId="22EBF44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5833E7B"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Technical Guide</w:t>
            </w:r>
          </w:p>
        </w:tc>
        <w:tc>
          <w:tcPr>
            <w:tcW w:w="6920" w:type="dxa"/>
          </w:tcPr>
          <w:p w14:paraId="6700C0A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i/>
                <w:szCs w:val="18"/>
              </w:rPr>
              <w:t xml:space="preserve"> </w:t>
            </w:r>
            <w:r w:rsidRPr="00AA34B3">
              <w:rPr>
                <w:rFonts w:asciiTheme="minorHAnsi" w:hAnsiTheme="minorHAnsi" w:cs="Arial"/>
                <w:szCs w:val="18"/>
              </w:rPr>
              <w:t>ISO New England’s</w:t>
            </w:r>
            <w:r w:rsidRPr="00AA34B3">
              <w:rPr>
                <w:rFonts w:asciiTheme="minorHAnsi" w:hAnsiTheme="minorHAnsi" w:cs="Arial"/>
                <w:i/>
                <w:szCs w:val="18"/>
              </w:rPr>
              <w:t xml:space="preserve"> Transmission Planning Technical Guide</w:t>
            </w:r>
          </w:p>
        </w:tc>
      </w:tr>
      <w:tr w:rsidR="006B79B7" w:rsidRPr="00AA34B3" w14:paraId="649930D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1071C5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TGP</w:t>
            </w:r>
          </w:p>
        </w:tc>
        <w:tc>
          <w:tcPr>
            <w:tcW w:w="6920" w:type="dxa"/>
          </w:tcPr>
          <w:p w14:paraId="18D5FEB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Tennessee Gas Pipeline</w:t>
            </w:r>
          </w:p>
        </w:tc>
      </w:tr>
      <w:tr w:rsidR="006B79B7" w:rsidRPr="00AA34B3" w14:paraId="076881A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63F3355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TOPAC</w:t>
            </w:r>
          </w:p>
        </w:tc>
        <w:tc>
          <w:tcPr>
            <w:tcW w:w="6920" w:type="dxa"/>
          </w:tcPr>
          <w:p w14:paraId="045336C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Transmission Owner Planning Advisory Committee</w:t>
            </w:r>
          </w:p>
        </w:tc>
      </w:tr>
      <w:tr w:rsidR="006B79B7" w:rsidRPr="00AA34B3" w:rsidDel="001B15B5" w14:paraId="7575DFA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F41A619"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TOUT</w:t>
            </w:r>
          </w:p>
        </w:tc>
        <w:tc>
          <w:tcPr>
            <w:tcW w:w="6920" w:type="dxa"/>
          </w:tcPr>
          <w:p w14:paraId="248DF82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through-or-out service</w:t>
            </w:r>
          </w:p>
        </w:tc>
      </w:tr>
      <w:tr w:rsidR="009B5673" w:rsidRPr="00AA34B3" w14:paraId="781B281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46123B06" w14:textId="77777777" w:rsidR="009B5673" w:rsidRPr="00AA34B3" w:rsidRDefault="009B5673" w:rsidP="00C95C96">
            <w:pPr>
              <w:spacing w:after="0"/>
              <w:rPr>
                <w:rFonts w:asciiTheme="minorHAnsi" w:hAnsiTheme="minorHAnsi" w:cs="Arial"/>
                <w:b/>
                <w:szCs w:val="18"/>
              </w:rPr>
            </w:pPr>
            <w:r>
              <w:rPr>
                <w:rFonts w:asciiTheme="minorHAnsi" w:hAnsiTheme="minorHAnsi" w:cs="Arial"/>
                <w:b/>
                <w:szCs w:val="18"/>
              </w:rPr>
              <w:t>TRE</w:t>
            </w:r>
          </w:p>
        </w:tc>
        <w:tc>
          <w:tcPr>
            <w:tcW w:w="6920" w:type="dxa"/>
          </w:tcPr>
          <w:p w14:paraId="446F2CEC" w14:textId="77777777" w:rsidR="009B5673" w:rsidRPr="00AA34B3" w:rsidRDefault="009B5673" w:rsidP="00C95C96">
            <w:pPr>
              <w:spacing w:after="0"/>
              <w:rPr>
                <w:rFonts w:asciiTheme="minorHAnsi" w:hAnsiTheme="minorHAnsi" w:cs="Arial"/>
                <w:szCs w:val="18"/>
              </w:rPr>
            </w:pPr>
            <w:r>
              <w:rPr>
                <w:rFonts w:asciiTheme="minorHAnsi" w:hAnsiTheme="minorHAnsi" w:cs="Arial"/>
                <w:szCs w:val="18"/>
              </w:rPr>
              <w:t>Texas Reliability Entity</w:t>
            </w:r>
          </w:p>
        </w:tc>
      </w:tr>
      <w:tr w:rsidR="009B5673" w:rsidRPr="00AA34B3" w14:paraId="5C90065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4DE93DC"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T</w:t>
            </w:r>
            <w:r w:rsidR="009B5673">
              <w:rPr>
                <w:rFonts w:asciiTheme="minorHAnsi" w:hAnsiTheme="minorHAnsi" w:cs="Arial"/>
                <w:b/>
                <w:szCs w:val="18"/>
              </w:rPr>
              <w:t>SA</w:t>
            </w:r>
          </w:p>
        </w:tc>
        <w:tc>
          <w:tcPr>
            <w:tcW w:w="6920" w:type="dxa"/>
          </w:tcPr>
          <w:p w14:paraId="29DB491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Tran</w:t>
            </w:r>
            <w:r w:rsidR="009B5673">
              <w:rPr>
                <w:rFonts w:asciiTheme="minorHAnsi" w:hAnsiTheme="minorHAnsi" w:cs="Arial"/>
                <w:szCs w:val="18"/>
              </w:rPr>
              <w:t>smission Security Analysis</w:t>
            </w:r>
          </w:p>
        </w:tc>
      </w:tr>
      <w:tr w:rsidR="00AC1F6F" w:rsidRPr="00AA34B3" w14:paraId="66FB8156"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1C4F4125" w14:textId="77777777" w:rsidR="00AC1F6F" w:rsidRPr="00AA34B3" w:rsidRDefault="00AC1F6F" w:rsidP="00C95C96">
            <w:pPr>
              <w:spacing w:after="0"/>
              <w:rPr>
                <w:rFonts w:asciiTheme="minorHAnsi" w:hAnsiTheme="minorHAnsi" w:cs="Arial"/>
                <w:b/>
                <w:szCs w:val="18"/>
              </w:rPr>
            </w:pPr>
            <w:r>
              <w:rPr>
                <w:rFonts w:asciiTheme="minorHAnsi" w:hAnsiTheme="minorHAnsi" w:cs="Arial"/>
                <w:b/>
                <w:szCs w:val="18"/>
              </w:rPr>
              <w:t>UCTE</w:t>
            </w:r>
          </w:p>
        </w:tc>
        <w:tc>
          <w:tcPr>
            <w:tcW w:w="6920" w:type="dxa"/>
          </w:tcPr>
          <w:p w14:paraId="2782FB9D" w14:textId="77777777" w:rsidR="00AC1F6F" w:rsidRDefault="00AC1F6F" w:rsidP="00AC1F6F">
            <w:pPr>
              <w:spacing w:after="0"/>
              <w:rPr>
                <w:rFonts w:asciiTheme="minorHAnsi" w:hAnsiTheme="minorHAnsi" w:cs="Arial"/>
                <w:szCs w:val="18"/>
              </w:rPr>
            </w:pPr>
            <w:r w:rsidRPr="00AC1F6F">
              <w:rPr>
                <w:rFonts w:asciiTheme="minorHAnsi" w:hAnsiTheme="minorHAnsi" w:cs="Arial"/>
                <w:szCs w:val="18"/>
              </w:rPr>
              <w:t>Union for the Coordination of Transmission of Electricity (</w:t>
            </w:r>
            <w:r>
              <w:rPr>
                <w:rFonts w:asciiTheme="minorHAnsi" w:hAnsiTheme="minorHAnsi" w:cs="Arial"/>
                <w:szCs w:val="18"/>
              </w:rPr>
              <w:t>Europe)</w:t>
            </w:r>
          </w:p>
        </w:tc>
      </w:tr>
      <w:tr w:rsidR="009B5673" w:rsidRPr="00AA34B3" w14:paraId="774943A3"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99DAF23"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FLS</w:t>
            </w:r>
          </w:p>
        </w:tc>
        <w:tc>
          <w:tcPr>
            <w:tcW w:w="6920" w:type="dxa"/>
          </w:tcPr>
          <w:p w14:paraId="1154A4F7" w14:textId="77777777" w:rsidR="00C95C96" w:rsidRPr="00AA34B3" w:rsidRDefault="009B5673" w:rsidP="00C95C96">
            <w:pPr>
              <w:spacing w:after="0"/>
              <w:rPr>
                <w:rFonts w:asciiTheme="minorHAnsi" w:hAnsiTheme="minorHAnsi" w:cs="Arial"/>
                <w:szCs w:val="18"/>
              </w:rPr>
            </w:pPr>
            <w:r>
              <w:rPr>
                <w:rFonts w:asciiTheme="minorHAnsi" w:hAnsiTheme="minorHAnsi" w:cs="Arial"/>
                <w:szCs w:val="18"/>
              </w:rPr>
              <w:t>underfrequency load shedding</w:t>
            </w:r>
          </w:p>
        </w:tc>
      </w:tr>
      <w:tr w:rsidR="006B79B7" w:rsidRPr="00AA34B3" w14:paraId="18F3570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0B4AEF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US</w:t>
            </w:r>
          </w:p>
        </w:tc>
        <w:tc>
          <w:tcPr>
            <w:tcW w:w="6920" w:type="dxa"/>
          </w:tcPr>
          <w:p w14:paraId="3EA9F39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w:t>
            </w:r>
          </w:p>
        </w:tc>
      </w:tr>
      <w:tr w:rsidR="006B79B7" w:rsidRPr="00AA34B3" w14:paraId="25107831"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A5E7997"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USA</w:t>
            </w:r>
          </w:p>
        </w:tc>
        <w:tc>
          <w:tcPr>
            <w:tcW w:w="6920" w:type="dxa"/>
          </w:tcPr>
          <w:p w14:paraId="256B6BBA"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of America</w:t>
            </w:r>
          </w:p>
        </w:tc>
      </w:tr>
      <w:tr w:rsidR="006B79B7" w:rsidRPr="00AA34B3" w14:paraId="06EE8677"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3DFBD6E"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USC</w:t>
            </w:r>
          </w:p>
        </w:tc>
        <w:tc>
          <w:tcPr>
            <w:tcW w:w="6920" w:type="dxa"/>
          </w:tcPr>
          <w:p w14:paraId="3972DF55"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United States Code</w:t>
            </w:r>
          </w:p>
        </w:tc>
      </w:tr>
      <w:tr w:rsidR="009B5673" w:rsidRPr="00AA34B3" w14:paraId="63F9781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7A93AC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U</w:t>
            </w:r>
            <w:r w:rsidR="009B5673">
              <w:rPr>
                <w:rFonts w:asciiTheme="minorHAnsi" w:hAnsiTheme="minorHAnsi" w:cs="Arial"/>
                <w:b/>
                <w:szCs w:val="18"/>
              </w:rPr>
              <w:t>VLS</w:t>
            </w:r>
          </w:p>
        </w:tc>
        <w:tc>
          <w:tcPr>
            <w:tcW w:w="6920" w:type="dxa"/>
          </w:tcPr>
          <w:p w14:paraId="023FC872" w14:textId="77777777" w:rsidR="00C95C96" w:rsidRPr="00AA34B3" w:rsidRDefault="009B5673" w:rsidP="00C95C96">
            <w:pPr>
              <w:spacing w:after="0"/>
              <w:rPr>
                <w:rFonts w:asciiTheme="minorHAnsi" w:hAnsiTheme="minorHAnsi" w:cs="Arial"/>
                <w:szCs w:val="18"/>
              </w:rPr>
            </w:pPr>
            <w:r>
              <w:rPr>
                <w:rFonts w:asciiTheme="minorHAnsi" w:hAnsiTheme="minorHAnsi" w:cs="Arial"/>
                <w:szCs w:val="18"/>
              </w:rPr>
              <w:t>undervoltage load shedding</w:t>
            </w:r>
          </w:p>
        </w:tc>
      </w:tr>
      <w:tr w:rsidR="006B79B7" w:rsidRPr="00AA34B3" w14:paraId="263B1BD1"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480A016"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VAR</w:t>
            </w:r>
          </w:p>
        </w:tc>
        <w:tc>
          <w:tcPr>
            <w:tcW w:w="6920" w:type="dxa"/>
          </w:tcPr>
          <w:p w14:paraId="058A506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voltage-ampere reactive</w:t>
            </w:r>
          </w:p>
        </w:tc>
      </w:tr>
      <w:tr w:rsidR="006B79B7" w:rsidRPr="00AA34B3" w14:paraId="0C06A3A0"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44A6F4B2"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VELCO</w:t>
            </w:r>
          </w:p>
        </w:tc>
        <w:tc>
          <w:tcPr>
            <w:tcW w:w="6920" w:type="dxa"/>
          </w:tcPr>
          <w:p w14:paraId="54062D5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Electric Power Company</w:t>
            </w:r>
          </w:p>
        </w:tc>
      </w:tr>
      <w:tr w:rsidR="006B79B7" w:rsidRPr="00AA34B3" w14:paraId="58F6E12F"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75BFE100"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VER</w:t>
            </w:r>
          </w:p>
        </w:tc>
        <w:tc>
          <w:tcPr>
            <w:tcW w:w="6920" w:type="dxa"/>
          </w:tcPr>
          <w:p w14:paraId="5D27BFD3"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variable energy resource</w:t>
            </w:r>
          </w:p>
        </w:tc>
      </w:tr>
      <w:tr w:rsidR="006B79B7" w:rsidRPr="00AA34B3" w14:paraId="39FBC479"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229B89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Vermont</w:t>
            </w:r>
          </w:p>
        </w:tc>
        <w:tc>
          <w:tcPr>
            <w:tcW w:w="6920" w:type="dxa"/>
          </w:tcPr>
          <w:p w14:paraId="659C587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active-demand-resource dispatch zone</w:t>
            </w:r>
          </w:p>
        </w:tc>
      </w:tr>
      <w:tr w:rsidR="006B79B7" w:rsidRPr="00AA34B3" w14:paraId="71250554"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0AAD229D"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bCs/>
                <w:szCs w:val="18"/>
              </w:rPr>
              <w:t>VT</w:t>
            </w:r>
          </w:p>
        </w:tc>
        <w:tc>
          <w:tcPr>
            <w:tcW w:w="6920" w:type="dxa"/>
          </w:tcPr>
          <w:p w14:paraId="2F158D8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1) State of Vermont</w:t>
            </w:r>
          </w:p>
          <w:p w14:paraId="68E3E349"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2) RSP subarea that includes Vermont and southwestern New Hampshire</w:t>
            </w:r>
          </w:p>
          <w:p w14:paraId="099366E7" w14:textId="77777777" w:rsidR="00C95C96" w:rsidRPr="00AA34B3" w:rsidRDefault="00C95C96" w:rsidP="00C95C96">
            <w:pPr>
              <w:spacing w:after="0"/>
              <w:rPr>
                <w:rFonts w:asciiTheme="minorHAnsi" w:hAnsiTheme="minorHAnsi" w:cs="Arial"/>
                <w:bCs/>
                <w:szCs w:val="18"/>
              </w:rPr>
            </w:pPr>
            <w:r w:rsidRPr="00AA34B3">
              <w:rPr>
                <w:rFonts w:asciiTheme="minorHAnsi" w:hAnsiTheme="minorHAnsi" w:cs="Arial"/>
                <w:bCs/>
                <w:szCs w:val="18"/>
              </w:rPr>
              <w:t>3) Vermont load zone</w:t>
            </w:r>
          </w:p>
          <w:p w14:paraId="76DF574C"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bCs/>
                <w:szCs w:val="18"/>
              </w:rPr>
              <w:t>4) Vermont active-demand-resource dispatch zone</w:t>
            </w:r>
          </w:p>
        </w:tc>
      </w:tr>
      <w:tr w:rsidR="009B5673" w:rsidRPr="00AA34B3" w14:paraId="33E7AAF5"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344A582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 xml:space="preserve">VT </w:t>
            </w:r>
            <w:r w:rsidR="009B5673">
              <w:rPr>
                <w:rFonts w:asciiTheme="minorHAnsi" w:hAnsiTheme="minorHAnsi" w:cs="Arial"/>
                <w:b/>
                <w:szCs w:val="18"/>
              </w:rPr>
              <w:t>PUC</w:t>
            </w:r>
          </w:p>
        </w:tc>
        <w:tc>
          <w:tcPr>
            <w:tcW w:w="6920" w:type="dxa"/>
          </w:tcPr>
          <w:p w14:paraId="2323EA7E" w14:textId="77777777" w:rsidR="00C95C96" w:rsidRPr="00AA34B3" w:rsidRDefault="00C95C96" w:rsidP="009B5673">
            <w:pPr>
              <w:spacing w:after="0"/>
              <w:rPr>
                <w:rFonts w:asciiTheme="minorHAnsi" w:hAnsiTheme="minorHAnsi" w:cs="Arial"/>
                <w:szCs w:val="18"/>
              </w:rPr>
            </w:pPr>
            <w:r w:rsidRPr="00AA34B3">
              <w:rPr>
                <w:rFonts w:asciiTheme="minorHAnsi" w:hAnsiTheme="minorHAnsi" w:cs="Arial"/>
                <w:szCs w:val="18"/>
              </w:rPr>
              <w:t xml:space="preserve">Vermont Public </w:t>
            </w:r>
            <w:r w:rsidR="009B5673">
              <w:rPr>
                <w:rFonts w:asciiTheme="minorHAnsi" w:hAnsiTheme="minorHAnsi" w:cs="Arial"/>
                <w:szCs w:val="18"/>
              </w:rPr>
              <w:t>Utility Commission</w:t>
            </w:r>
          </w:p>
        </w:tc>
      </w:tr>
      <w:tr w:rsidR="009B5673" w:rsidRPr="00AA34B3" w14:paraId="5503952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599641E8"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VTWAC</w:t>
            </w:r>
          </w:p>
        </w:tc>
        <w:tc>
          <w:tcPr>
            <w:tcW w:w="6920" w:type="dxa"/>
          </w:tcPr>
          <w:p w14:paraId="746B575E"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Vermont Weather Analytics Center</w:t>
            </w:r>
          </w:p>
        </w:tc>
      </w:tr>
      <w:tr w:rsidR="006B79B7" w:rsidRPr="00AA34B3" w14:paraId="5D2CA00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057ECC13"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WCMA</w:t>
            </w:r>
          </w:p>
        </w:tc>
        <w:tc>
          <w:tcPr>
            <w:tcW w:w="6920" w:type="dxa"/>
          </w:tcPr>
          <w:p w14:paraId="6C679784"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Western/Central Massachusetts load zone</w:t>
            </w:r>
          </w:p>
        </w:tc>
      </w:tr>
      <w:tr w:rsidR="009B5673" w:rsidRPr="00AA34B3" w14:paraId="453CECC2" w14:textId="77777777"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14:paraId="14034CB6" w14:textId="77777777" w:rsidR="009B5673" w:rsidRPr="00AA34B3" w:rsidRDefault="009B5673" w:rsidP="00C95C96">
            <w:pPr>
              <w:spacing w:after="0"/>
              <w:rPr>
                <w:rFonts w:asciiTheme="minorHAnsi" w:hAnsiTheme="minorHAnsi" w:cs="Arial"/>
                <w:b/>
                <w:szCs w:val="18"/>
              </w:rPr>
            </w:pPr>
            <w:r>
              <w:rPr>
                <w:rFonts w:asciiTheme="minorHAnsi" w:hAnsiTheme="minorHAnsi" w:cs="Arial"/>
                <w:b/>
                <w:szCs w:val="18"/>
              </w:rPr>
              <w:t>WECC</w:t>
            </w:r>
          </w:p>
        </w:tc>
        <w:tc>
          <w:tcPr>
            <w:tcW w:w="6920" w:type="dxa"/>
          </w:tcPr>
          <w:p w14:paraId="5DA2AFBE" w14:textId="77777777" w:rsidR="009B5673" w:rsidRPr="00AA34B3" w:rsidRDefault="009B5673" w:rsidP="00C95C96">
            <w:pPr>
              <w:spacing w:after="0"/>
              <w:rPr>
                <w:rFonts w:asciiTheme="minorHAnsi" w:hAnsiTheme="minorHAnsi" w:cs="Arial"/>
                <w:szCs w:val="18"/>
              </w:rPr>
            </w:pPr>
            <w:r w:rsidRPr="009B5673">
              <w:rPr>
                <w:rFonts w:asciiTheme="minorHAnsi" w:hAnsiTheme="minorHAnsi" w:cs="Arial"/>
                <w:szCs w:val="18"/>
              </w:rPr>
              <w:t>Western Electricity Coordinating Council</w:t>
            </w:r>
          </w:p>
        </w:tc>
      </w:tr>
      <w:tr w:rsidR="009B5673" w:rsidRPr="00AA34B3" w14:paraId="44863392" w14:textId="77777777"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14:paraId="4D53950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CT</w:t>
            </w:r>
          </w:p>
        </w:tc>
        <w:tc>
          <w:tcPr>
            <w:tcW w:w="6920" w:type="dxa"/>
          </w:tcPr>
          <w:p w14:paraId="1A8A3E56"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Connecticut active-demand-resource dispatch zone</w:t>
            </w:r>
          </w:p>
        </w:tc>
      </w:tr>
      <w:tr w:rsidR="009B5673" w:rsidRPr="00AA34B3" w14:paraId="2CCF1930" w14:textId="77777777"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14:paraId="6B754912"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Western MA</w:t>
            </w:r>
          </w:p>
        </w:tc>
        <w:tc>
          <w:tcPr>
            <w:tcW w:w="6920" w:type="dxa"/>
          </w:tcPr>
          <w:p w14:paraId="0D811A00"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active-demand-resource dispatch zone</w:t>
            </w:r>
          </w:p>
        </w:tc>
      </w:tr>
      <w:tr w:rsidR="009B5673" w:rsidRPr="00AA34B3" w14:paraId="0A2AE5BC" w14:textId="77777777"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14:paraId="20062034" w14:textId="77777777" w:rsidR="009B5673" w:rsidRDefault="009B5673" w:rsidP="00C95C96">
            <w:pPr>
              <w:spacing w:after="0"/>
              <w:rPr>
                <w:rFonts w:asciiTheme="minorHAnsi" w:hAnsiTheme="minorHAnsi" w:cs="Arial"/>
                <w:b/>
                <w:szCs w:val="18"/>
              </w:rPr>
            </w:pPr>
            <w:r>
              <w:rPr>
                <w:rFonts w:asciiTheme="minorHAnsi" w:hAnsiTheme="minorHAnsi" w:cs="Arial"/>
                <w:b/>
                <w:szCs w:val="18"/>
              </w:rPr>
              <w:t>WI</w:t>
            </w:r>
          </w:p>
        </w:tc>
        <w:tc>
          <w:tcPr>
            <w:tcW w:w="6920" w:type="dxa"/>
          </w:tcPr>
          <w:p w14:paraId="260E3599" w14:textId="77777777" w:rsidR="009B5673" w:rsidRDefault="009B5673" w:rsidP="009B5673">
            <w:pPr>
              <w:spacing w:after="0"/>
              <w:rPr>
                <w:rFonts w:asciiTheme="minorHAnsi" w:hAnsiTheme="minorHAnsi" w:cs="Arial"/>
                <w:szCs w:val="18"/>
              </w:rPr>
            </w:pPr>
            <w:r>
              <w:rPr>
                <w:rFonts w:asciiTheme="minorHAnsi" w:hAnsiTheme="minorHAnsi" w:cs="Arial"/>
                <w:szCs w:val="18"/>
              </w:rPr>
              <w:t>Western Interconnection</w:t>
            </w:r>
          </w:p>
        </w:tc>
      </w:tr>
      <w:tr w:rsidR="009B5673" w:rsidRPr="00AA34B3" w14:paraId="3197B7D4" w14:textId="77777777" w:rsidTr="00327CD2">
        <w:trPr>
          <w:cnfStyle w:val="000000100000" w:firstRow="0" w:lastRow="0" w:firstColumn="0" w:lastColumn="0" w:oddVBand="0" w:evenVBand="0" w:oddHBand="1" w:evenHBand="0" w:firstRowFirstColumn="0" w:firstRowLastColumn="0" w:lastRowFirstColumn="0" w:lastRowLastColumn="0"/>
          <w:trHeight w:val="308"/>
        </w:trPr>
        <w:tc>
          <w:tcPr>
            <w:tcW w:w="2074" w:type="dxa"/>
          </w:tcPr>
          <w:p w14:paraId="2ABC04C9" w14:textId="77777777" w:rsidR="009B5673" w:rsidRPr="00AA34B3" w:rsidRDefault="009B5673" w:rsidP="00C95C96">
            <w:pPr>
              <w:spacing w:after="0"/>
              <w:rPr>
                <w:rFonts w:asciiTheme="minorHAnsi" w:hAnsiTheme="minorHAnsi" w:cs="Arial"/>
                <w:b/>
                <w:szCs w:val="18"/>
              </w:rPr>
            </w:pPr>
            <w:r>
              <w:rPr>
                <w:rFonts w:asciiTheme="minorHAnsi" w:hAnsiTheme="minorHAnsi" w:cs="Arial"/>
                <w:b/>
                <w:szCs w:val="18"/>
              </w:rPr>
              <w:t>WIP</w:t>
            </w:r>
          </w:p>
        </w:tc>
        <w:tc>
          <w:tcPr>
            <w:tcW w:w="6920" w:type="dxa"/>
          </w:tcPr>
          <w:p w14:paraId="0A10624C" w14:textId="77777777" w:rsidR="009B5673" w:rsidRPr="00AA34B3" w:rsidRDefault="009B5673" w:rsidP="009B5673">
            <w:pPr>
              <w:spacing w:after="0"/>
              <w:rPr>
                <w:rFonts w:asciiTheme="minorHAnsi" w:hAnsiTheme="minorHAnsi" w:cs="Arial"/>
                <w:szCs w:val="18"/>
              </w:rPr>
            </w:pPr>
            <w:r>
              <w:rPr>
                <w:rFonts w:asciiTheme="minorHAnsi" w:hAnsiTheme="minorHAnsi" w:cs="Arial"/>
                <w:szCs w:val="18"/>
              </w:rPr>
              <w:t>Wright Interconnect Project</w:t>
            </w:r>
          </w:p>
        </w:tc>
      </w:tr>
      <w:tr w:rsidR="009B5673" w:rsidRPr="00AA34B3" w14:paraId="76731347" w14:textId="77777777" w:rsidTr="00327CD2">
        <w:trPr>
          <w:cnfStyle w:val="000000010000" w:firstRow="0" w:lastRow="0" w:firstColumn="0" w:lastColumn="0" w:oddVBand="0" w:evenVBand="0" w:oddHBand="0" w:evenHBand="1" w:firstRowFirstColumn="0" w:firstRowLastColumn="0" w:lastRowFirstColumn="0" w:lastRowLastColumn="0"/>
          <w:trHeight w:val="308"/>
        </w:trPr>
        <w:tc>
          <w:tcPr>
            <w:tcW w:w="2074" w:type="dxa"/>
          </w:tcPr>
          <w:p w14:paraId="24741F07"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WMA</w:t>
            </w:r>
          </w:p>
        </w:tc>
        <w:tc>
          <w:tcPr>
            <w:tcW w:w="6920" w:type="dxa"/>
          </w:tcPr>
          <w:p w14:paraId="15D70F4F"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RSP subarea for western Massachusetts</w:t>
            </w:r>
          </w:p>
        </w:tc>
      </w:tr>
      <w:tr w:rsidR="009B5673" w:rsidRPr="00AA34B3" w:rsidDel="001B15B5" w14:paraId="1141A12B"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37B772DF"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WMECO</w:t>
            </w:r>
          </w:p>
        </w:tc>
        <w:tc>
          <w:tcPr>
            <w:tcW w:w="6920" w:type="dxa"/>
          </w:tcPr>
          <w:p w14:paraId="13BE9408"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Western Massachusetts Electric Company</w:t>
            </w:r>
          </w:p>
        </w:tc>
      </w:tr>
      <w:tr w:rsidR="009B5673" w:rsidRPr="00AA34B3" w:rsidDel="001B15B5" w14:paraId="6AAD9692"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1DD0B32F" w14:textId="77777777" w:rsidR="00C95C96" w:rsidRPr="00AA34B3" w:rsidDel="001B15B5" w:rsidRDefault="00C95C96" w:rsidP="00C95C96">
            <w:pPr>
              <w:spacing w:after="0"/>
              <w:rPr>
                <w:rFonts w:asciiTheme="minorHAnsi" w:hAnsiTheme="minorHAnsi" w:cs="Arial"/>
                <w:b/>
                <w:szCs w:val="18"/>
              </w:rPr>
            </w:pPr>
            <w:r w:rsidRPr="00AA34B3">
              <w:rPr>
                <w:rFonts w:asciiTheme="minorHAnsi" w:hAnsiTheme="minorHAnsi" w:cs="Arial"/>
                <w:b/>
                <w:szCs w:val="18"/>
              </w:rPr>
              <w:t>WMPP</w:t>
            </w:r>
          </w:p>
        </w:tc>
        <w:tc>
          <w:tcPr>
            <w:tcW w:w="6920" w:type="dxa"/>
          </w:tcPr>
          <w:p w14:paraId="6A76CD44" w14:textId="77777777" w:rsidR="00C95C96" w:rsidRPr="00AA34B3" w:rsidDel="001B15B5" w:rsidRDefault="00C95C96" w:rsidP="00C95C96">
            <w:pPr>
              <w:spacing w:after="0"/>
              <w:rPr>
                <w:rFonts w:asciiTheme="minorHAnsi" w:hAnsiTheme="minorHAnsi" w:cs="Arial"/>
                <w:szCs w:val="18"/>
              </w:rPr>
            </w:pPr>
            <w:r w:rsidRPr="00AA34B3">
              <w:rPr>
                <w:rFonts w:asciiTheme="minorHAnsi" w:hAnsiTheme="minorHAnsi" w:cs="Arial"/>
                <w:szCs w:val="18"/>
              </w:rPr>
              <w:t>Wholesale Markets Project Plan</w:t>
            </w:r>
          </w:p>
        </w:tc>
      </w:tr>
      <w:tr w:rsidR="0040600E" w:rsidRPr="00AA34B3" w14:paraId="2F9DF8D2"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0765C52" w14:textId="77777777" w:rsidR="0040600E" w:rsidRPr="00AA34B3" w:rsidRDefault="0040600E" w:rsidP="00C95C96">
            <w:pPr>
              <w:spacing w:after="0"/>
              <w:rPr>
                <w:rFonts w:asciiTheme="minorHAnsi" w:hAnsiTheme="minorHAnsi" w:cs="Arial"/>
                <w:b/>
                <w:szCs w:val="18"/>
              </w:rPr>
            </w:pPr>
            <w:r>
              <w:rPr>
                <w:rFonts w:asciiTheme="minorHAnsi" w:hAnsiTheme="minorHAnsi" w:cs="Arial"/>
                <w:b/>
                <w:szCs w:val="18"/>
              </w:rPr>
              <w:t>WWTP</w:t>
            </w:r>
          </w:p>
        </w:tc>
        <w:tc>
          <w:tcPr>
            <w:tcW w:w="6920" w:type="dxa"/>
          </w:tcPr>
          <w:p w14:paraId="77C0843C" w14:textId="77777777" w:rsidR="0040600E" w:rsidRPr="00AA34B3" w:rsidRDefault="0040600E" w:rsidP="00C95C96">
            <w:pPr>
              <w:spacing w:after="0"/>
              <w:rPr>
                <w:rFonts w:asciiTheme="minorHAnsi" w:hAnsiTheme="minorHAnsi" w:cs="Arial"/>
                <w:szCs w:val="18"/>
              </w:rPr>
            </w:pPr>
            <w:r>
              <w:rPr>
                <w:rFonts w:asciiTheme="minorHAnsi" w:hAnsiTheme="minorHAnsi" w:cs="Arial"/>
                <w:szCs w:val="18"/>
              </w:rPr>
              <w:t>wastewater treatment plant</w:t>
            </w:r>
          </w:p>
        </w:tc>
      </w:tr>
      <w:tr w:rsidR="009B5673" w:rsidRPr="00AA34B3" w14:paraId="28004BD6" w14:textId="77777777" w:rsidTr="00327CD2">
        <w:trPr>
          <w:cnfStyle w:val="000000010000" w:firstRow="0" w:lastRow="0" w:firstColumn="0" w:lastColumn="0" w:oddVBand="0" w:evenVBand="0" w:oddHBand="0" w:evenHBand="1" w:firstRowFirstColumn="0" w:firstRowLastColumn="0" w:lastRowFirstColumn="0" w:lastRowLastColumn="0"/>
        </w:trPr>
        <w:tc>
          <w:tcPr>
            <w:tcW w:w="2074" w:type="dxa"/>
          </w:tcPr>
          <w:p w14:paraId="5A5F500D" w14:textId="77777777" w:rsidR="00C95C96" w:rsidRPr="00AA34B3" w:rsidRDefault="00C95C96" w:rsidP="00C95C96">
            <w:pPr>
              <w:spacing w:after="0"/>
              <w:rPr>
                <w:rFonts w:asciiTheme="minorHAnsi" w:hAnsiTheme="minorHAnsi" w:cs="Arial"/>
                <w:b/>
                <w:szCs w:val="18"/>
              </w:rPr>
            </w:pPr>
            <w:r w:rsidRPr="00AA34B3">
              <w:rPr>
                <w:rFonts w:asciiTheme="minorHAnsi" w:hAnsiTheme="minorHAnsi" w:cs="Arial"/>
                <w:b/>
                <w:szCs w:val="18"/>
              </w:rPr>
              <w:t>XLS</w:t>
            </w:r>
          </w:p>
        </w:tc>
        <w:tc>
          <w:tcPr>
            <w:tcW w:w="6920" w:type="dxa"/>
          </w:tcPr>
          <w:p w14:paraId="158EF2A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Microsoft Excel file</w:t>
            </w:r>
          </w:p>
        </w:tc>
      </w:tr>
      <w:tr w:rsidR="009B5673" w:rsidRPr="00AA34B3" w14:paraId="320C7E1D" w14:textId="77777777" w:rsidTr="00327CD2">
        <w:trPr>
          <w:cnfStyle w:val="000000100000" w:firstRow="0" w:lastRow="0" w:firstColumn="0" w:lastColumn="0" w:oddVBand="0" w:evenVBand="0" w:oddHBand="1" w:evenHBand="0" w:firstRowFirstColumn="0" w:firstRowLastColumn="0" w:lastRowFirstColumn="0" w:lastRowLastColumn="0"/>
        </w:trPr>
        <w:tc>
          <w:tcPr>
            <w:tcW w:w="2074" w:type="dxa"/>
          </w:tcPr>
          <w:p w14:paraId="2E6A0FAF" w14:textId="77777777" w:rsidR="00C95C96" w:rsidRPr="00AA34B3" w:rsidRDefault="00C95C96" w:rsidP="00C95C96">
            <w:pPr>
              <w:spacing w:after="0"/>
              <w:rPr>
                <w:rFonts w:asciiTheme="minorHAnsi" w:hAnsiTheme="minorHAnsi" w:cs="Arial"/>
                <w:b/>
                <w:bCs/>
                <w:szCs w:val="18"/>
              </w:rPr>
            </w:pPr>
            <w:r w:rsidRPr="00AA34B3">
              <w:rPr>
                <w:rFonts w:asciiTheme="minorHAnsi" w:hAnsiTheme="minorHAnsi" w:cs="Arial"/>
                <w:b/>
                <w:szCs w:val="18"/>
              </w:rPr>
              <w:t>yr</w:t>
            </w:r>
          </w:p>
        </w:tc>
        <w:tc>
          <w:tcPr>
            <w:tcW w:w="6920" w:type="dxa"/>
          </w:tcPr>
          <w:p w14:paraId="35E8763B" w14:textId="77777777" w:rsidR="00C95C96" w:rsidRPr="00AA34B3" w:rsidRDefault="00C95C96" w:rsidP="00C95C96">
            <w:pPr>
              <w:spacing w:after="0"/>
              <w:rPr>
                <w:rFonts w:asciiTheme="minorHAnsi" w:hAnsiTheme="minorHAnsi" w:cs="Arial"/>
                <w:szCs w:val="18"/>
              </w:rPr>
            </w:pPr>
            <w:r w:rsidRPr="00AA34B3">
              <w:rPr>
                <w:rFonts w:asciiTheme="minorHAnsi" w:hAnsiTheme="minorHAnsi" w:cs="Arial"/>
                <w:szCs w:val="18"/>
              </w:rPr>
              <w:t>year</w:t>
            </w:r>
          </w:p>
        </w:tc>
      </w:tr>
    </w:tbl>
    <w:p w14:paraId="244EFFB8" w14:textId="77777777" w:rsidR="003C3269" w:rsidRPr="007D367C" w:rsidRDefault="003C3269" w:rsidP="009956EC"/>
    <w:sectPr w:rsidR="003C3269" w:rsidRPr="007D367C" w:rsidSect="009956EC">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A7A9E" w14:textId="77777777" w:rsidR="00E231DA" w:rsidRDefault="00E231DA" w:rsidP="00073277">
      <w:r>
        <w:separator/>
      </w:r>
    </w:p>
  </w:endnote>
  <w:endnote w:type="continuationSeparator" w:id="0">
    <w:p w14:paraId="633F663F" w14:textId="77777777" w:rsidR="00E231DA" w:rsidRDefault="00E231DA" w:rsidP="000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NeueHaasGroteskText Std">
    <w:altName w:val="NeueHaasGroteskText Std"/>
    <w:panose1 w:val="00000000000000000000"/>
    <w:charset w:val="00"/>
    <w:family w:val="swiss"/>
    <w:notTrueType/>
    <w:pitch w:val="default"/>
    <w:sig w:usb0="00000003" w:usb1="00000000" w:usb2="00000000" w:usb3="00000000" w:csb0="00000001" w:csb1="00000000"/>
  </w:font>
  <w:font w:name="Produkt Semibold">
    <w:altName w:val="Produkt Semibold"/>
    <w:panose1 w:val="00000000000000000000"/>
    <w:charset w:val="00"/>
    <w:family w:val="roman"/>
    <w:notTrueType/>
    <w:pitch w:val="default"/>
    <w:sig w:usb0="00000003" w:usb1="00000000" w:usb2="00000000" w:usb3="00000000" w:csb0="00000001" w:csb1="00000000"/>
  </w:font>
  <w:font w:name="Duplicate Ionic">
    <w:altName w:val="Duplicate Ionic"/>
    <w:panose1 w:val="00000000000000000000"/>
    <w:charset w:val="00"/>
    <w:family w:val="roman"/>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C441" w14:textId="77777777" w:rsidR="00E231DA" w:rsidRPr="00945B03" w:rsidRDefault="00E231DA" w:rsidP="00BF3CF1">
    <w:pPr>
      <w:tabs>
        <w:tab w:val="center" w:pos="4500"/>
        <w:tab w:val="right" w:pos="9360"/>
      </w:tabs>
      <w:spacing w:line="240" w:lineRule="auto"/>
      <w:ind w:right="-360"/>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F5EA2" w14:textId="7353BDA9" w:rsidR="00E231DA" w:rsidRPr="00945B03" w:rsidRDefault="00E231DA" w:rsidP="00945B03">
    <w:pPr>
      <w:tabs>
        <w:tab w:val="left" w:pos="0"/>
        <w:tab w:val="center" w:pos="4680"/>
      </w:tabs>
      <w:spacing w:after="0" w:line="240" w:lineRule="auto"/>
      <w:ind w:right="-360"/>
      <w:jc w:val="both"/>
      <w:rPr>
        <w:rFonts w:eastAsia="Times New Roman"/>
        <w:sz w:val="18"/>
        <w:szCs w:val="18"/>
      </w:rPr>
    </w:pPr>
    <w:r>
      <w:rPr>
        <w:rFonts w:eastAsia="Times New Roman"/>
        <w:i/>
        <w:sz w:val="18"/>
        <w:szCs w:val="18"/>
      </w:rPr>
      <w:t>2019 Regional System Plan</w:t>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D94A8D">
      <w:rPr>
        <w:rFonts w:eastAsia="Times New Roman"/>
        <w:noProof/>
        <w:sz w:val="18"/>
        <w:szCs w:val="18"/>
      </w:rPr>
      <w:t>iii</w:t>
    </w:r>
    <w:r w:rsidRPr="00945B03">
      <w:rPr>
        <w:rFonts w:eastAsia="Times New Roman"/>
        <w:sz w:val="18"/>
        <w:szCs w:val="18"/>
      </w:rPr>
      <w:fldChar w:fldCharType="end"/>
    </w:r>
  </w:p>
  <w:p w14:paraId="756E6269" w14:textId="7D152554" w:rsidR="00E231DA" w:rsidRPr="00945B03" w:rsidRDefault="00E231DA" w:rsidP="00945B03">
    <w:pPr>
      <w:tabs>
        <w:tab w:val="center" w:pos="4500"/>
        <w:tab w:val="right" w:pos="9360"/>
      </w:tabs>
      <w:spacing w:line="240" w:lineRule="auto"/>
      <w:ind w:right="-360"/>
      <w:jc w:val="center"/>
      <w:rPr>
        <w:rFonts w:eastAsia="Times New Roman"/>
        <w:sz w:val="18"/>
        <w:szCs w:val="18"/>
      </w:rPr>
    </w:pPr>
    <w:r w:rsidRPr="00AC01DD">
      <w:rPr>
        <w:rFonts w:eastAsia="Calibri"/>
        <w:color w:val="000000"/>
      </w:rPr>
      <w:t xml:space="preserve">ISO-NE </w:t>
    </w:r>
    <w:r w:rsidR="00BD24FC">
      <w:rPr>
        <w:rFonts w:eastAsia="Calibri"/>
        <w:color w:val="000000"/>
      </w:rPr>
      <w:t>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3CD3" w14:textId="77777777" w:rsidR="00E231DA" w:rsidRPr="003C3269" w:rsidRDefault="00E231DA" w:rsidP="00BF3CF1">
    <w:pP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C2004" w14:textId="14979796" w:rsidR="00E231DA" w:rsidRPr="005A7AD8" w:rsidRDefault="00E231DA"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2019 Regional System Plan</w:t>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t xml:space="preserve">                    </w:t>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9D7B65">
      <w:rPr>
        <w:rFonts w:eastAsia="Times New Roman"/>
        <w:noProof/>
        <w:sz w:val="18"/>
        <w:szCs w:val="18"/>
      </w:rPr>
      <w:t>xiii</w:t>
    </w:r>
    <w:r w:rsidRPr="005A7AD8">
      <w:rPr>
        <w:rFonts w:eastAsia="Times New Roman"/>
        <w:sz w:val="18"/>
        <w:szCs w:val="18"/>
      </w:rPr>
      <w:fldChar w:fldCharType="end"/>
    </w:r>
  </w:p>
  <w:p w14:paraId="2D650BCD" w14:textId="36AA4604" w:rsidR="00E231DA" w:rsidRDefault="00E231DA" w:rsidP="009F766E">
    <w:pPr>
      <w:pStyle w:val="Footer"/>
      <w:jc w:val="center"/>
      <w:rPr>
        <w:szCs w:val="18"/>
      </w:rPr>
    </w:pPr>
    <w:r w:rsidRPr="00AC01DD">
      <w:rPr>
        <w:rFonts w:eastAsia="Calibri"/>
        <w:color w:val="000000"/>
        <w:sz w:val="20"/>
        <w:szCs w:val="20"/>
      </w:rPr>
      <w:t>ISO-</w:t>
    </w:r>
    <w:r w:rsidR="00BD24FC">
      <w:rPr>
        <w:rFonts w:eastAsia="Calibri"/>
        <w:color w:val="000000"/>
        <w:sz w:val="20"/>
        <w:szCs w:val="20"/>
      </w:rPr>
      <w:t>PUBLIC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81B07" w14:textId="77777777" w:rsidR="00E231DA" w:rsidRDefault="00E231DA" w:rsidP="009F766E">
    <w:pPr>
      <w:pStyle w:val="Footer"/>
      <w:jc w:val="cen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F4AC2" w14:textId="6C34DE4D" w:rsidR="00E231DA" w:rsidRPr="005A7AD8" w:rsidRDefault="00E231DA" w:rsidP="009F766E">
    <w:pPr>
      <w:tabs>
        <w:tab w:val="left" w:pos="0"/>
        <w:tab w:val="center" w:pos="4680"/>
      </w:tabs>
      <w:spacing w:after="0" w:line="240" w:lineRule="auto"/>
      <w:ind w:right="-360"/>
      <w:jc w:val="both"/>
      <w:rPr>
        <w:rFonts w:eastAsia="Times New Roman"/>
        <w:sz w:val="18"/>
        <w:szCs w:val="18"/>
      </w:rPr>
    </w:pPr>
    <w:r>
      <w:rPr>
        <w:rFonts w:eastAsia="Times New Roman"/>
        <w:i/>
        <w:sz w:val="18"/>
        <w:szCs w:val="18"/>
      </w:rPr>
      <w:t>2019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sidRPr="005A7AD8">
      <w:rPr>
        <w:rFonts w:eastAsia="Times New Roman"/>
        <w:i/>
        <w:sz w:val="18"/>
        <w:szCs w:val="18"/>
      </w:rPr>
      <w:t xml:space="preserve">                   </w:t>
    </w:r>
    <w:r>
      <w:rPr>
        <w:rFonts w:eastAsia="Times New Roman"/>
        <w:sz w:val="18"/>
        <w:szCs w:val="18"/>
      </w:rPr>
      <w:tab/>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9D7B65">
      <w:rPr>
        <w:rFonts w:eastAsia="Times New Roman"/>
        <w:noProof/>
        <w:sz w:val="18"/>
        <w:szCs w:val="18"/>
      </w:rPr>
      <w:t>7</w:t>
    </w:r>
    <w:r w:rsidRPr="005A7AD8">
      <w:rPr>
        <w:rFonts w:eastAsia="Times New Roman"/>
        <w:sz w:val="18"/>
        <w:szCs w:val="18"/>
      </w:rPr>
      <w:fldChar w:fldCharType="end"/>
    </w:r>
  </w:p>
  <w:p w14:paraId="47D3B284" w14:textId="6B86A18C" w:rsidR="00E231DA" w:rsidRDefault="00E231DA" w:rsidP="009F766E">
    <w:pPr>
      <w:pStyle w:val="Footer"/>
      <w:tabs>
        <w:tab w:val="clear" w:pos="4500"/>
        <w:tab w:val="clear" w:pos="9360"/>
        <w:tab w:val="left" w:pos="0"/>
        <w:tab w:val="center" w:pos="4680"/>
      </w:tabs>
      <w:spacing w:after="0"/>
      <w:ind w:right="0"/>
      <w:jc w:val="center"/>
      <w:rPr>
        <w:szCs w:val="18"/>
      </w:rPr>
    </w:pPr>
    <w:r w:rsidRPr="00AC01DD">
      <w:rPr>
        <w:rFonts w:eastAsia="Calibri"/>
        <w:color w:val="000000"/>
        <w:sz w:val="20"/>
        <w:szCs w:val="20"/>
      </w:rPr>
      <w:t xml:space="preserve">ISO-NE </w:t>
    </w:r>
    <w:r w:rsidR="00BD24FC">
      <w:rPr>
        <w:rFonts w:eastAsia="Calibri"/>
        <w:color w:val="000000"/>
        <w:sz w:val="20"/>
        <w:szCs w:val="2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1E49C" w14:textId="77777777" w:rsidR="00E231DA" w:rsidRDefault="00E231DA" w:rsidP="00BA5816">
      <w:pPr>
        <w:spacing w:after="0" w:line="240" w:lineRule="auto"/>
      </w:pPr>
      <w:r>
        <w:separator/>
      </w:r>
    </w:p>
  </w:footnote>
  <w:footnote w:type="continuationSeparator" w:id="0">
    <w:p w14:paraId="6CD997CD" w14:textId="77777777" w:rsidR="00E231DA" w:rsidRDefault="00E231DA" w:rsidP="00BA5816">
      <w:pPr>
        <w:spacing w:after="0" w:line="240" w:lineRule="auto"/>
      </w:pPr>
      <w:r>
        <w:continuationSeparator/>
      </w:r>
    </w:p>
  </w:footnote>
  <w:footnote w:type="continuationNotice" w:id="1">
    <w:p w14:paraId="38BA077B" w14:textId="77777777" w:rsidR="00E231DA" w:rsidRPr="005B6D77" w:rsidRDefault="00E231DA" w:rsidP="00BA5816">
      <w:pPr>
        <w:pStyle w:val="Footer"/>
        <w:spacing w:after="0"/>
        <w:ind w:right="0"/>
      </w:pPr>
    </w:p>
  </w:footnote>
  <w:footnote w:id="2">
    <w:p w14:paraId="47AA4FF5" w14:textId="77777777" w:rsidR="00E231DA" w:rsidRPr="003C27B1" w:rsidRDefault="00E231DA" w:rsidP="003C27B1">
      <w:pPr>
        <w:pStyle w:val="FootnoteText"/>
      </w:pPr>
      <w:r>
        <w:rPr>
          <w:rStyle w:val="FootnoteReference"/>
        </w:rPr>
        <w:footnoteRef/>
      </w:r>
      <w:r>
        <w:t xml:space="preserve"> </w:t>
      </w:r>
      <w:r w:rsidRPr="00576E65">
        <w:rPr>
          <w:i/>
        </w:rPr>
        <w:t>Inverter-based technologies</w:t>
      </w:r>
      <w:r>
        <w:t xml:space="preserve"> include </w:t>
      </w:r>
      <w:r w:rsidRPr="00D847C1">
        <w:t>wind, photovoltaics</w:t>
      </w:r>
      <w:r>
        <w:t xml:space="preserve"> resources</w:t>
      </w:r>
      <w:r w:rsidRPr="00D847C1">
        <w:t xml:space="preserve">, </w:t>
      </w:r>
      <w:r w:rsidRPr="000A6959">
        <w:t>high-voltage direct-current (HVDC) facilities, battery energy-storage systems, and flexible alternating current transmission system (FACTS) d</w:t>
      </w:r>
      <w:r w:rsidRPr="00D60094">
        <w:t>evices</w:t>
      </w:r>
      <w:r>
        <w:t xml:space="preserve">, </w:t>
      </w:r>
      <w:r w:rsidRPr="00D60094">
        <w:t>which can help regulate voltages and improve the stability performance of the system</w:t>
      </w:r>
      <w:r>
        <w:t xml:space="preserve">. </w:t>
      </w:r>
      <w:r w:rsidRPr="00CF2B8B">
        <w:rPr>
          <w:i/>
        </w:rPr>
        <w:t>Distributed energy resources</w:t>
      </w:r>
      <w:r w:rsidRPr="0072751C">
        <w:t xml:space="preserve"> (DERs) are sources and aggregated sources of electric power not directly connected to a bulk power system. DERs include generators (i.e., distributed generators) and energy-storage technologies capable of exporting active power to an electric power system.</w:t>
      </w:r>
      <w:r>
        <w:t xml:space="preserve"> </w:t>
      </w:r>
    </w:p>
  </w:footnote>
  <w:footnote w:id="3">
    <w:p w14:paraId="6BCA37ED" w14:textId="77777777" w:rsidR="00E231DA" w:rsidRDefault="00E231DA" w:rsidP="001B747C">
      <w:pPr>
        <w:pStyle w:val="FootnoteText"/>
      </w:pPr>
      <w:r w:rsidRPr="00762599">
        <w:rPr>
          <w:rStyle w:val="FootnoteReference"/>
        </w:rPr>
        <w:footnoteRef/>
      </w:r>
      <w:r w:rsidRPr="00762599">
        <w:t xml:space="preserve"> </w:t>
      </w:r>
      <w:r w:rsidRPr="00762599">
        <w:rPr>
          <w:szCs w:val="18"/>
        </w:rPr>
        <w:t xml:space="preserve">FERC, </w:t>
      </w:r>
      <w:r w:rsidRPr="00762599">
        <w:rPr>
          <w:i/>
          <w:szCs w:val="18"/>
        </w:rPr>
        <w:t>ISO New England Inc.</w:t>
      </w:r>
      <w:r w:rsidRPr="00762599">
        <w:rPr>
          <w:szCs w:val="18"/>
        </w:rPr>
        <w:t xml:space="preserve"> </w:t>
      </w:r>
      <w:r w:rsidRPr="00762599">
        <w:rPr>
          <w:i/>
          <w:szCs w:val="18"/>
        </w:rPr>
        <w:t>Order on Compliance Filings</w:t>
      </w:r>
      <w:r w:rsidRPr="00762599">
        <w:rPr>
          <w:szCs w:val="18"/>
        </w:rPr>
        <w:t xml:space="preserve"> (May 17, 2013), </w:t>
      </w:r>
      <w:hyperlink r:id="rId1" w:history="1">
        <w:r w:rsidRPr="00762599">
          <w:rPr>
            <w:rStyle w:val="Hyperlink"/>
            <w:szCs w:val="18"/>
          </w:rPr>
          <w:t>https://www.iso-ne.com/static-assets/documents/regulatory/ferc/orders/2013/may/er13_193_er13_196_5_17_13_order_on_order_1000_compliance_filings.pdf</w:t>
        </w:r>
      </w:hyperlink>
      <w:r w:rsidRPr="00762599">
        <w:rPr>
          <w:szCs w:val="18"/>
        </w:rPr>
        <w:t>.</w:t>
      </w:r>
    </w:p>
  </w:footnote>
  <w:footnote w:id="4">
    <w:p w14:paraId="47D07BB4" w14:textId="77777777" w:rsidR="00E231DA" w:rsidRPr="00294968" w:rsidRDefault="00E231DA" w:rsidP="001B747C">
      <w:pPr>
        <w:pStyle w:val="FootnoteText"/>
        <w:rPr>
          <w:szCs w:val="18"/>
        </w:rPr>
      </w:pPr>
      <w:r w:rsidRPr="00FA7507">
        <w:rPr>
          <w:rStyle w:val="FootnoteReference"/>
          <w:sz w:val="18"/>
          <w:szCs w:val="18"/>
        </w:rPr>
        <w:footnoteRef/>
      </w:r>
      <w:r w:rsidRPr="00FA7507">
        <w:rPr>
          <w:szCs w:val="18"/>
        </w:rPr>
        <w:t xml:space="preserve"> A </w:t>
      </w:r>
      <w:r w:rsidRPr="00FA7507">
        <w:rPr>
          <w:i/>
          <w:szCs w:val="18"/>
        </w:rPr>
        <w:t>hybrid grid</w:t>
      </w:r>
      <w:r w:rsidRPr="00FA7507">
        <w:rPr>
          <w:szCs w:val="18"/>
        </w:rPr>
        <w:t xml:space="preserve"> is a</w:t>
      </w:r>
      <w:r w:rsidRPr="00693EF3">
        <w:rPr>
          <w:szCs w:val="18"/>
        </w:rPr>
        <w:t xml:space="preserve"> power system where large generators and other power resources connected</w:t>
      </w:r>
      <w:r w:rsidRPr="00A43ABC">
        <w:rPr>
          <w:szCs w:val="18"/>
        </w:rPr>
        <w:t xml:space="preserve"> to the regional transmission system meet electricity needs, in combination with thousands of small resources connected “behind the meter” (BTM) directly to retail customer sites or local distribution utilities. </w:t>
      </w:r>
    </w:p>
  </w:footnote>
  <w:footnote w:id="5">
    <w:p w14:paraId="242684EE" w14:textId="77777777" w:rsidR="00E231DA" w:rsidRDefault="00E231DA" w:rsidP="001B747C">
      <w:pPr>
        <w:pStyle w:val="FootnoteText"/>
      </w:pPr>
      <w:r>
        <w:rPr>
          <w:rStyle w:val="FootnoteReference"/>
        </w:rPr>
        <w:footnoteRef/>
      </w:r>
      <w:r>
        <w:t xml:space="preserve"> </w:t>
      </w:r>
      <w:r w:rsidRPr="000209F5">
        <w:t xml:space="preserve">A </w:t>
      </w:r>
      <w:r w:rsidRPr="003C248C">
        <w:rPr>
          <w:i/>
        </w:rPr>
        <w:t>50/50 peak load</w:t>
      </w:r>
      <w:r w:rsidRPr="000209F5">
        <w:t xml:space="preserve"> has a 50% chance of being exceeded because of weather conditions, expected to occur in the summer in New England at a weighted New England-wide temperature of 90.2</w:t>
      </w:r>
      <w:r w:rsidRPr="003C6D8E">
        <w:t xml:space="preserve"> </w:t>
      </w:r>
      <w:r w:rsidRPr="000209F5">
        <w:t>degrees Fahrenheit (°F), and in the winter, 7.0°F.</w:t>
      </w:r>
      <w:r>
        <w:t xml:space="preserve"> </w:t>
      </w:r>
      <w:r w:rsidRPr="000209F5">
        <w:t xml:space="preserve">A </w:t>
      </w:r>
      <w:r w:rsidRPr="003C248C">
        <w:rPr>
          <w:i/>
        </w:rPr>
        <w:t>90/10 peak load</w:t>
      </w:r>
      <w:r w:rsidRPr="000209F5">
        <w:t xml:space="preserve"> has a 10% chance of being exceeded because of weather conditions, expected to occur in the summer in New England at a weighted New England-wide temperature of 94.2°F, and in the winter, 1.6°F. </w:t>
      </w:r>
    </w:p>
  </w:footnote>
  <w:footnote w:id="6">
    <w:p w14:paraId="74C65E72" w14:textId="77777777" w:rsidR="00E231DA" w:rsidRPr="00245BA8" w:rsidRDefault="00E231DA" w:rsidP="001B747C">
      <w:pPr>
        <w:spacing w:after="80" w:line="240" w:lineRule="auto"/>
        <w:rPr>
          <w:sz w:val="18"/>
          <w:szCs w:val="18"/>
        </w:rPr>
      </w:pPr>
      <w:r w:rsidRPr="00620FBF">
        <w:rPr>
          <w:rStyle w:val="FootnoteReference"/>
          <w:sz w:val="18"/>
          <w:szCs w:val="18"/>
        </w:rPr>
        <w:footnoteRef/>
      </w:r>
      <w:r w:rsidRPr="00620FBF">
        <w:rPr>
          <w:sz w:val="18"/>
          <w:szCs w:val="18"/>
        </w:rPr>
        <w:t xml:space="preserve"> The actual </w:t>
      </w:r>
      <w:r>
        <w:rPr>
          <w:sz w:val="18"/>
          <w:szCs w:val="18"/>
        </w:rPr>
        <w:t>gross demand</w:t>
      </w:r>
      <w:r w:rsidRPr="00620FBF">
        <w:rPr>
          <w:sz w:val="18"/>
          <w:szCs w:val="18"/>
        </w:rPr>
        <w:t xml:space="preserve"> has been near or above the 50/50 forecast 1</w:t>
      </w:r>
      <w:r>
        <w:rPr>
          <w:sz w:val="18"/>
          <w:szCs w:val="18"/>
        </w:rPr>
        <w:t>2</w:t>
      </w:r>
      <w:r w:rsidRPr="00620FBF">
        <w:rPr>
          <w:sz w:val="18"/>
          <w:szCs w:val="18"/>
        </w:rPr>
        <w:t xml:space="preserve"> times during the last 2</w:t>
      </w:r>
      <w:r>
        <w:rPr>
          <w:sz w:val="18"/>
          <w:szCs w:val="18"/>
        </w:rPr>
        <w:t>7</w:t>
      </w:r>
      <w:r w:rsidRPr="00620FBF">
        <w:rPr>
          <w:sz w:val="18"/>
          <w:szCs w:val="18"/>
        </w:rPr>
        <w:t xml:space="preserve"> years because of weather conditions; s</w:t>
      </w:r>
      <w:r>
        <w:rPr>
          <w:sz w:val="18"/>
          <w:szCs w:val="18"/>
        </w:rPr>
        <w:t>even</w:t>
      </w:r>
      <w:r w:rsidRPr="00620FBF">
        <w:rPr>
          <w:sz w:val="18"/>
          <w:szCs w:val="18"/>
        </w:rPr>
        <w:t xml:space="preserve"> of these 1</w:t>
      </w:r>
      <w:r>
        <w:rPr>
          <w:sz w:val="18"/>
          <w:szCs w:val="18"/>
        </w:rPr>
        <w:t>2</w:t>
      </w:r>
      <w:r w:rsidRPr="00620FBF">
        <w:rPr>
          <w:sz w:val="18"/>
          <w:szCs w:val="18"/>
        </w:rPr>
        <w:t xml:space="preserve"> times, the load has been near or has exceeded the 90/10 forecast.</w:t>
      </w:r>
      <w:r>
        <w:rPr>
          <w:sz w:val="18"/>
          <w:szCs w:val="18"/>
        </w:rPr>
        <w:t xml:space="preserve"> </w:t>
      </w:r>
    </w:p>
  </w:footnote>
  <w:footnote w:id="7">
    <w:p w14:paraId="79224042" w14:textId="77777777" w:rsidR="00E231DA" w:rsidRDefault="00E231DA">
      <w:pPr>
        <w:pStyle w:val="FootnoteText"/>
      </w:pPr>
      <w:r>
        <w:rPr>
          <w:rStyle w:val="FootnoteReference"/>
        </w:rPr>
        <w:footnoteRef/>
      </w:r>
      <w:r>
        <w:t xml:space="preserve"> </w:t>
      </w:r>
      <w:r w:rsidRPr="00E43982">
        <w:rPr>
          <w:i/>
          <w:iCs/>
          <w:szCs w:val="18"/>
        </w:rPr>
        <w:t>Installed capacity</w:t>
      </w:r>
      <w:r w:rsidRPr="00E43982">
        <w:rPr>
          <w:szCs w:val="18"/>
        </w:rPr>
        <w:t xml:space="preserve"> is the megawatt capability of a generating unit, dispatchable load, external resource or transaction, or demand resource that qualifies as a participant in the </w:t>
      </w:r>
      <w:r>
        <w:rPr>
          <w:szCs w:val="18"/>
        </w:rPr>
        <w:t>FCM</w:t>
      </w:r>
      <w:r w:rsidRPr="00E43982">
        <w:rPr>
          <w:szCs w:val="18"/>
        </w:rPr>
        <w:t xml:space="preserve"> according to the market rules.</w:t>
      </w:r>
    </w:p>
  </w:footnote>
  <w:footnote w:id="8">
    <w:p w14:paraId="32082621" w14:textId="77777777" w:rsidR="00E231DA" w:rsidRPr="000D464F" w:rsidRDefault="00E231DA" w:rsidP="001B747C">
      <w:pPr>
        <w:pStyle w:val="FootnoteText"/>
      </w:pPr>
      <w:r w:rsidRPr="00762599">
        <w:rPr>
          <w:rStyle w:val="FootnoteReference"/>
        </w:rPr>
        <w:footnoteRef/>
      </w:r>
      <w:r w:rsidRPr="00762599">
        <w:t xml:space="preserve"> A </w:t>
      </w:r>
      <w:r w:rsidRPr="00762599">
        <w:rPr>
          <w:i/>
        </w:rPr>
        <w:t xml:space="preserve">fast-start resource </w:t>
      </w:r>
      <w:r w:rsidRPr="00762599">
        <w:t>can be electrically synchronized to the electric power system and reach its maximum production or output within 10 to 30 minutes to respond to a contingency and serve demand. It also can be a demand resource that helps with recovery from a contingency and assists in serving peak demand.</w:t>
      </w:r>
    </w:p>
  </w:footnote>
  <w:footnote w:id="9">
    <w:p w14:paraId="7DAB8717" w14:textId="77777777" w:rsidR="00E231DA" w:rsidRDefault="00E231DA" w:rsidP="001B747C">
      <w:pPr>
        <w:pStyle w:val="FootnoteText"/>
      </w:pPr>
      <w:r w:rsidRPr="000D464F">
        <w:rPr>
          <w:rStyle w:val="FootnoteReference"/>
        </w:rPr>
        <w:footnoteRef/>
      </w:r>
      <w:r w:rsidRPr="000D464F">
        <w:t xml:space="preserve"> </w:t>
      </w:r>
      <w:r>
        <w:t xml:space="preserve">The analysis showed that even with the region meeting ICR, ISO New England would require the use of </w:t>
      </w:r>
      <w:r w:rsidRPr="000D464F">
        <w:t xml:space="preserve">Operating Procedure No. 4, </w:t>
      </w:r>
      <w:r w:rsidRPr="000D464F">
        <w:rPr>
          <w:i/>
        </w:rPr>
        <w:t>Actions during a Capacity Deficiency,</w:t>
      </w:r>
      <w:r w:rsidRPr="000D464F">
        <w:t xml:space="preserve"> (May 7, 2019)</w:t>
      </w:r>
      <w:r>
        <w:t xml:space="preserve">, </w:t>
      </w:r>
      <w:hyperlink r:id="rId2" w:history="1">
        <w:r w:rsidRPr="000D464F">
          <w:rPr>
            <w:rStyle w:val="Hyperlink"/>
          </w:rPr>
          <w:t>https://www.iso-ne.com/static-assets/documents/rules_proceds/operating/isone/op4/op4_rto_final.pdf</w:t>
        </w:r>
      </w:hyperlink>
      <w:r>
        <w:t>.</w:t>
      </w:r>
    </w:p>
  </w:footnote>
  <w:footnote w:id="10">
    <w:p w14:paraId="386A8C05" w14:textId="77777777" w:rsidR="00E231DA" w:rsidRDefault="00E231DA" w:rsidP="00176E03">
      <w:pPr>
        <w:pStyle w:val="FootnoteText"/>
      </w:pPr>
      <w:r w:rsidRPr="00CF2B8B">
        <w:rPr>
          <w:rStyle w:val="FootnoteReference"/>
        </w:rPr>
        <w:footnoteRef/>
      </w:r>
      <w:r w:rsidRPr="00CF2B8B">
        <w:t xml:space="preserve"> All resources seeking interconnection are unlikely to be built. Some projects will withdraw after receiving the interconnection study results or may chose not to pursue their project for other reasons, such as financing issues, the need for significant transmission reinforcements</w:t>
      </w:r>
      <w:r w:rsidRPr="00345749">
        <w:t xml:space="preserve">, </w:t>
      </w:r>
      <w:r>
        <w:t>or</w:t>
      </w:r>
      <w:r w:rsidRPr="00345749">
        <w:t xml:space="preserve"> the </w:t>
      </w:r>
      <w:r w:rsidRPr="00CF2B8B">
        <w:t xml:space="preserve">lack of a state contract. Also, some projects chose to submit multiple interconnection requests because they have not decided on a specific interconnection point, which </w:t>
      </w:r>
      <w:r w:rsidRPr="00307E4B">
        <w:t>ultimately will require the withdrawal of the interconnection request not being pursued.</w:t>
      </w:r>
    </w:p>
  </w:footnote>
  <w:footnote w:id="11">
    <w:p w14:paraId="6A8A6FA9" w14:textId="47EDA703" w:rsidR="00E231DA" w:rsidRDefault="00E231DA" w:rsidP="001B747C">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(April 18, 2018), </w:t>
      </w:r>
      <w:hyperlink r:id="rId3" w:history="1">
        <w:r w:rsidRPr="00300BDA">
          <w:rPr>
            <w:rStyle w:val="Hyperlink"/>
          </w:rPr>
          <w:t>https://www.iso-ne.com/static-assets/documents/2018/04/pa16-6-000_4-18-18_final_audit_report.pdf</w:t>
        </w:r>
      </w:hyperlink>
      <w:r>
        <w:t xml:space="preserve">. </w:t>
      </w:r>
    </w:p>
  </w:footnote>
  <w:footnote w:id="12">
    <w:p w14:paraId="5BEA8A0C" w14:textId="77777777" w:rsidR="00E231DA" w:rsidRPr="006347E7" w:rsidRDefault="00E231DA" w:rsidP="001B747C">
      <w:pPr>
        <w:pStyle w:val="FootnoteText"/>
      </w:pPr>
      <w:r w:rsidRPr="006347E7">
        <w:rPr>
          <w:rStyle w:val="FootnoteReference"/>
        </w:rPr>
        <w:footnoteRef/>
      </w:r>
      <w:r w:rsidRPr="006347E7">
        <w:t xml:space="preserve"> In 2018, ISO New England participated in the NPCC Internal Control Evaluation investigation. </w:t>
      </w:r>
      <w:r>
        <w:t xml:space="preserve">On the basis of the </w:t>
      </w:r>
      <w:r w:rsidRPr="006347E7">
        <w:t>ISO</w:t>
      </w:r>
      <w:r>
        <w:t>’s demonstrated</w:t>
      </w:r>
      <w:r w:rsidRPr="006347E7">
        <w:t xml:space="preserve"> internal controls, NERC removed the planning standards from the scope of its June 2018 on-site audit of </w:t>
      </w:r>
      <w:r>
        <w:t xml:space="preserve">the </w:t>
      </w:r>
      <w:r w:rsidRPr="006347E7">
        <w:t>ISO.</w:t>
      </w:r>
    </w:p>
  </w:footnote>
  <w:footnote w:id="13">
    <w:p w14:paraId="4FBEDE87" w14:textId="29E15FBC" w:rsidR="00E231DA" w:rsidRPr="00FE2B28" w:rsidRDefault="00E231DA" w:rsidP="001B747C">
      <w:pPr>
        <w:pStyle w:val="FootnoteText"/>
      </w:pPr>
      <w:r w:rsidRPr="004F63B5">
        <w:rPr>
          <w:rStyle w:val="FootnoteReference"/>
        </w:rPr>
        <w:footnoteRef/>
      </w:r>
      <w:r w:rsidRPr="004F63B5">
        <w:t xml:space="preserve"> ISO New England,</w:t>
      </w:r>
      <w:r w:rsidRPr="004F63B5">
        <w:rPr>
          <w:i/>
          <w:szCs w:val="18"/>
        </w:rPr>
        <w:t xml:space="preserve"> </w:t>
      </w:r>
      <w:r w:rsidRPr="004F63B5">
        <w:rPr>
          <w:szCs w:val="18"/>
        </w:rPr>
        <w:t>“</w:t>
      </w:r>
      <w:r w:rsidRPr="004F63B5">
        <w:t>Updates to System Studies,”</w:t>
      </w:r>
      <w:r w:rsidRPr="004F63B5">
        <w:rPr>
          <w:i/>
        </w:rPr>
        <w:t xml:space="preserve"> </w:t>
      </w:r>
      <w:r w:rsidRPr="00FD5755">
        <w:t>m</w:t>
      </w:r>
      <w:r w:rsidRPr="004F63B5">
        <w:t>emorandum</w:t>
      </w:r>
      <w:r w:rsidRPr="004F63B5">
        <w:rPr>
          <w:i/>
        </w:rPr>
        <w:t xml:space="preserve"> </w:t>
      </w:r>
      <w:r w:rsidRPr="004F63B5">
        <w:t xml:space="preserve">(February 24, 2017), </w:t>
      </w:r>
      <w:hyperlink r:id="rId4" w:history="1">
        <w:r w:rsidRPr="004F63B5">
          <w:rPr>
            <w:rStyle w:val="Hyperlink"/>
          </w:rPr>
          <w:t>https://www.iso-ne.com/static-assets/documents/2017/02/updates_to_system_study_memo.pdf</w:t>
        </w:r>
      </w:hyperlink>
      <w:r w:rsidRPr="004F63B5">
        <w:rPr>
          <w:rStyle w:val="Hyperlink"/>
        </w:rPr>
        <w:t xml:space="preserve">, and </w:t>
      </w:r>
      <w:r w:rsidRPr="004F63B5">
        <w:rPr>
          <w:i/>
        </w:rPr>
        <w:t>Updates to System Studies—</w:t>
      </w:r>
      <w:r w:rsidRPr="00FE2B28">
        <w:rPr>
          <w:i/>
        </w:rPr>
        <w:t xml:space="preserve">Incorporating Changes in Criteria and Assumptions into Ongoing Assessments, </w:t>
      </w:r>
      <w:r w:rsidRPr="00FE2B28">
        <w:t>presentation</w:t>
      </w:r>
      <w:r w:rsidRPr="00FE2B28">
        <w:rPr>
          <w:i/>
        </w:rPr>
        <w:t xml:space="preserve"> </w:t>
      </w:r>
      <w:r w:rsidRPr="00FE2B28">
        <w:t xml:space="preserve">(March 22, 2017), </w:t>
      </w:r>
      <w:hyperlink r:id="rId5" w:history="1">
        <w:r w:rsidRPr="00FE2B28">
          <w:rPr>
            <w:rStyle w:val="Hyperlink"/>
          </w:rPr>
          <w:t>https://www.iso-ne.com/static-assets/documents/2017/03/a4_updates_to_system_studies.pdf</w:t>
        </w:r>
      </w:hyperlink>
      <w:r w:rsidRPr="00FE2B28">
        <w:t>.</w:t>
      </w:r>
    </w:p>
  </w:footnote>
  <w:footnote w:id="14">
    <w:p w14:paraId="686BB7A8" w14:textId="77777777" w:rsidR="00E231DA" w:rsidRPr="00AD4891" w:rsidRDefault="00E231DA" w:rsidP="001B747C">
      <w:pPr>
        <w:pStyle w:val="FootnoteText"/>
        <w:rPr>
          <w:szCs w:val="18"/>
        </w:rPr>
      </w:pPr>
      <w:r w:rsidRPr="00AD4891">
        <w:rPr>
          <w:rStyle w:val="FootnoteReference"/>
          <w:sz w:val="18"/>
          <w:szCs w:val="18"/>
        </w:rPr>
        <w:footnoteRef/>
      </w:r>
      <w:r w:rsidRPr="00AD4891">
        <w:rPr>
          <w:szCs w:val="18"/>
        </w:rPr>
        <w:t xml:space="preserve"> </w:t>
      </w:r>
      <w:r w:rsidRPr="002A7FC3">
        <w:rPr>
          <w:szCs w:val="18"/>
        </w:rPr>
        <w:t>FERC Order 1000 preserves the status for incumbents of both proposed and planned projects on the ISO’s Regional System Plan project list as of May 18, 2015.</w:t>
      </w:r>
      <w:r>
        <w:rPr>
          <w:szCs w:val="18"/>
        </w:rPr>
        <w:t xml:space="preserve"> </w:t>
      </w:r>
      <w:r w:rsidRPr="00AD4891">
        <w:rPr>
          <w:szCs w:val="18"/>
        </w:rPr>
        <w:t xml:space="preserve">FERC, “Order No. 1000—Transmission Planning and Cost Allocation,” website (October 26, 2016), </w:t>
      </w:r>
      <w:hyperlink r:id="rId6" w:history="1">
        <w:r w:rsidRPr="00AD4891">
          <w:rPr>
            <w:rStyle w:val="Hyperlink"/>
            <w:szCs w:val="18"/>
          </w:rPr>
          <w:t>https://www.ferc.gov/industries/electric/indus-act/trans-plan.asp</w:t>
        </w:r>
      </w:hyperlink>
      <w:r w:rsidRPr="00AD4891">
        <w:rPr>
          <w:szCs w:val="18"/>
        </w:rPr>
        <w:t xml:space="preserve">. </w:t>
      </w:r>
    </w:p>
  </w:footnote>
  <w:footnote w:id="15">
    <w:p w14:paraId="0771A757" w14:textId="77777777" w:rsidR="00E231DA" w:rsidRDefault="00E231DA" w:rsidP="001B747C">
      <w:pPr>
        <w:pStyle w:val="FootnoteText"/>
      </w:pPr>
      <w:r w:rsidRPr="0099568F">
        <w:rPr>
          <w:rStyle w:val="FootnoteReference"/>
        </w:rPr>
        <w:footnoteRef/>
      </w:r>
      <w:r w:rsidRPr="0099568F">
        <w:t xml:space="preserve"> ISO N</w:t>
      </w:r>
      <w:r>
        <w:t xml:space="preserve">ew England, </w:t>
      </w:r>
      <w:r w:rsidRPr="0099568F">
        <w:rPr>
          <w:i/>
        </w:rPr>
        <w:t>Open Access Transmission Tariff</w:t>
      </w:r>
      <w:r>
        <w:t xml:space="preserve">, Attachment K, Section 4.3, “Competitive Solution Process for Reliability Transmission Upgrades and Market-Efficiency Transmission Upgrades” (January 29, 2019), </w:t>
      </w:r>
      <w:hyperlink r:id="rId7" w:history="1">
        <w:r w:rsidRPr="004F63B5">
          <w:rPr>
            <w:rStyle w:val="Hyperlink"/>
          </w:rPr>
          <w:t>https://www.iso-ne.com/static-assets/documents/regulatory/tariff/sect_2/oatt/sect_ii.pdf</w:t>
        </w:r>
      </w:hyperlink>
      <w:r>
        <w:t>.</w:t>
      </w:r>
    </w:p>
  </w:footnote>
  <w:footnote w:id="16">
    <w:p w14:paraId="2E2D5906" w14:textId="77777777" w:rsidR="00E231DA" w:rsidRPr="00EC353E" w:rsidRDefault="00E231DA" w:rsidP="001B747C">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 xml:space="preserve">Guide </w:t>
      </w:r>
      <w:r w:rsidRPr="00B803CA">
        <w:rPr>
          <w:sz w:val="18"/>
          <w:szCs w:val="18"/>
        </w:rPr>
        <w:t>are available at</w:t>
      </w:r>
      <w:r w:rsidRPr="00D64F3A">
        <w:rPr>
          <w:sz w:val="18"/>
          <w:szCs w:val="18"/>
        </w:rPr>
        <w:t xml:space="preserve"> </w:t>
      </w:r>
      <w:hyperlink r:id="rId8" w:history="1">
        <w:r w:rsidRPr="00EC353E">
          <w:rPr>
            <w:rStyle w:val="Hyperlink"/>
            <w:color w:val="auto"/>
            <w:sz w:val="18"/>
            <w:szCs w:val="18"/>
          </w:rPr>
          <w:t>https://www.iso-ne.com/system-planning/transmission-planning/transmission-planning-guides</w:t>
        </w:r>
      </w:hyperlink>
      <w:r w:rsidRPr="00EC353E">
        <w:rPr>
          <w:i/>
          <w:sz w:val="18"/>
          <w:szCs w:val="18"/>
        </w:rPr>
        <w:t>.</w:t>
      </w:r>
    </w:p>
  </w:footnote>
  <w:footnote w:id="17">
    <w:p w14:paraId="1CBCF94C" w14:textId="77777777" w:rsidR="00E231DA" w:rsidRPr="004F63B5" w:rsidRDefault="00E231DA" w:rsidP="001B747C">
      <w:pPr>
        <w:pStyle w:val="FootnoteText"/>
      </w:pPr>
      <w:r w:rsidRPr="004F63B5">
        <w:rPr>
          <w:rStyle w:val="FootnoteReference"/>
        </w:rPr>
        <w:footnoteRef/>
      </w:r>
      <w:r w:rsidRPr="004F63B5">
        <w:t xml:space="preserve"> ISO New England, Planning Procedure No. 3, </w:t>
      </w:r>
      <w:r w:rsidRPr="004F63B5">
        <w:rPr>
          <w:i/>
        </w:rPr>
        <w:t>Reliability Standards for the New England Area Pool</w:t>
      </w:r>
      <w:r>
        <w:rPr>
          <w:i/>
        </w:rPr>
        <w:t xml:space="preserve"> </w:t>
      </w:r>
      <w:r w:rsidRPr="004F63B5">
        <w:rPr>
          <w:i/>
        </w:rPr>
        <w:t>Transmission Facilities</w:t>
      </w:r>
      <w:r w:rsidRPr="004F63B5">
        <w:t xml:space="preserve"> (September 15, 2017), </w:t>
      </w:r>
      <w:hyperlink r:id="rId9" w:history="1">
        <w:r w:rsidRPr="005007DE">
          <w:rPr>
            <w:rStyle w:val="Hyperlink"/>
          </w:rPr>
          <w:t>https://www.iso-ne.com/static-assets/documents/2017/10/pp3_r8.pdf</w:t>
        </w:r>
      </w:hyperlink>
      <w:r w:rsidRPr="004F63B5">
        <w:t>.</w:t>
      </w:r>
    </w:p>
  </w:footnote>
  <w:footnote w:id="18">
    <w:p w14:paraId="18B4A257" w14:textId="77777777" w:rsidR="00E231DA" w:rsidRDefault="00E231DA" w:rsidP="001B747C">
      <w:pPr>
        <w:pStyle w:val="FootnoteText"/>
      </w:pPr>
      <w:r w:rsidRPr="00FE2B28">
        <w:rPr>
          <w:rStyle w:val="FootnoteReference"/>
          <w:szCs w:val="18"/>
        </w:rPr>
        <w:footnoteRef/>
      </w:r>
      <w:r w:rsidRPr="00FE2B28">
        <w:rPr>
          <w:szCs w:val="18"/>
        </w:rPr>
        <w:t xml:space="preserve"> NCPC is a make-whole (i.e., </w:t>
      </w:r>
      <w:r w:rsidRPr="00FE2B28">
        <w:rPr>
          <w:i/>
          <w:szCs w:val="18"/>
        </w:rPr>
        <w:t>uplift</w:t>
      </w:r>
      <w:r w:rsidRPr="00FE2B28">
        <w:rPr>
          <w:szCs w:val="18"/>
        </w:rPr>
        <w:t>) payment to a supply resource that responded to the ISO’s dispatch instructions but did not fully recover its start-up and operating costs in either the Day-Ahead or Real-Time Energy Markets.</w:t>
      </w:r>
    </w:p>
  </w:footnote>
  <w:footnote w:id="19">
    <w:p w14:paraId="64C4B341" w14:textId="77777777" w:rsidR="00E231DA" w:rsidRDefault="00E231DA" w:rsidP="001B747C">
      <w:pPr>
        <w:pStyle w:val="FootnoteText"/>
      </w:pPr>
      <w:r>
        <w:rPr>
          <w:rStyle w:val="FootnoteReference"/>
        </w:rPr>
        <w:footnoteRef/>
      </w:r>
      <w:r>
        <w:t xml:space="preserve"> The negative $64.5 million </w:t>
      </w:r>
      <w:r w:rsidRPr="00915078">
        <w:t xml:space="preserve">congestion </w:t>
      </w:r>
      <w:r w:rsidRPr="00B11908">
        <w:t xml:space="preserve">total for 2018 was </w:t>
      </w:r>
      <w:r w:rsidRPr="009845CD">
        <w:t>due to export-constrained supply areas, predominantly in northern Maine and northern New York, primarily driven by system-outage conditions.</w:t>
      </w:r>
    </w:p>
  </w:footnote>
  <w:footnote w:id="20">
    <w:p w14:paraId="691DA1AC" w14:textId="77777777" w:rsidR="00E231DA" w:rsidRDefault="00E231DA" w:rsidP="001B747C">
      <w:pPr>
        <w:pStyle w:val="FootnoteText"/>
      </w:pPr>
      <w:r w:rsidRPr="00FE2B28">
        <w:rPr>
          <w:rStyle w:val="FootnoteReference"/>
        </w:rPr>
        <w:footnoteRef/>
      </w:r>
      <w:r w:rsidRPr="00FE2B28">
        <w:t xml:space="preserve"> ISO New England, </w:t>
      </w:r>
      <w:r w:rsidRPr="00FE2B28">
        <w:rPr>
          <w:i/>
        </w:rPr>
        <w:t>2017 Regional System Plan</w:t>
      </w:r>
      <w:r w:rsidRPr="00FE2B28">
        <w:t xml:space="preserve"> (November 2, 2017), </w:t>
      </w:r>
      <w:hyperlink r:id="rId10" w:history="1">
        <w:r w:rsidRPr="00FE2B28">
          <w:rPr>
            <w:rStyle w:val="Hyperlink"/>
          </w:rPr>
          <w:t>https://www.iso-ne.com/system-planning/system-plans-studies/rsp</w:t>
        </w:r>
      </w:hyperlink>
      <w:r w:rsidRPr="00FE2B28">
        <w:t>.</w:t>
      </w:r>
    </w:p>
  </w:footnote>
  <w:footnote w:id="21">
    <w:p w14:paraId="30D03441" w14:textId="77777777" w:rsidR="00E231DA" w:rsidRPr="003A1975" w:rsidRDefault="00E231DA" w:rsidP="001B747C">
      <w:pPr>
        <w:pStyle w:val="FootnoteText"/>
      </w:pPr>
      <w:r w:rsidRPr="00971194">
        <w:rPr>
          <w:rStyle w:val="FootnoteReference"/>
        </w:rPr>
        <w:footnoteRef/>
      </w:r>
      <w:r w:rsidRPr="00971194">
        <w:t xml:space="preserve"> A PAC presentation is required for all asset-condition-related work where the cost estimate is greater than or equal to $5 million. The “New England Asset Management Key Study Area” webpage (2019) is a repository to store all asset-condition-related PAC presentations; see </w:t>
      </w:r>
      <w:hyperlink r:id="rId11" w:history="1">
        <w:r w:rsidRPr="00971194">
          <w:rPr>
            <w:rStyle w:val="Hyperlink"/>
          </w:rPr>
          <w:t>https://www.iso-ne.com/system-planning/key-study-areas/new-england-asset-management/</w:t>
        </w:r>
      </w:hyperlink>
      <w:r w:rsidRPr="00971194">
        <w:t>.</w:t>
      </w:r>
    </w:p>
  </w:footnote>
  <w:footnote w:id="22">
    <w:p w14:paraId="3E716340" w14:textId="77777777" w:rsidR="00E231DA" w:rsidRPr="00616FC5" w:rsidRDefault="00E231DA" w:rsidP="001B747C">
      <w:pPr>
        <w:pStyle w:val="FootnoteText"/>
      </w:pPr>
      <w:r w:rsidRPr="009845CD">
        <w:rPr>
          <w:rStyle w:val="FootnoteReference"/>
        </w:rPr>
        <w:footnoteRef/>
      </w:r>
      <w:r w:rsidRPr="009845CD">
        <w:t xml:space="preserve"> NERC, </w:t>
      </w:r>
      <w:r w:rsidRPr="009845CD">
        <w:rPr>
          <w:i/>
        </w:rPr>
        <w:t>Reliability Standards for the Bulk Electric Systems of North America</w:t>
      </w:r>
      <w:r w:rsidRPr="009845CD">
        <w:t xml:space="preserve">, Standard CIP-014-2, </w:t>
      </w:r>
      <w:r w:rsidRPr="009845CD">
        <w:rPr>
          <w:i/>
        </w:rPr>
        <w:t>Physical Security</w:t>
      </w:r>
      <w:r w:rsidRPr="009845CD">
        <w:t xml:space="preserve">, (updated April 17. 2019), </w:t>
      </w:r>
      <w:hyperlink r:id="rId12" w:history="1">
        <w:r w:rsidRPr="00BF263C">
          <w:rPr>
            <w:rStyle w:val="Hyperlink"/>
          </w:rPr>
          <w:t>https://www.nerc.com/pa/Stand/Reliability%20Standards%20Complete%20Set/RSCompleteSet.pdf</w:t>
        </w:r>
      </w:hyperlink>
      <w:r w:rsidRPr="00BF263C">
        <w:t>.</w:t>
      </w:r>
    </w:p>
  </w:footnote>
  <w:footnote w:id="23">
    <w:p w14:paraId="1EF96C96" w14:textId="754DA61D" w:rsidR="00E231DA" w:rsidRPr="0062621E" w:rsidRDefault="00E231DA" w:rsidP="001B747C">
      <w:pPr>
        <w:pStyle w:val="FootnoteText"/>
      </w:pPr>
      <w:r>
        <w:rPr>
          <w:rStyle w:val="FootnoteReference"/>
        </w:rPr>
        <w:footnoteRef/>
      </w:r>
      <w:r>
        <w:t xml:space="preserve"> </w:t>
      </w:r>
      <w:r w:rsidRPr="0062621E">
        <w:t>PJM</w:t>
      </w:r>
      <w:r>
        <w:t xml:space="preserve"> (</w:t>
      </w:r>
      <w:r w:rsidRPr="00652E2D">
        <w:rPr>
          <w:szCs w:val="18"/>
        </w:rPr>
        <w:t>the R</w:t>
      </w:r>
      <w:r>
        <w:rPr>
          <w:szCs w:val="18"/>
        </w:rPr>
        <w:t xml:space="preserve">egional Transmission Operator </w:t>
      </w:r>
      <w:r w:rsidRPr="00652E2D">
        <w:rPr>
          <w:szCs w:val="18"/>
        </w:rPr>
        <w:t xml:space="preserve">for all or parts of Delaware, Illinois, Indiana, Kentucky, Maryland, Michigan, New Jersey, North </w:t>
      </w:r>
      <w:r w:rsidRPr="001842C2">
        <w:rPr>
          <w:szCs w:val="18"/>
        </w:rPr>
        <w:t>Carolina, Ohio, Pennsylvania, Tennessee, Virginia, West Virginia, and the District of Columbia</w:t>
      </w:r>
      <w:r>
        <w:rPr>
          <w:szCs w:val="18"/>
        </w:rPr>
        <w:t xml:space="preserve">), </w:t>
      </w:r>
      <w:r w:rsidRPr="0062621E">
        <w:t>ISO</w:t>
      </w:r>
      <w:r>
        <w:t xml:space="preserve"> New England, </w:t>
      </w:r>
      <w:r w:rsidRPr="0062621E">
        <w:t xml:space="preserve">and </w:t>
      </w:r>
      <w:r>
        <w:t>the New York ISO</w:t>
      </w:r>
      <w:r w:rsidRPr="0062621E">
        <w:t xml:space="preserve"> follow the </w:t>
      </w:r>
      <w:r w:rsidRPr="00951699">
        <w:rPr>
          <w:i/>
        </w:rPr>
        <w:t>Amended and Restated Northeastern ISO/RTO Planning Coordination Protocol</w:t>
      </w:r>
      <w:r w:rsidRPr="0062621E">
        <w:t xml:space="preserve"> </w:t>
      </w:r>
      <w:r>
        <w:t xml:space="preserve">(July 13, 2015) </w:t>
      </w:r>
      <w:r w:rsidRPr="0062621E">
        <w:t>to enhance the coordination of their planning activities and address interregional planning issues</w:t>
      </w:r>
      <w:r>
        <w:t xml:space="preserve"> </w:t>
      </w:r>
      <w:r w:rsidRPr="0062621E">
        <w:t>as part of regional compliance with FERC Order 1000</w:t>
      </w:r>
      <w:r>
        <w:t xml:space="preserve">; see </w:t>
      </w:r>
      <w:hyperlink r:id="rId13" w:history="1">
        <w:r w:rsidRPr="00CF3C78">
          <w:rPr>
            <w:rStyle w:val="Hyperlink"/>
          </w:rPr>
          <w:t>https://www.iso-ne.com/static-assets/documents/committees/comm_wkgrps/othr/ipsac/rto_plan_prot/planning_protocol.pdf</w:t>
        </w:r>
      </w:hyperlink>
      <w:r>
        <w:t>.</w:t>
      </w:r>
    </w:p>
  </w:footnote>
  <w:footnote w:id="24">
    <w:p w14:paraId="240DEE7B" w14:textId="5506917D" w:rsidR="00E231DA" w:rsidRDefault="00E231DA">
      <w:pPr>
        <w:pStyle w:val="FootnoteText"/>
      </w:pPr>
      <w:r w:rsidRPr="00BF42B9">
        <w:rPr>
          <w:rStyle w:val="FootnoteReference"/>
        </w:rPr>
        <w:footnoteRef/>
      </w:r>
      <w:r w:rsidRPr="00BF42B9">
        <w:t xml:space="preserve"> Potential causes for pipeline constraints include high demand, failures and maintenance conditions, and other unexpected system conditions.</w:t>
      </w:r>
      <w:r w:rsidRPr="00E678B4">
        <w:t xml:space="preserve">  </w:t>
      </w:r>
    </w:p>
  </w:footnote>
  <w:footnote w:id="25">
    <w:p w14:paraId="61C78444" w14:textId="77777777" w:rsidR="00E231DA" w:rsidRDefault="00E231DA" w:rsidP="00CE65F9">
      <w:pPr>
        <w:pStyle w:val="FootnoteText"/>
      </w:pPr>
      <w:r>
        <w:rPr>
          <w:rStyle w:val="FootnoteReference"/>
        </w:rPr>
        <w:footnoteRef/>
      </w:r>
      <w:r>
        <w:t xml:space="preserve"> ISO New England, </w:t>
      </w:r>
      <w:r w:rsidRPr="00DB2477">
        <w:rPr>
          <w:i/>
          <w:iCs/>
        </w:rPr>
        <w:t>Energy Security Improvement</w:t>
      </w:r>
      <w:r>
        <w:rPr>
          <w:i/>
          <w:iCs/>
        </w:rPr>
        <w:t>s</w:t>
      </w:r>
      <w:r>
        <w:rPr>
          <w:iCs/>
        </w:rPr>
        <w:t xml:space="preserve">, </w:t>
      </w:r>
      <w:r w:rsidRPr="00DB2477">
        <w:t xml:space="preserve">discussion paper </w:t>
      </w:r>
      <w:r>
        <w:t xml:space="preserve">(April 2019), </w:t>
      </w:r>
      <w:hyperlink r:id="rId14" w:history="1">
        <w:r w:rsidRPr="00DB2477">
          <w:rPr>
            <w:color w:val="000000"/>
          </w:rPr>
          <w:t>https://www.iso-ne.com/static-assets/documents/2019/04/a00_iso_discussion_paper_energy_security_improvements.pdf</w:t>
        </w:r>
      </w:hyperlink>
      <w:r>
        <w:t>.</w:t>
      </w:r>
      <w:r w:rsidRPr="00DB2477">
        <w:t xml:space="preserve"> </w:t>
      </w:r>
    </w:p>
  </w:footnote>
  <w:footnote w:id="26">
    <w:p w14:paraId="3E2A135F" w14:textId="77777777" w:rsidR="00E231DA" w:rsidRDefault="00E231DA" w:rsidP="001B747C">
      <w:pPr>
        <w:pStyle w:val="FootnoteText"/>
      </w:pPr>
      <w:r w:rsidRPr="00287F26">
        <w:rPr>
          <w:rStyle w:val="FootnoteReference"/>
        </w:rPr>
        <w:footnoteRef/>
      </w:r>
      <w:r w:rsidRPr="00287F26">
        <w:t xml:space="preserve"> </w:t>
      </w:r>
      <w:r w:rsidRPr="00287F26">
        <w:rPr>
          <w:i/>
        </w:rPr>
        <w:t>Ride-through capabilities</w:t>
      </w:r>
      <w:r w:rsidRPr="00287F26">
        <w:t xml:space="preserve"> greatly improve system reliability by preventing the likelihood of widespread trips of variable and distributed resource interconnections, which could result in unacceptable system performance during contingency events on the transmission and distribution systems. </w:t>
      </w:r>
    </w:p>
  </w:footnote>
  <w:footnote w:id="27">
    <w:p w14:paraId="6F360836" w14:textId="77777777" w:rsidR="00E231DA" w:rsidRPr="00CF2B8B" w:rsidRDefault="00E231DA" w:rsidP="001B747C">
      <w:pPr>
        <w:pStyle w:val="FootnoteText"/>
        <w:rPr>
          <w:szCs w:val="18"/>
        </w:rPr>
      </w:pPr>
      <w:r w:rsidRPr="009208C2">
        <w:rPr>
          <w:rStyle w:val="FootnoteReference"/>
          <w:sz w:val="18"/>
          <w:szCs w:val="18"/>
        </w:rPr>
        <w:footnoteRef/>
      </w:r>
      <w:r w:rsidRPr="009208C2">
        <w:rPr>
          <w:szCs w:val="18"/>
        </w:rPr>
        <w:t xml:space="preserve"> Presentations made at the ISO’s May 23, 2019, Grid Transformation Day </w:t>
      </w:r>
      <w:r>
        <w:rPr>
          <w:szCs w:val="18"/>
        </w:rPr>
        <w:t>are</w:t>
      </w:r>
      <w:r w:rsidRPr="009208C2">
        <w:rPr>
          <w:szCs w:val="18"/>
        </w:rPr>
        <w:t xml:space="preserve"> available at </w:t>
      </w:r>
      <w:hyperlink r:id="rId15" w:history="1">
        <w:r w:rsidRPr="00CF2B8B">
          <w:rPr>
            <w:szCs w:val="18"/>
          </w:rPr>
          <w:t>https://www.iso-ne.com/committees/planning/planning-advisory/?eventId=137649</w:t>
        </w:r>
      </w:hyperlink>
      <w:r w:rsidRPr="00CF2B8B">
        <w:rPr>
          <w:szCs w:val="18"/>
        </w:rPr>
        <w:t>.</w:t>
      </w:r>
    </w:p>
  </w:footnote>
  <w:footnote w:id="28">
    <w:p w14:paraId="06E6049E" w14:textId="77777777" w:rsidR="00E231DA" w:rsidRPr="00554AFC" w:rsidRDefault="00E231DA" w:rsidP="001B747C">
      <w:pPr>
        <w:pStyle w:val="FootnoteText"/>
      </w:pPr>
      <w:r w:rsidRPr="00554AFC">
        <w:rPr>
          <w:rStyle w:val="FootnoteReference"/>
        </w:rPr>
        <w:footnoteRef/>
      </w:r>
      <w:r w:rsidRPr="00554AFC">
        <w:t xml:space="preserve"> An ab</w:t>
      </w:r>
      <w:r w:rsidRPr="0064201A">
        <w:t xml:space="preserve">stract of </w:t>
      </w:r>
      <w:r w:rsidRPr="0064201A">
        <w:rPr>
          <w:i/>
        </w:rPr>
        <w:t>1547-2003—IEEE Standard for Interconnecting Distributed Resources with Electric Power Systems</w:t>
      </w:r>
      <w:r w:rsidRPr="0064201A">
        <w:t xml:space="preserve"> is available at </w:t>
      </w:r>
      <w:hyperlink r:id="rId16" w:history="1">
        <w:r w:rsidRPr="00882D6C">
          <w:rPr>
            <w:rStyle w:val="Hyperlink"/>
          </w:rPr>
          <w:t>http://ieeexplore.ieee.org/document/1225051/?reload=true (2017)</w:t>
        </w:r>
      </w:hyperlink>
      <w:r>
        <w:t xml:space="preserve">. </w:t>
      </w:r>
    </w:p>
  </w:footnote>
  <w:footnote w:id="29">
    <w:p w14:paraId="414BE4C2" w14:textId="77777777" w:rsidR="00E231DA" w:rsidRPr="00D20DF6" w:rsidRDefault="00E231DA" w:rsidP="001B747C">
      <w:pPr>
        <w:pStyle w:val="FootnoteText"/>
      </w:pPr>
      <w:r w:rsidRPr="007E05EE">
        <w:rPr>
          <w:rStyle w:val="FootnoteReference"/>
        </w:rPr>
        <w:footnoteRef/>
      </w:r>
      <w:r w:rsidRPr="007E05EE">
        <w:t xml:space="preserve"> </w:t>
      </w:r>
      <w:r w:rsidRPr="007E05EE">
        <w:rPr>
          <w:i/>
        </w:rPr>
        <w:t xml:space="preserve">Spilled </w:t>
      </w:r>
      <w:r w:rsidRPr="007E05EE">
        <w:t xml:space="preserve">renewable resources are those that must reduce output to respect </w:t>
      </w:r>
      <w:r>
        <w:t>system</w:t>
      </w:r>
      <w:r w:rsidRPr="007E05EE">
        <w:t xml:space="preserve"> constraints and can include imports from Canada, hydro, wind, and photovoltaics.</w:t>
      </w:r>
    </w:p>
  </w:footnote>
  <w:footnote w:id="30">
    <w:p w14:paraId="1793CBA2" w14:textId="77777777" w:rsidR="00E231DA" w:rsidRDefault="00E231DA" w:rsidP="001B747C">
      <w:pPr>
        <w:pStyle w:val="FootnoteText"/>
      </w:pPr>
      <w:r w:rsidRPr="00744951">
        <w:rPr>
          <w:rStyle w:val="FootnoteReference"/>
        </w:rPr>
        <w:footnoteRef/>
      </w:r>
      <w:r w:rsidRPr="00744951">
        <w:t xml:space="preserve"> ISO </w:t>
      </w:r>
      <w:r>
        <w:t xml:space="preserve">New England </w:t>
      </w:r>
      <w:r w:rsidRPr="00744951">
        <w:t xml:space="preserve">economic studies are available at the Planning Advisory Committee webpage using the “Document Type: filter: </w:t>
      </w:r>
      <w:hyperlink r:id="rId17" w:history="1">
        <w:r w:rsidRPr="00744951">
          <w:rPr>
            <w:rStyle w:val="Hyperlink"/>
          </w:rPr>
          <w:t>https://www.iso-ne.com/committees/planning/planning-advisory/?document-type=Economic Studies</w:t>
        </w:r>
      </w:hyperlink>
      <w:r>
        <w:t>.</w:t>
      </w:r>
    </w:p>
  </w:footnote>
  <w:footnote w:id="31">
    <w:p w14:paraId="1BF7C192" w14:textId="77777777" w:rsidR="00E231DA" w:rsidRPr="00DF3DEC" w:rsidRDefault="00E231DA" w:rsidP="001B747C">
      <w:pPr>
        <w:pStyle w:val="FootnoteText"/>
      </w:pPr>
      <w:r>
        <w:rPr>
          <w:rStyle w:val="FootnoteReference"/>
        </w:rPr>
        <w:footnoteRef/>
      </w:r>
      <w:r>
        <w:t xml:space="preserve"> ISO New England, 2</w:t>
      </w:r>
      <w:r w:rsidRPr="00F35652">
        <w:rPr>
          <w:i/>
        </w:rPr>
        <w:t xml:space="preserve">016 Economic Study: NEPOOL Scenario Analysis—Implications of Public Policies on ISO New England Market Design, System Reliability and Operability, Resource Costs and Revenues, and Emissions </w:t>
      </w:r>
      <w:r>
        <w:t xml:space="preserve">(November 20, 2017), </w:t>
      </w:r>
      <w:r w:rsidRPr="00693EF3">
        <w:t>h</w:t>
      </w:r>
      <w:hyperlink r:id="rId18" w:history="1">
        <w:r w:rsidRPr="00C06E47">
          <w:rPr>
            <w:rStyle w:val="Hyperlink"/>
          </w:rPr>
          <w:t>ttps://www.iso-ne.com/static-assets/documents/2017/11/final_2016_phase1_nepool_scenario_analysis_economic_study.docx</w:t>
        </w:r>
      </w:hyperlink>
      <w:r>
        <w:t>.</w:t>
      </w:r>
    </w:p>
  </w:footnote>
  <w:footnote w:id="32">
    <w:p w14:paraId="0AC9CEF7" w14:textId="77777777" w:rsidR="00E231DA" w:rsidRDefault="00E231DA" w:rsidP="001B747C">
      <w:pPr>
        <w:pStyle w:val="FootnoteText"/>
      </w:pPr>
      <w:r w:rsidRPr="00F35652">
        <w:rPr>
          <w:rStyle w:val="FootnoteReference"/>
        </w:rPr>
        <w:footnoteRef/>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19" w:history="1">
        <w:r w:rsidRPr="00C06E47">
          <w:rPr>
            <w:rStyle w:val="Hyperlink"/>
          </w:rPr>
          <w:t>https://www.iso-ne.com/static-assets/documents/2017/12/a2_2016_economic_study_phase_2_ramping_regulation_reservers_scenario_results.pdf</w:t>
        </w:r>
      </w:hyperlink>
      <w:r>
        <w:t xml:space="preserve">; Todd Schatzki and Christopher Llop, </w:t>
      </w:r>
      <w:r w:rsidRPr="00F35652">
        <w:rPr>
          <w:i/>
        </w:rPr>
        <w:t>Overview of Report: Capacity Market Impacts and Implications of Alternative Resource Expansion Scenarios</w:t>
      </w:r>
      <w:r>
        <w:t xml:space="preserve"> (Analysis Group, May 17, 2017), </w:t>
      </w:r>
      <w:hyperlink r:id="rId20" w:history="1">
        <w:r w:rsidRPr="00C06E47">
          <w:rPr>
            <w:rStyle w:val="Hyperlink"/>
          </w:rPr>
          <w:t>https://www.iso-ne.com/static-assets/documents/2017/05/a4_2016_economic_study_capacity_market_impacts_and_implications_of_alternative_resource_expansion_scenarios.pdf</w:t>
        </w:r>
      </w:hyperlink>
      <w:r>
        <w:t xml:space="preserve">; and ISO New England, </w:t>
      </w:r>
      <w:r w:rsidRPr="00F35652">
        <w:rPr>
          <w:i/>
        </w:rPr>
        <w:t xml:space="preserve">2016 Economic Study Results: Peak-Gas-Day/Hour Capacity and Energy Analysis </w:t>
      </w:r>
      <w:r>
        <w:t xml:space="preserve">(May 25, 2017), </w:t>
      </w:r>
      <w:hyperlink r:id="rId21" w:history="1">
        <w:r w:rsidRPr="005B1571">
          <w:rPr>
            <w:rStyle w:val="Hyperlink"/>
          </w:rPr>
          <w:t>https://www.iso-ne.com/static-assets/documents/2017/08/a3_2016_economic_study_natural_gas_capacity_and_energy_analysis_rev1.pdf</w:t>
        </w:r>
      </w:hyperlink>
      <w:r>
        <w:rPr>
          <w:rStyle w:val="Hyperlink"/>
        </w:rPr>
        <w:t>.</w:t>
      </w:r>
    </w:p>
  </w:footnote>
  <w:footnote w:id="33">
    <w:p w14:paraId="7B1593CC" w14:textId="77777777" w:rsidR="00E231DA" w:rsidRDefault="00E231DA" w:rsidP="001B747C">
      <w:pPr>
        <w:pStyle w:val="FootnoteText"/>
      </w:pPr>
      <w:r w:rsidRPr="00693EF3">
        <w:rPr>
          <w:rStyle w:val="FootnoteReference"/>
        </w:rPr>
        <w:footnoteRef/>
      </w:r>
      <w:r w:rsidRPr="00693EF3">
        <w:t xml:space="preserve"> </w:t>
      </w:r>
      <w:r w:rsidRPr="00744951">
        <w:t>I</w:t>
      </w:r>
      <w:r>
        <w:t xml:space="preserve">SO New England, </w:t>
      </w:r>
      <w:r w:rsidRPr="00693EF3">
        <w:rPr>
          <w:i/>
        </w:rPr>
        <w:t>2017 Economic Study: Exploration of Least-Cost Emissions-Compliant Scenarios</w:t>
      </w:r>
      <w:r>
        <w:t xml:space="preserve"> (October 29, 2018), </w:t>
      </w:r>
      <w:hyperlink r:id="rId22" w:history="1">
        <w:r w:rsidRPr="00744951">
          <w:rPr>
            <w:rStyle w:val="Hyperlink"/>
          </w:rPr>
          <w:t>https://www.iso-ne.com/static-assets/documents/2018/10/2017_economic_study_final.docx</w:t>
        </w:r>
      </w:hyperlink>
      <w:r>
        <w:t>.</w:t>
      </w:r>
    </w:p>
  </w:footnote>
  <w:footnote w:id="34">
    <w:p w14:paraId="05D3F08D" w14:textId="77777777" w:rsidR="00E231DA" w:rsidRPr="00356083" w:rsidRDefault="00E231DA" w:rsidP="007D367C">
      <w:pPr>
        <w:pStyle w:val="FoonoteText"/>
        <w:spacing w:after="80" w:line="240" w:lineRule="auto"/>
        <w:rPr>
          <w:sz w:val="18"/>
          <w:szCs w:val="18"/>
        </w:rPr>
      </w:pPr>
      <w:r w:rsidRPr="00356083">
        <w:rPr>
          <w:rStyle w:val="FootnoteReference"/>
          <w:sz w:val="18"/>
          <w:szCs w:val="18"/>
        </w:rPr>
        <w:footnoteRef/>
      </w:r>
      <w:r w:rsidRPr="00356083">
        <w:rPr>
          <w:sz w:val="18"/>
          <w:szCs w:val="18"/>
        </w:rPr>
        <w:t xml:space="preserve"> Likewise, the markets and market changes may help meet future system needs by providing incentives for the development of new resources. Market changes are subject to a different stakeholder process and are described in the ISO’s Annual Markets Report (AMR) (accessible at </w:t>
      </w:r>
      <w:hyperlink r:id="rId23" w:history="1">
        <w:r w:rsidRPr="00356083">
          <w:rPr>
            <w:rStyle w:val="Hyperlink"/>
            <w:sz w:val="18"/>
            <w:szCs w:val="18"/>
          </w:rPr>
          <w:t>https://www.iso-ne.com/markets-operations/market-monitoring-mitigation/internal-monitor</w:t>
        </w:r>
      </w:hyperlink>
      <w:r w:rsidRPr="00356083">
        <w:rPr>
          <w:sz w:val="18"/>
          <w:szCs w:val="18"/>
        </w:rPr>
        <w:t>) and Wholesale Markets Project Plan (WMPP) (</w:t>
      </w:r>
      <w:hyperlink r:id="rId24" w:history="1">
        <w:r w:rsidRPr="00356083">
          <w:rPr>
            <w:rStyle w:val="Hyperlink"/>
            <w:sz w:val="18"/>
            <w:szCs w:val="18"/>
          </w:rPr>
          <w:t>https://www.iso-ne.com/markets-operations/markets-development/wholesale-markets-project-plan</w:t>
        </w:r>
      </w:hyperlink>
      <w:r w:rsidRPr="00356083">
        <w:rPr>
          <w:sz w:val="18"/>
          <w:szCs w:val="18"/>
        </w:rPr>
        <w:t>).</w:t>
      </w:r>
    </w:p>
  </w:footnote>
  <w:footnote w:id="35">
    <w:p w14:paraId="2EBFF304" w14:textId="17B164BF" w:rsidR="00E231DA" w:rsidRPr="001655D0" w:rsidRDefault="00E231DA" w:rsidP="007D367C">
      <w:pPr>
        <w:spacing w:after="80" w:line="240" w:lineRule="auto"/>
        <w:rPr>
          <w:sz w:val="18"/>
          <w:szCs w:val="18"/>
        </w:rPr>
      </w:pPr>
      <w:r w:rsidRPr="00356083">
        <w:rPr>
          <w:rStyle w:val="FootnoteReference"/>
          <w:sz w:val="18"/>
          <w:szCs w:val="18"/>
        </w:rPr>
        <w:footnoteRef/>
      </w:r>
      <w:r w:rsidRPr="00356083">
        <w:rPr>
          <w:sz w:val="18"/>
          <w:szCs w:val="18"/>
        </w:rPr>
        <w:t xml:space="preserve"> </w:t>
      </w:r>
      <w:r w:rsidRPr="00356083">
        <w:rPr>
          <w:i/>
          <w:sz w:val="18"/>
          <w:szCs w:val="18"/>
        </w:rPr>
        <w:t>ISO New England Inc. Transmission, Markets, and Services Tariff</w:t>
      </w:r>
      <w:r w:rsidRPr="00356083">
        <w:rPr>
          <w:sz w:val="18"/>
          <w:szCs w:val="18"/>
        </w:rPr>
        <w:t xml:space="preserve"> (ISO tariff) (201</w:t>
      </w:r>
      <w:r>
        <w:rPr>
          <w:sz w:val="18"/>
          <w:szCs w:val="18"/>
        </w:rPr>
        <w:t>9</w:t>
      </w:r>
      <w:r w:rsidRPr="00356083">
        <w:rPr>
          <w:sz w:val="18"/>
          <w:szCs w:val="18"/>
        </w:rPr>
        <w:t xml:space="preserve">), </w:t>
      </w:r>
      <w:hyperlink r:id="rId25" w:history="1">
        <w:r w:rsidRPr="00356083">
          <w:rPr>
            <w:rStyle w:val="Hyperlink"/>
            <w:color w:val="auto"/>
            <w:sz w:val="18"/>
            <w:szCs w:val="18"/>
          </w:rPr>
          <w:t>http://www.iso-ne.com/regulatory/tariff/index.html</w:t>
        </w:r>
      </w:hyperlink>
      <w:r w:rsidRPr="00356083">
        <w:rPr>
          <w:sz w:val="18"/>
          <w:szCs w:val="18"/>
        </w:rPr>
        <w:t xml:space="preserve">, including Section II. </w:t>
      </w:r>
      <w:r w:rsidRPr="00356083">
        <w:rPr>
          <w:i/>
          <w:sz w:val="18"/>
          <w:szCs w:val="18"/>
        </w:rPr>
        <w:t>ISO New England Open Access Transmission Tariff</w:t>
      </w:r>
      <w:r w:rsidRPr="00356083">
        <w:rPr>
          <w:sz w:val="18"/>
          <w:szCs w:val="18"/>
        </w:rPr>
        <w:t xml:space="preserve">, </w:t>
      </w:r>
      <w:hyperlink r:id="rId26" w:history="1">
        <w:r w:rsidRPr="00356083">
          <w:rPr>
            <w:rStyle w:val="Hyperlink"/>
            <w:sz w:val="18"/>
            <w:szCs w:val="18"/>
          </w:rPr>
          <w:t>https://www.iso-ne.com/participate/rules-procedures/tariff/oatt</w:t>
        </w:r>
      </w:hyperlink>
      <w:r w:rsidRPr="00356083">
        <w:rPr>
          <w:sz w:val="18"/>
          <w:szCs w:val="18"/>
        </w:rPr>
        <w:t>.</w:t>
      </w:r>
    </w:p>
  </w:footnote>
  <w:footnote w:id="36">
    <w:p w14:paraId="14DAB739" w14:textId="77777777" w:rsidR="00E231DA" w:rsidRPr="000E4CCF" w:rsidRDefault="00E231DA" w:rsidP="007D367C">
      <w:pPr>
        <w:spacing w:after="80" w:line="240" w:lineRule="auto"/>
        <w:rPr>
          <w:sz w:val="18"/>
          <w:szCs w:val="18"/>
        </w:rPr>
      </w:pPr>
      <w:r w:rsidRPr="000527FC">
        <w:rPr>
          <w:rStyle w:val="FootnoteReference"/>
          <w:sz w:val="18"/>
          <w:szCs w:val="18"/>
        </w:rPr>
        <w:footnoteRef/>
      </w:r>
      <w:r w:rsidRPr="000527FC">
        <w:rPr>
          <w:sz w:val="18"/>
          <w:szCs w:val="18"/>
        </w:rPr>
        <w:t xml:space="preserve"> </w:t>
      </w:r>
      <w:r w:rsidRPr="000527FC">
        <w:rPr>
          <w:i/>
          <w:sz w:val="18"/>
          <w:szCs w:val="18"/>
        </w:rPr>
        <w:t xml:space="preserve">Demand </w:t>
      </w:r>
      <w:r w:rsidRPr="00C2237D">
        <w:rPr>
          <w:i/>
          <w:sz w:val="18"/>
          <w:szCs w:val="18"/>
        </w:rPr>
        <w:t xml:space="preserve">resources </w:t>
      </w:r>
      <w:r w:rsidRPr="00C2237D">
        <w:rPr>
          <w:sz w:val="18"/>
          <w:szCs w:val="18"/>
        </w:rPr>
        <w:t xml:space="preserve">verifiably </w:t>
      </w:r>
      <w:r w:rsidRPr="000527FC">
        <w:rPr>
          <w:sz w:val="18"/>
          <w:szCs w:val="18"/>
        </w:rPr>
        <w:t xml:space="preserve">reduce </w:t>
      </w:r>
      <w:r w:rsidRPr="00C2237D">
        <w:rPr>
          <w:sz w:val="18"/>
          <w:szCs w:val="18"/>
        </w:rPr>
        <w:t>their consumption of electricity from the regional power system</w:t>
      </w:r>
      <w:r w:rsidRPr="000527FC">
        <w:rPr>
          <w:sz w:val="18"/>
          <w:szCs w:val="18"/>
        </w:rPr>
        <w:t xml:space="preserve"> </w:t>
      </w:r>
      <w:r w:rsidRPr="00C2237D">
        <w:rPr>
          <w:sz w:val="18"/>
          <w:szCs w:val="18"/>
        </w:rPr>
        <w:t>through installed measures (e.g., products, equipment, systems, services, practices, or strategies) on end-use-customer facilities</w:t>
      </w:r>
      <w:r w:rsidRPr="007D73B7">
        <w:rPr>
          <w:sz w:val="18"/>
          <w:szCs w:val="18"/>
        </w:rPr>
        <w:t>.</w:t>
      </w:r>
      <w:r>
        <w:rPr>
          <w:sz w:val="18"/>
          <w:szCs w:val="18"/>
        </w:rPr>
        <w:t xml:space="preserve"> </w:t>
      </w:r>
      <w:r>
        <w:rPr>
          <w:i/>
          <w:sz w:val="18"/>
          <w:szCs w:val="18"/>
        </w:rPr>
        <w:t xml:space="preserve">Active demand </w:t>
      </w:r>
      <w:r w:rsidRPr="000527FC">
        <w:rPr>
          <w:i/>
          <w:sz w:val="18"/>
          <w:szCs w:val="18"/>
        </w:rPr>
        <w:t xml:space="preserve">resources </w:t>
      </w:r>
      <w:r>
        <w:rPr>
          <w:sz w:val="18"/>
          <w:szCs w:val="18"/>
        </w:rPr>
        <w:t xml:space="preserve">are dispatchable resources that </w:t>
      </w:r>
      <w:r w:rsidRPr="000527FC">
        <w:rPr>
          <w:sz w:val="18"/>
          <w:szCs w:val="18"/>
        </w:rPr>
        <w:t>offer to reduce load quickly</w:t>
      </w:r>
      <w:r>
        <w:rPr>
          <w:sz w:val="18"/>
          <w:szCs w:val="18"/>
        </w:rPr>
        <w:t xml:space="preserve"> </w:t>
      </w:r>
      <w:r w:rsidRPr="000527FC">
        <w:rPr>
          <w:sz w:val="18"/>
          <w:szCs w:val="18"/>
        </w:rPr>
        <w:t>in response to price signals in the ISO’s markets</w:t>
      </w:r>
      <w:r>
        <w:rPr>
          <w:sz w:val="18"/>
          <w:szCs w:val="18"/>
        </w:rPr>
        <w:t>, such as by powering down machines (i.e., load management) or using electricity from on-site generators instead of the g</w:t>
      </w:r>
      <w:r w:rsidRPr="00067D82">
        <w:rPr>
          <w:sz w:val="18"/>
          <w:szCs w:val="18"/>
        </w:rPr>
        <w:t>rid. (i.e., distributed generation; see more belo</w:t>
      </w:r>
      <w:r>
        <w:rPr>
          <w:sz w:val="18"/>
          <w:szCs w:val="18"/>
        </w:rPr>
        <w:t xml:space="preserve">w). </w:t>
      </w:r>
      <w:r w:rsidRPr="00C2237D">
        <w:rPr>
          <w:i/>
          <w:sz w:val="18"/>
          <w:szCs w:val="18"/>
        </w:rPr>
        <w:t>Passive demand resources</w:t>
      </w:r>
      <w:r w:rsidRPr="000527FC">
        <w:rPr>
          <w:sz w:val="18"/>
          <w:szCs w:val="18"/>
        </w:rPr>
        <w:t xml:space="preserve"> are nondispatchable and may reduce the total amount of electrical energy consumed </w:t>
      </w:r>
      <w:r>
        <w:rPr>
          <w:sz w:val="18"/>
          <w:szCs w:val="18"/>
        </w:rPr>
        <w:t xml:space="preserve">across many hours </w:t>
      </w:r>
      <w:r w:rsidRPr="000527FC">
        <w:rPr>
          <w:sz w:val="18"/>
          <w:szCs w:val="18"/>
        </w:rPr>
        <w:t>during peak times or seasons</w:t>
      </w:r>
      <w:r>
        <w:rPr>
          <w:sz w:val="18"/>
          <w:szCs w:val="18"/>
        </w:rPr>
        <w:t xml:space="preserve"> through the use of energy–efficiency measures, such as energy-efficient appliances and lighting and advanced cooling and heating technologies. </w:t>
      </w:r>
    </w:p>
  </w:footnote>
  <w:footnote w:id="37">
    <w:p w14:paraId="25B3C639" w14:textId="77777777" w:rsidR="00E231DA" w:rsidRPr="001655D0" w:rsidRDefault="00E231DA" w:rsidP="007D367C">
      <w:pPr>
        <w:pStyle w:val="FootnoteText"/>
        <w:rPr>
          <w:szCs w:val="18"/>
        </w:rPr>
      </w:pPr>
      <w:r w:rsidRPr="001655D0">
        <w:rPr>
          <w:rStyle w:val="FootnoteReference"/>
          <w:sz w:val="18"/>
          <w:szCs w:val="18"/>
        </w:rPr>
        <w:footnoteRef/>
      </w:r>
      <w:r w:rsidRPr="001655D0">
        <w:rPr>
          <w:szCs w:val="18"/>
        </w:rPr>
        <w:t xml:space="preserve"> A </w:t>
      </w:r>
      <w:r w:rsidRPr="001655D0">
        <w:rPr>
          <w:i/>
          <w:szCs w:val="18"/>
        </w:rPr>
        <w:t>merchant transmission facility</w:t>
      </w:r>
      <w:r w:rsidRPr="001655D0">
        <w:rPr>
          <w:szCs w:val="18"/>
        </w:rPr>
        <w:t xml:space="preserve"> is an independently developed and funded facility subject to the operational control of the ISO, pursuant to an operating agreement specific to each facility.</w:t>
      </w:r>
      <w:r>
        <w:rPr>
          <w:szCs w:val="18"/>
        </w:rPr>
        <w:t xml:space="preserve"> </w:t>
      </w:r>
    </w:p>
  </w:footnote>
  <w:footnote w:id="38">
    <w:p w14:paraId="7CC83B3D" w14:textId="77777777" w:rsidR="00E231DA" w:rsidRPr="001655D0" w:rsidRDefault="00E231DA" w:rsidP="007D367C">
      <w:pPr>
        <w:pStyle w:val="FoonoteText"/>
        <w:spacing w:after="80" w:line="240" w:lineRule="auto"/>
        <w:rPr>
          <w:sz w:val="18"/>
          <w:szCs w:val="18"/>
        </w:rPr>
      </w:pPr>
      <w:r w:rsidRPr="00210F50">
        <w:rPr>
          <w:rStyle w:val="FootnoteReference"/>
          <w:rFonts w:eastAsiaTheme="majorEastAsia"/>
          <w:sz w:val="18"/>
          <w:szCs w:val="18"/>
        </w:rPr>
        <w:footnoteRef/>
      </w:r>
      <w:r w:rsidRPr="00210F50">
        <w:rPr>
          <w:sz w:val="18"/>
          <w:szCs w:val="18"/>
        </w:rPr>
        <w:t xml:space="preserve"> See the OATT, Section II.B, Attachment N, “Procedures for Regional System Plan Upgrades,”</w:t>
      </w:r>
      <w:r w:rsidRPr="00210F50">
        <w:rPr>
          <w:sz w:val="18"/>
          <w:szCs w:val="18"/>
        </w:rPr>
        <w:br/>
      </w:r>
      <w:hyperlink r:id="rId27" w:history="1">
        <w:r w:rsidRPr="00210F50">
          <w:rPr>
            <w:rStyle w:val="Hyperlink"/>
            <w:color w:val="auto"/>
            <w:sz w:val="18"/>
            <w:szCs w:val="18"/>
          </w:rPr>
          <w:t>http://www.iso-ne.com/static-assets/documents/regulatory/tariff/sect_2/oatt/sect_ii.pdf</w:t>
        </w:r>
      </w:hyperlink>
      <w:r w:rsidRPr="00210F50">
        <w:rPr>
          <w:sz w:val="18"/>
          <w:szCs w:val="18"/>
        </w:rPr>
        <w:t>.</w:t>
      </w:r>
    </w:p>
  </w:footnote>
  <w:footnote w:id="39">
    <w:p w14:paraId="28959EC1" w14:textId="77777777" w:rsidR="00E231DA" w:rsidRPr="00AA4F95" w:rsidRDefault="00E231DA" w:rsidP="007D367C">
      <w:pPr>
        <w:spacing w:before="240" w:after="80" w:line="240" w:lineRule="auto"/>
        <w:rPr>
          <w:sz w:val="18"/>
          <w:szCs w:val="18"/>
        </w:rPr>
      </w:pPr>
      <w:r w:rsidRPr="00AA4F95">
        <w:rPr>
          <w:rStyle w:val="FootnoteReference"/>
          <w:sz w:val="18"/>
          <w:szCs w:val="18"/>
        </w:rPr>
        <w:footnoteRef/>
      </w:r>
      <w:r w:rsidRPr="00AA4F95">
        <w:rPr>
          <w:sz w:val="18"/>
          <w:szCs w:val="18"/>
        </w:rPr>
        <w:t xml:space="preserve"> FERC, </w:t>
      </w:r>
      <w:r w:rsidRPr="00AA4F95">
        <w:rPr>
          <w:i/>
          <w:sz w:val="18"/>
          <w:szCs w:val="18"/>
        </w:rPr>
        <w:t>ISO New England Inc.</w:t>
      </w:r>
      <w:r w:rsidRPr="00AA4F95">
        <w:rPr>
          <w:sz w:val="18"/>
          <w:szCs w:val="18"/>
        </w:rPr>
        <w:t xml:space="preserve"> </w:t>
      </w:r>
      <w:r w:rsidRPr="00AA4F95">
        <w:rPr>
          <w:i/>
          <w:sz w:val="18"/>
          <w:szCs w:val="18"/>
        </w:rPr>
        <w:t>Order on Compliance Filings</w:t>
      </w:r>
      <w:r w:rsidRPr="00AA4F95">
        <w:rPr>
          <w:sz w:val="18"/>
          <w:szCs w:val="18"/>
        </w:rPr>
        <w:t xml:space="preserve"> (May 17, </w:t>
      </w:r>
      <w:r w:rsidRPr="00A8085F">
        <w:rPr>
          <w:sz w:val="18"/>
          <w:szCs w:val="18"/>
        </w:rPr>
        <w:t xml:space="preserve">2013), </w:t>
      </w:r>
      <w:hyperlink r:id="rId28" w:history="1">
        <w:r w:rsidRPr="00A8085F">
          <w:rPr>
            <w:rStyle w:val="Hyperlink"/>
            <w:sz w:val="18"/>
            <w:szCs w:val="18"/>
          </w:rPr>
          <w:t>https://www.iso-ne.com/static-assets/documents/regulatory/ferc/orders/2013/may/er13_193_er13_196_5_17_13_order_on_order_1000_compliance_filings.pdf</w:t>
        </w:r>
      </w:hyperlink>
      <w:r w:rsidRPr="00A8085F">
        <w:rPr>
          <w:sz w:val="18"/>
          <w:szCs w:val="18"/>
        </w:rPr>
        <w:t>. Also see “Order No. 1000—Transmission Planning and Cost Allocation,” FERC webpage (</w:t>
      </w:r>
      <w:r>
        <w:rPr>
          <w:sz w:val="18"/>
          <w:szCs w:val="18"/>
        </w:rPr>
        <w:t xml:space="preserve">updated August 2, </w:t>
      </w:r>
      <w:r w:rsidRPr="00A8085F">
        <w:rPr>
          <w:sz w:val="18"/>
          <w:szCs w:val="18"/>
        </w:rPr>
        <w:t>201</w:t>
      </w:r>
      <w:r>
        <w:rPr>
          <w:sz w:val="18"/>
          <w:szCs w:val="18"/>
        </w:rPr>
        <w:t>8</w:t>
      </w:r>
      <w:r w:rsidRPr="00A8085F">
        <w:rPr>
          <w:sz w:val="18"/>
          <w:szCs w:val="18"/>
        </w:rPr>
        <w:t xml:space="preserve">), </w:t>
      </w:r>
      <w:hyperlink r:id="rId29" w:history="1">
        <w:r w:rsidRPr="00A8085F">
          <w:rPr>
            <w:rStyle w:val="Hyperlink"/>
            <w:color w:val="auto"/>
            <w:sz w:val="18"/>
            <w:szCs w:val="18"/>
          </w:rPr>
          <w:t>http://www.ferc.gov/industries/electric/indus-act/trans-plan.asp</w:t>
        </w:r>
      </w:hyperlink>
      <w:r w:rsidRPr="00A8085F">
        <w:rPr>
          <w:sz w:val="18"/>
          <w:szCs w:val="18"/>
        </w:rPr>
        <w:t>.</w:t>
      </w:r>
    </w:p>
  </w:footnote>
  <w:footnote w:id="40">
    <w:p w14:paraId="0EF814E1" w14:textId="77777777" w:rsidR="00E231DA" w:rsidRPr="001655D0" w:rsidRDefault="00E231DA" w:rsidP="007D367C">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The Network-Capability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Capacity-Capability Interconnection Standard is a capacity and energy standard that includes the same criteria as the Network-Capability Interconnection Standard</w:t>
      </w:r>
      <w:r w:rsidRPr="001655D0">
        <w:rPr>
          <w:i/>
          <w:sz w:val="18"/>
          <w:szCs w:val="18"/>
        </w:rPr>
        <w:t xml:space="preserve"> </w:t>
      </w:r>
      <w:r w:rsidRPr="001655D0">
        <w:rPr>
          <w:sz w:val="18"/>
          <w:szCs w:val="18"/>
        </w:rPr>
        <w:t xml:space="preserve">but also includes criteria to ensure intrazonal </w:t>
      </w:r>
      <w:r w:rsidRPr="007D15BE">
        <w:rPr>
          <w:sz w:val="18"/>
          <w:szCs w:val="18"/>
        </w:rPr>
        <w:t xml:space="preserve">deliverability by avoiding the redispatch of other capacity network resources. The OATT, Section 22, defines the standards; </w:t>
      </w:r>
      <w:hyperlink r:id="rId30" w:history="1">
        <w:r w:rsidRPr="007D15BE">
          <w:rPr>
            <w:rStyle w:val="Hyperlink"/>
            <w:color w:val="auto"/>
            <w:sz w:val="18"/>
            <w:szCs w:val="18"/>
          </w:rPr>
          <w:t>http://www.iso-ne.com/static-assets/documents/regulatory/tariff/sect_2/sch22/sch_22_lgip.pdf</w:t>
        </w:r>
      </w:hyperlink>
      <w:r w:rsidRPr="007D15BE">
        <w:rPr>
          <w:sz w:val="18"/>
          <w:szCs w:val="18"/>
        </w:rPr>
        <w:t>. Also see Schedule 23 for small generator interconnections and applications for new interconnections</w:t>
      </w:r>
      <w:hyperlink r:id="rId31" w:history="1">
        <w:r w:rsidRPr="007D15BE">
          <w:rPr>
            <w:rStyle w:val="Hyperlink"/>
            <w:sz w:val="18"/>
            <w:szCs w:val="18"/>
          </w:rPr>
          <w:t xml:space="preserve">; </w:t>
        </w:r>
      </w:hyperlink>
      <w:hyperlink r:id="rId32" w:history="1">
        <w:r w:rsidRPr="007D15BE">
          <w:rPr>
            <w:rStyle w:val="Hyperlink"/>
            <w:sz w:val="18"/>
            <w:szCs w:val="18"/>
          </w:rPr>
          <w:t>https://www.iso-ne.com/static-assets/documents/regulatory/tariff/sect_2/sch23/sch_23_sgip.pdf</w:t>
        </w:r>
      </w:hyperlink>
      <w:r w:rsidRPr="007D15BE">
        <w:rPr>
          <w:sz w:val="18"/>
          <w:szCs w:val="18"/>
        </w:rPr>
        <w:t>.</w:t>
      </w:r>
    </w:p>
  </w:footnote>
  <w:footnote w:id="41">
    <w:p w14:paraId="5E45A925" w14:textId="77777777" w:rsidR="00E231DA" w:rsidRPr="00B01AC5" w:rsidRDefault="00E231DA" w:rsidP="007D367C">
      <w:pPr>
        <w:pStyle w:val="FootnoteText"/>
        <w:rPr>
          <w:szCs w:val="18"/>
        </w:rPr>
      </w:pPr>
      <w:r w:rsidRPr="008D5D5B">
        <w:rPr>
          <w:rStyle w:val="FootnoteReference"/>
          <w:sz w:val="18"/>
          <w:szCs w:val="18"/>
        </w:rPr>
        <w:footnoteRef/>
      </w:r>
      <w:r w:rsidRPr="008D5D5B">
        <w:rPr>
          <w:szCs w:val="18"/>
        </w:rPr>
        <w:t xml:space="preserve"> </w:t>
      </w:r>
      <w:r w:rsidRPr="001655D0">
        <w:rPr>
          <w:i/>
          <w:szCs w:val="18"/>
        </w:rPr>
        <w:t>Pool transmission facilities</w:t>
      </w:r>
      <w:r w:rsidRPr="001655D0">
        <w:rPr>
          <w:szCs w:val="18"/>
        </w:rPr>
        <w:t xml:space="preserve"> are the facilities rated 69 kilovolts (kV) or above owned by the participating transmission owners, over which the ISO has operating authority in accordance with the terms set forth in the </w:t>
      </w:r>
      <w:r w:rsidRPr="00055AEF">
        <w:rPr>
          <w:szCs w:val="18"/>
        </w:rPr>
        <w:t>Transmission Operating Agreements</w:t>
      </w:r>
      <w:r w:rsidRPr="00B01AC5">
        <w:rPr>
          <w:szCs w:val="18"/>
        </w:rPr>
        <w:t xml:space="preserve">. Refer to the OATT, Section II.49, 109, for additional specifications, </w:t>
      </w:r>
      <w:hyperlink r:id="rId33" w:history="1">
        <w:r w:rsidRPr="00B01AC5">
          <w:rPr>
            <w:rStyle w:val="Hyperlink"/>
            <w:color w:val="auto"/>
            <w:szCs w:val="18"/>
          </w:rPr>
          <w:t>http://www.iso-ne.com/static-assets/documents/regulatory/tariff/sect_2/oatt/sect_ii.pdf</w:t>
        </w:r>
      </w:hyperlink>
      <w:r w:rsidRPr="00B01AC5">
        <w:rPr>
          <w:rStyle w:val="Hyperlink"/>
          <w:color w:val="auto"/>
          <w:szCs w:val="18"/>
        </w:rPr>
        <w:t xml:space="preserve">. See Schedule 25 of the OATT for additional information on ETUs. </w:t>
      </w:r>
    </w:p>
  </w:footnote>
  <w:footnote w:id="42">
    <w:p w14:paraId="35A838EA" w14:textId="77777777" w:rsidR="00E231DA" w:rsidRPr="00B01AC5" w:rsidRDefault="00E231DA" w:rsidP="007D367C">
      <w:pPr>
        <w:pStyle w:val="FootnoteText"/>
        <w:rPr>
          <w:szCs w:val="18"/>
        </w:rPr>
      </w:pPr>
      <w:r w:rsidRPr="00055AEF">
        <w:rPr>
          <w:rStyle w:val="FootnoteReference"/>
        </w:rPr>
        <w:footnoteRef/>
      </w:r>
      <w:r w:rsidRPr="00055AEF">
        <w:t xml:space="preserve"> </w:t>
      </w:r>
      <w:r w:rsidRPr="00A01253">
        <w:rPr>
          <w:rStyle w:val="Hyperlink"/>
          <w:color w:val="auto"/>
          <w:szCs w:val="18"/>
        </w:rPr>
        <w:t xml:space="preserve">An </w:t>
      </w:r>
      <w:r w:rsidRPr="00A01253">
        <w:rPr>
          <w:rStyle w:val="Hyperlink"/>
          <w:i/>
          <w:color w:val="auto"/>
          <w:szCs w:val="18"/>
        </w:rPr>
        <w:t xml:space="preserve">internal ETU </w:t>
      </w:r>
      <w:r w:rsidRPr="00A01253">
        <w:rPr>
          <w:rStyle w:val="Hyperlink"/>
          <w:color w:val="auto"/>
          <w:szCs w:val="18"/>
        </w:rPr>
        <w:t>is a</w:t>
      </w:r>
      <w:r w:rsidRPr="00A01253">
        <w:rPr>
          <w:color w:val="000000"/>
        </w:rPr>
        <w:t xml:space="preserve"> transmission facility with interconnection points located solely within the New England </w:t>
      </w:r>
      <w:r w:rsidRPr="00B01AC5">
        <w:rPr>
          <w:color w:val="000000"/>
          <w:szCs w:val="18"/>
        </w:rPr>
        <w:t xml:space="preserve">Control Area; it would receive a right to interconnect to the system subject to meeting all the requirements specified in an Interconnection Agreement (e.g., completing the upgrades required to accommodate the requested interconnection). An </w:t>
      </w:r>
      <w:r w:rsidRPr="00B01AC5">
        <w:rPr>
          <w:i/>
          <w:color w:val="000000"/>
          <w:szCs w:val="18"/>
        </w:rPr>
        <w:t>external ETU</w:t>
      </w:r>
      <w:r w:rsidRPr="00B01AC5">
        <w:rPr>
          <w:color w:val="000000"/>
          <w:szCs w:val="18"/>
        </w:rPr>
        <w:t xml:space="preserve"> is a transmission facility that will interconnect the New England Control Area with another control area.</w:t>
      </w:r>
      <w:r w:rsidRPr="00B01AC5">
        <w:rPr>
          <w:szCs w:val="18"/>
        </w:rPr>
        <w:t xml:space="preserve"> E</w:t>
      </w:r>
      <w:r w:rsidRPr="00B01AC5">
        <w:rPr>
          <w:color w:val="000000"/>
          <w:szCs w:val="18"/>
        </w:rPr>
        <w:t xml:space="preserve">xternal ETUs can receive </w:t>
      </w:r>
      <w:r w:rsidRPr="00400949">
        <w:rPr>
          <w:color w:val="000000"/>
          <w:szCs w:val="18"/>
        </w:rPr>
        <w:t xml:space="preserve">Capacity Network </w:t>
      </w:r>
      <w:r>
        <w:rPr>
          <w:color w:val="000000"/>
          <w:szCs w:val="18"/>
        </w:rPr>
        <w:t xml:space="preserve">Import </w:t>
      </w:r>
      <w:r w:rsidRPr="00400949">
        <w:rPr>
          <w:color w:val="000000"/>
          <w:szCs w:val="18"/>
        </w:rPr>
        <w:t>Interconnection Service (CNI</w:t>
      </w:r>
      <w:r>
        <w:rPr>
          <w:color w:val="000000"/>
          <w:szCs w:val="18"/>
        </w:rPr>
        <w:t xml:space="preserve"> Interconnection Service</w:t>
      </w:r>
      <w:r w:rsidRPr="00400949">
        <w:rPr>
          <w:color w:val="000000"/>
          <w:szCs w:val="18"/>
        </w:rPr>
        <w:t>) for</w:t>
      </w:r>
      <w:r w:rsidRPr="00B01AC5">
        <w:rPr>
          <w:color w:val="000000"/>
          <w:szCs w:val="18"/>
        </w:rPr>
        <w:t xml:space="preserve"> capacity</w:t>
      </w:r>
      <w:r>
        <w:rPr>
          <w:color w:val="000000"/>
          <w:szCs w:val="18"/>
        </w:rPr>
        <w:t>,</w:t>
      </w:r>
      <w:r w:rsidRPr="00B01AC5">
        <w:rPr>
          <w:color w:val="000000"/>
          <w:szCs w:val="18"/>
        </w:rPr>
        <w:t xml:space="preserve"> or Network </w:t>
      </w:r>
      <w:r>
        <w:rPr>
          <w:color w:val="000000"/>
          <w:szCs w:val="18"/>
        </w:rPr>
        <w:t xml:space="preserve">Import </w:t>
      </w:r>
      <w:r w:rsidRPr="00B01AC5">
        <w:rPr>
          <w:color w:val="000000"/>
          <w:szCs w:val="18"/>
        </w:rPr>
        <w:t>Interconnection Service (NI</w:t>
      </w:r>
      <w:r>
        <w:rPr>
          <w:color w:val="000000"/>
          <w:szCs w:val="18"/>
        </w:rPr>
        <w:t xml:space="preserve"> Interconnection Service</w:t>
      </w:r>
      <w:r w:rsidRPr="00B01AC5">
        <w:rPr>
          <w:color w:val="000000"/>
          <w:szCs w:val="18"/>
        </w:rPr>
        <w:t xml:space="preserve">) for energy if they complete all the required milestones. </w:t>
      </w:r>
      <w:r w:rsidRPr="00B01AC5">
        <w:rPr>
          <w:szCs w:val="18"/>
        </w:rPr>
        <w:t>For more informat</w:t>
      </w:r>
      <w:r w:rsidRPr="00DB5598">
        <w:rPr>
          <w:szCs w:val="18"/>
        </w:rPr>
        <w:t xml:space="preserve">ion, </w:t>
      </w:r>
      <w:r w:rsidRPr="00DB5598">
        <w:rPr>
          <w:color w:val="000000"/>
          <w:szCs w:val="18"/>
        </w:rPr>
        <w:t>See the OATT</w:t>
      </w:r>
      <w:r>
        <w:rPr>
          <w:color w:val="000000"/>
          <w:szCs w:val="18"/>
        </w:rPr>
        <w:t>,</w:t>
      </w:r>
      <w:r w:rsidRPr="00DB5598">
        <w:rPr>
          <w:color w:val="000000"/>
          <w:szCs w:val="18"/>
        </w:rPr>
        <w:t xml:space="preserve"> Schedule 25, </w:t>
      </w:r>
      <w:r w:rsidRPr="00DB5598">
        <w:rPr>
          <w:i/>
        </w:rPr>
        <w:t xml:space="preserve">Elective Transmission Upgrade Interconnection Procedures </w:t>
      </w:r>
      <w:r w:rsidRPr="00DB5598">
        <w:t xml:space="preserve">(January 29, 2019), </w:t>
      </w:r>
      <w:hyperlink r:id="rId34" w:history="1">
        <w:r w:rsidRPr="00DB5598">
          <w:rPr>
            <w:rStyle w:val="Hyperlink"/>
            <w:szCs w:val="18"/>
          </w:rPr>
          <w:t>https://www.iso-ne.com/static-assets/documents/2015/02/sch_25.pdf</w:t>
        </w:r>
      </w:hyperlink>
      <w:r w:rsidRPr="00DB5598">
        <w:rPr>
          <w:color w:val="000000"/>
          <w:szCs w:val="18"/>
        </w:rPr>
        <w:t>.</w:t>
      </w:r>
    </w:p>
  </w:footnote>
  <w:footnote w:id="43">
    <w:p w14:paraId="119C3F41" w14:textId="1FBE8982" w:rsidR="00E231DA" w:rsidRDefault="00E231DA" w:rsidP="007D367C">
      <w:pPr>
        <w:pStyle w:val="FootnoteText"/>
      </w:pPr>
      <w:r w:rsidRPr="00055AEF">
        <w:rPr>
          <w:rStyle w:val="FootnoteReference"/>
        </w:rPr>
        <w:footnoteRef/>
      </w:r>
      <w:r w:rsidRPr="00055AEF">
        <w:t xml:space="preserve"> </w:t>
      </w:r>
      <w:r w:rsidRPr="00055AEF">
        <w:rPr>
          <w:szCs w:val="18"/>
        </w:rPr>
        <w:t xml:space="preserve">The </w:t>
      </w:r>
      <w:r w:rsidRPr="00055AEF">
        <w:rPr>
          <w:i/>
          <w:szCs w:val="18"/>
        </w:rPr>
        <w:t>ISO’s Interconnection Request Queue</w:t>
      </w:r>
      <w:r w:rsidRPr="00055AEF">
        <w:rPr>
          <w:szCs w:val="18"/>
        </w:rPr>
        <w:t xml:space="preserve"> lists the status of requests for the interconnection of new or </w:t>
      </w:r>
      <w:r w:rsidRPr="00B31FEF">
        <w:rPr>
          <w:i/>
          <w:szCs w:val="18"/>
        </w:rPr>
        <w:t>uprated</w:t>
      </w:r>
      <w:r w:rsidRPr="00055AEF">
        <w:rPr>
          <w:szCs w:val="18"/>
        </w:rPr>
        <w:t xml:space="preserve"> (i.e., increased capacity) generating facilities to the ISO New England-administered transmission system; see </w:t>
      </w:r>
      <w:r w:rsidRPr="0093209A">
        <w:rPr>
          <w:szCs w:val="18"/>
        </w:rPr>
        <w:t>Section</w:t>
      </w:r>
      <w:r>
        <w:rPr>
          <w:szCs w:val="18"/>
        </w:rPr>
        <w:t xml:space="preserve"> </w:t>
      </w:r>
      <w:r>
        <w:rPr>
          <w:szCs w:val="18"/>
        </w:rPr>
        <w:fldChar w:fldCharType="begin"/>
      </w:r>
      <w:r>
        <w:rPr>
          <w:szCs w:val="18"/>
        </w:rPr>
        <w:instrText xml:space="preserve"> REF _Ref11668385 \r \h </w:instrText>
      </w:r>
      <w:r>
        <w:rPr>
          <w:szCs w:val="18"/>
        </w:rPr>
      </w:r>
      <w:r>
        <w:rPr>
          <w:szCs w:val="18"/>
        </w:rPr>
        <w:fldChar w:fldCharType="separate"/>
      </w:r>
      <w:r>
        <w:rPr>
          <w:szCs w:val="18"/>
        </w:rPr>
        <w:t>4.5.3</w:t>
      </w:r>
      <w:r>
        <w:rPr>
          <w:szCs w:val="18"/>
        </w:rPr>
        <w:fldChar w:fldCharType="end"/>
      </w:r>
      <w:r w:rsidRPr="00055AEF">
        <w:rPr>
          <w:szCs w:val="18"/>
        </w:rPr>
        <w:t xml:space="preserve"> It also includes elective transmission upgrades and transmission service requests.</w:t>
      </w:r>
    </w:p>
  </w:footnote>
  <w:footnote w:id="44">
    <w:p w14:paraId="323356B6" w14:textId="77777777" w:rsidR="00E231DA" w:rsidRPr="00D64F3A" w:rsidRDefault="00E231DA" w:rsidP="007D367C">
      <w:pPr>
        <w:spacing w:after="80" w:line="240" w:lineRule="auto"/>
        <w:rPr>
          <w:sz w:val="18"/>
          <w:szCs w:val="18"/>
        </w:rPr>
      </w:pPr>
      <w:r w:rsidRPr="00B01AC5">
        <w:rPr>
          <w:rStyle w:val="FootnoteReference"/>
          <w:sz w:val="18"/>
          <w:szCs w:val="18"/>
        </w:rPr>
        <w:footnoteRef/>
      </w:r>
      <w:r w:rsidRPr="00B01AC5">
        <w:rPr>
          <w:sz w:val="18"/>
          <w:szCs w:val="18"/>
        </w:rPr>
        <w:t xml:space="preserve"> OATT, Attachment K, </w:t>
      </w:r>
      <w:hyperlink r:id="rId35" w:history="1">
        <w:r w:rsidRPr="00B01AC5">
          <w:rPr>
            <w:rStyle w:val="Hyperlink"/>
            <w:color w:val="auto"/>
            <w:sz w:val="18"/>
            <w:szCs w:val="18"/>
          </w:rPr>
          <w:t>http://www.iso-ne.com/static-assets/documents/regulatory/tariff/sect_2/oatt/sect_ii.pdf</w:t>
        </w:r>
      </w:hyperlink>
      <w:hyperlink w:history="1"/>
      <w:r w:rsidRPr="00B01AC5">
        <w:rPr>
          <w:sz w:val="18"/>
          <w:szCs w:val="18"/>
        </w:rPr>
        <w:t>.</w:t>
      </w:r>
      <w:r w:rsidRPr="00D64F3A">
        <w:rPr>
          <w:sz w:val="18"/>
          <w:szCs w:val="18"/>
        </w:rPr>
        <w:t xml:space="preserve"> </w:t>
      </w:r>
    </w:p>
  </w:footnote>
  <w:footnote w:id="45">
    <w:p w14:paraId="7692637F" w14:textId="77777777" w:rsidR="00E231DA" w:rsidRPr="00C512A9" w:rsidRDefault="00E231DA"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 xml:space="preserve">Transmission Planning Process Guide </w:t>
      </w:r>
      <w:r w:rsidRPr="00B01AC5">
        <w:rPr>
          <w:szCs w:val="18"/>
        </w:rPr>
        <w:t>(</w:t>
      </w:r>
      <w:r w:rsidRPr="00A82A6B">
        <w:rPr>
          <w:szCs w:val="18"/>
        </w:rPr>
        <w:t>September 20</w:t>
      </w:r>
      <w:r w:rsidRPr="00B01AC5">
        <w:rPr>
          <w:szCs w:val="18"/>
        </w:rPr>
        <w:t>, 201</w:t>
      </w:r>
      <w:r w:rsidRPr="00A82A6B">
        <w:rPr>
          <w:szCs w:val="18"/>
        </w:rPr>
        <w:t>8</w:t>
      </w:r>
      <w:r w:rsidRPr="00B01AC5">
        <w:rPr>
          <w:szCs w:val="18"/>
        </w:rPr>
        <w:t xml:space="preserve">), </w:t>
      </w:r>
      <w:hyperlink r:id="rId36" w:history="1">
        <w:r w:rsidRPr="00201D1C">
          <w:rPr>
            <w:rStyle w:val="Hyperlink"/>
          </w:rPr>
          <w:t>https://www.iso-ne.com/static-assets/documents/2018/05/transmission_planning_process_guide_1_30_2018.pdf</w:t>
        </w:r>
      </w:hyperlink>
      <w:r w:rsidRPr="00B01AC5">
        <w:t>.</w:t>
      </w:r>
      <w:r w:rsidRPr="00C512A9">
        <w:rPr>
          <w:rStyle w:val="Hyperlink"/>
          <w:color w:val="auto"/>
          <w:szCs w:val="18"/>
        </w:rPr>
        <w:t xml:space="preserve"> </w:t>
      </w:r>
    </w:p>
  </w:footnote>
  <w:footnote w:id="46">
    <w:p w14:paraId="6900081A" w14:textId="77777777" w:rsidR="00E231DA" w:rsidRDefault="00E231DA" w:rsidP="007D367C">
      <w:pPr>
        <w:pStyle w:val="FootnoteText"/>
      </w:pPr>
      <w:r w:rsidRPr="00C512A9">
        <w:rPr>
          <w:rStyle w:val="FootnoteReference"/>
        </w:rPr>
        <w:footnoteRef/>
      </w:r>
      <w:r w:rsidRPr="00C512A9">
        <w:t xml:space="preserve"> Any entity that intends to submit a proposal in response to an ISO-identified need for a reliability transmission upgrade, market-efficiency transmission upgrade, public policy transmission upgrade, or a backstop transmission solution must first be recognized by the ISO as a </w:t>
      </w:r>
      <w:r w:rsidRPr="00C512A9">
        <w:rPr>
          <w:i/>
        </w:rPr>
        <w:t>qualified transmission project sponsor</w:t>
      </w:r>
      <w:r w:rsidRPr="00C512A9">
        <w:t xml:space="preserve">, in accordance with the OATT, </w:t>
      </w:r>
      <w:r w:rsidRPr="00B01AC5">
        <w:t>Attachment K, Section 4B.</w:t>
      </w:r>
      <w:r w:rsidRPr="00C512A9">
        <w:t xml:space="preserve"> </w:t>
      </w:r>
    </w:p>
  </w:footnote>
  <w:footnote w:id="47">
    <w:p w14:paraId="4143CF25" w14:textId="20039817" w:rsidR="00E231DA" w:rsidRPr="00D64F3A" w:rsidRDefault="00E231DA" w:rsidP="007D367C">
      <w:pPr>
        <w:pStyle w:val="FootnoteText"/>
        <w:rPr>
          <w:szCs w:val="18"/>
        </w:rPr>
      </w:pPr>
      <w:r w:rsidRPr="00B01AC5">
        <w:rPr>
          <w:rStyle w:val="FootnoteReference"/>
          <w:sz w:val="18"/>
          <w:szCs w:val="18"/>
        </w:rPr>
        <w:footnoteRef/>
      </w:r>
      <w:r w:rsidRPr="00B01AC5">
        <w:rPr>
          <w:szCs w:val="18"/>
        </w:rPr>
        <w:t xml:space="preserve"> ISO New England, </w:t>
      </w:r>
      <w:r w:rsidRPr="00B01AC5">
        <w:rPr>
          <w:i/>
          <w:szCs w:val="18"/>
        </w:rPr>
        <w:t>Transmission Planning Technical Guide</w:t>
      </w:r>
      <w:r w:rsidRPr="00B01AC5">
        <w:rPr>
          <w:szCs w:val="18"/>
        </w:rPr>
        <w:t>, (</w:t>
      </w:r>
      <w:r w:rsidRPr="00197FA7">
        <w:rPr>
          <w:szCs w:val="18"/>
        </w:rPr>
        <w:t>April 9</w:t>
      </w:r>
      <w:r w:rsidRPr="00B01AC5">
        <w:rPr>
          <w:szCs w:val="18"/>
        </w:rPr>
        <w:t>, 201</w:t>
      </w:r>
      <w:r w:rsidRPr="00197FA7">
        <w:rPr>
          <w:szCs w:val="18"/>
        </w:rPr>
        <w:t>9</w:t>
      </w:r>
      <w:r w:rsidRPr="00B01AC5">
        <w:rPr>
          <w:szCs w:val="18"/>
        </w:rPr>
        <w:t xml:space="preserve">), </w:t>
      </w:r>
      <w:hyperlink r:id="rId37" w:history="1">
        <w:r w:rsidRPr="0021743F">
          <w:rPr>
            <w:rStyle w:val="Hyperlink"/>
          </w:rPr>
          <w:t>https://www.iso-ne.com/static-assets/documents/2017/03/transmission_planning_techincal_guide_rev4_1.pdf</w:t>
        </w:r>
      </w:hyperlink>
      <w:r w:rsidRPr="00B01AC5">
        <w:rPr>
          <w:szCs w:val="18"/>
        </w:rPr>
        <w:t>.</w:t>
      </w:r>
    </w:p>
  </w:footnote>
  <w:footnote w:id="48">
    <w:p w14:paraId="616EA863" w14:textId="77777777" w:rsidR="00E231DA" w:rsidRDefault="00E231DA" w:rsidP="006357E6">
      <w:pPr>
        <w:pStyle w:val="FootnoteText"/>
      </w:pPr>
      <w:r>
        <w:rPr>
          <w:rStyle w:val="FootnoteReference"/>
        </w:rPr>
        <w:footnoteRef/>
      </w:r>
      <w:r>
        <w:t xml:space="preserve"> </w:t>
      </w:r>
      <w:r w:rsidRPr="00971194">
        <w:rPr>
          <w:i/>
          <w:szCs w:val="18"/>
        </w:rPr>
        <w:t>Distributed energy resources</w:t>
      </w:r>
      <w:r w:rsidRPr="00971194">
        <w:rPr>
          <w:szCs w:val="18"/>
        </w:rPr>
        <w:t xml:space="preserve"> are sources and aggregated sources of electric power not directly connected to a bulk power system. DERs include generators </w:t>
      </w:r>
      <w:r>
        <w:rPr>
          <w:szCs w:val="18"/>
        </w:rPr>
        <w:t>(i.e</w:t>
      </w:r>
      <w:r w:rsidRPr="002E36D6">
        <w:rPr>
          <w:szCs w:val="18"/>
        </w:rPr>
        <w:t>., distributed generators) and</w:t>
      </w:r>
      <w:r w:rsidRPr="00971194">
        <w:rPr>
          <w:szCs w:val="18"/>
        </w:rPr>
        <w:t xml:space="preserve"> energy-storage technologies capable of exporting active power to an electric power system.</w:t>
      </w:r>
    </w:p>
  </w:footnote>
  <w:footnote w:id="49">
    <w:p w14:paraId="6D3ED805" w14:textId="5097ECD9" w:rsidR="00E231DA" w:rsidRPr="001655D0" w:rsidRDefault="00E231DA" w:rsidP="007D367C">
      <w:pPr>
        <w:spacing w:after="80" w:line="240" w:lineRule="auto"/>
        <w:rPr>
          <w:sz w:val="18"/>
          <w:szCs w:val="18"/>
        </w:rPr>
      </w:pPr>
      <w:r w:rsidRPr="00E83059">
        <w:rPr>
          <w:rStyle w:val="FootnoteReference"/>
          <w:sz w:val="18"/>
          <w:szCs w:val="18"/>
        </w:rPr>
        <w:footnoteRef/>
      </w:r>
      <w:r w:rsidRPr="00E83059">
        <w:rPr>
          <w:sz w:val="18"/>
          <w:szCs w:val="18"/>
        </w:rPr>
        <w:t xml:space="preserve"> Refer to the OATT, Attachment K, Section 4.1 and 4.2 for complete definitions for needs assessments and </w:t>
      </w:r>
      <w:r w:rsidRPr="00B01AC5">
        <w:rPr>
          <w:sz w:val="18"/>
          <w:szCs w:val="18"/>
        </w:rPr>
        <w:t xml:space="preserve">solutions studies; </w:t>
      </w:r>
      <w:hyperlink r:id="rId38" w:history="1">
        <w:r w:rsidRPr="00B01AC5">
          <w:rPr>
            <w:rStyle w:val="Hyperlink"/>
            <w:sz w:val="18"/>
            <w:szCs w:val="18"/>
          </w:rPr>
          <w:t>https://www.iso-ne.com/static-assets/documents/regulatory/tariff/sect_2/oatt/sect_ii.pdf</w:t>
        </w:r>
      </w:hyperlink>
      <w:r w:rsidRPr="00B01AC5">
        <w:rPr>
          <w:sz w:val="18"/>
          <w:szCs w:val="18"/>
        </w:rPr>
        <w:t>.</w:t>
      </w:r>
      <w:r w:rsidRPr="001655D0">
        <w:rPr>
          <w:sz w:val="18"/>
          <w:szCs w:val="18"/>
        </w:rPr>
        <w:t xml:space="preserve"> </w:t>
      </w:r>
    </w:p>
  </w:footnote>
  <w:footnote w:id="50">
    <w:p w14:paraId="1EF233E6" w14:textId="77777777" w:rsidR="00E231DA" w:rsidRPr="0002310B" w:rsidRDefault="00E231DA" w:rsidP="007D367C">
      <w:pPr>
        <w:pStyle w:val="FootnoteText"/>
      </w:pPr>
      <w:r w:rsidRPr="006100CB">
        <w:rPr>
          <w:rStyle w:val="FootnoteReference"/>
        </w:rPr>
        <w:footnoteRef/>
      </w:r>
      <w:r w:rsidRPr="006100CB">
        <w:t xml:space="preserve"> </w:t>
      </w:r>
      <w:r w:rsidRPr="00C512A9">
        <w:t xml:space="preserve">The </w:t>
      </w:r>
      <w:r w:rsidRPr="00C512A9">
        <w:rPr>
          <w:i/>
        </w:rPr>
        <w:t>Eastern Interconnection</w:t>
      </w:r>
      <w:r w:rsidRPr="006100CB">
        <w:t xml:space="preserve"> </w:t>
      </w:r>
      <w:r w:rsidRPr="00C512A9">
        <w:t>is o</w:t>
      </w:r>
      <w:r w:rsidRPr="006100CB">
        <w:t>ne of two major AC power grids in North America spanning from central Canada eastward to the Atlantic coast (excluding Qu</w:t>
      </w:r>
      <w:r>
        <w:t>é</w:t>
      </w:r>
      <w:r w:rsidRPr="006100CB">
        <w:t xml:space="preserve">bec), south to Florida, and west to the foot of the Rocky Mountains (excluding most of Texas—the portion in the Electric Reliability Corporation of Texas) that, during normal system conditions, interconnects transmission and distribution infrastructure and operates at a synchronized frequency of 60 </w:t>
      </w:r>
      <w:r>
        <w:t>Hertz (</w:t>
      </w:r>
      <w:r w:rsidRPr="006100CB">
        <w:t>Hz</w:t>
      </w:r>
      <w:r>
        <w:t>)</w:t>
      </w:r>
      <w:r w:rsidRPr="006100CB">
        <w:t xml:space="preserve"> average. The Eastern Interconnection is tied to the Western Interconnection, the Texas Interconnection, and the Qu</w:t>
      </w:r>
      <w:r>
        <w:t>é</w:t>
      </w:r>
      <w:r w:rsidRPr="006100CB">
        <w:t xml:space="preserve">bec Interconnection generally through numerous </w:t>
      </w:r>
      <w:r>
        <w:t>high-voltage direct-current (HV</w:t>
      </w:r>
      <w:r w:rsidRPr="006100CB">
        <w:t>DC</w:t>
      </w:r>
      <w:r>
        <w:t>)</w:t>
      </w:r>
      <w:r w:rsidRPr="006100CB">
        <w:t xml:space="preserve"> </w:t>
      </w:r>
      <w:r w:rsidRPr="0002310B">
        <w:t>transmission lines.</w:t>
      </w:r>
    </w:p>
  </w:footnote>
  <w:footnote w:id="51">
    <w:p w14:paraId="4CBDD09A" w14:textId="6C8C113F" w:rsidR="00E231DA" w:rsidRDefault="00E231DA">
      <w:pPr>
        <w:pStyle w:val="FootnoteText"/>
      </w:pPr>
      <w:r w:rsidRPr="0002310B">
        <w:rPr>
          <w:rStyle w:val="FootnoteReference"/>
        </w:rPr>
        <w:footnoteRef/>
      </w:r>
      <w:r w:rsidRPr="0002310B">
        <w:t xml:space="preserve"> NERC is</w:t>
      </w:r>
      <w:r w:rsidRPr="00CF2B8B">
        <w:t xml:space="preserve"> </w:t>
      </w:r>
      <w:r w:rsidRPr="0002310B">
        <w:t>a FERC-designated Electric Reliability Organization (ERO) whose mission is to reduce risks to the reliability and security of the grid. The Northeast Power Coordinating Council is one of six regional entities located throughout the United States, Canada, a</w:t>
      </w:r>
      <w:r w:rsidRPr="00D1271D">
        <w:t>nd portions of Mexico responsible for enhancing and promoting the reliable and efficient operation of the interconnected bulk power s</w:t>
      </w:r>
      <w:r w:rsidRPr="00EB78A1">
        <w:t>ystem. The NPCC region covers nearly 1.2 million square miles populated by more than 55 million people. NPCC in the United States includes the six New England states and</w:t>
      </w:r>
      <w:r w:rsidRPr="00EC0080">
        <w:t xml:space="preserve"> the state of New York. NPCC Canada includes the provinces of Ontario and Québec and the Maritime provinces of New Brunswick and Nova Scotia. As full members, New Brunswick and Nova Scotia also ensure that NPCC reliability issues are addressed for Prince Edward Island.</w:t>
      </w:r>
      <w:r>
        <w:t xml:space="preserve"> </w:t>
      </w:r>
      <w:r w:rsidRPr="00EC0080">
        <w:t xml:space="preserve">More information about NERC and NPCC is available at </w:t>
      </w:r>
      <w:hyperlink r:id="rId39" w:history="1">
        <w:r w:rsidRPr="00EC0080">
          <w:rPr>
            <w:rStyle w:val="Hyperlink"/>
          </w:rPr>
          <w:t>http://www.nerc.com/</w:t>
        </w:r>
      </w:hyperlink>
      <w:r w:rsidRPr="00EC0080">
        <w:t xml:space="preserve"> and </w:t>
      </w:r>
      <w:hyperlink r:id="rId40" w:history="1">
        <w:r w:rsidRPr="00EC0080">
          <w:rPr>
            <w:rStyle w:val="Hyperlink"/>
          </w:rPr>
          <w:t>https://www.npcc.org/</w:t>
        </w:r>
      </w:hyperlink>
      <w:r w:rsidRPr="00EC0080">
        <w:t xml:space="preserve">, respectively. </w:t>
      </w:r>
      <w:r>
        <w:t xml:space="preserve">Also see more in Sections </w:t>
      </w:r>
      <w:r>
        <w:fldChar w:fldCharType="begin"/>
      </w:r>
      <w:r>
        <w:instrText xml:space="preserve"> REF _Ref11245083 \r \h </w:instrText>
      </w:r>
      <w:r>
        <w:fldChar w:fldCharType="separate"/>
      </w:r>
      <w:r>
        <w:t>6.3</w:t>
      </w:r>
      <w:r>
        <w:fldChar w:fldCharType="end"/>
      </w:r>
      <w:r>
        <w:t xml:space="preserve"> and </w:t>
      </w:r>
      <w:r>
        <w:fldChar w:fldCharType="begin"/>
      </w:r>
      <w:r>
        <w:instrText xml:space="preserve"> REF _Ref360798958 \r \h </w:instrText>
      </w:r>
      <w:r>
        <w:fldChar w:fldCharType="separate"/>
      </w:r>
      <w:r>
        <w:t>6.5</w:t>
      </w:r>
      <w:r>
        <w:fldChar w:fldCharType="end"/>
      </w:r>
      <w:r>
        <w:t>.</w:t>
      </w:r>
    </w:p>
  </w:footnote>
  <w:footnote w:id="52">
    <w:p w14:paraId="28F879D1" w14:textId="187DEA5D" w:rsidR="00E231DA" w:rsidRDefault="00E231DA" w:rsidP="00DB13B0">
      <w:pPr>
        <w:pStyle w:val="FootnoteText"/>
      </w:pPr>
      <w:r w:rsidRPr="0002310B">
        <w:rPr>
          <w:rStyle w:val="FootnoteReference"/>
        </w:rPr>
        <w:footnoteRef/>
      </w:r>
      <w:r w:rsidRPr="00037350">
        <w:t xml:space="preserve"> Intermittent or </w:t>
      </w:r>
      <w:r w:rsidRPr="00DB5598">
        <w:rPr>
          <w:i/>
        </w:rPr>
        <w:t>variable energy resources</w:t>
      </w:r>
      <w:r w:rsidRPr="00037350">
        <w:t xml:space="preserve"> produce energy subject to variations in “fuel” determined by weather and, in the case of PV, time of day; see Section </w:t>
      </w:r>
      <w:r>
        <w:fldChar w:fldCharType="begin"/>
      </w:r>
      <w:r>
        <w:instrText xml:space="preserve"> REF _Ref11832384 \r \h </w:instrText>
      </w:r>
      <w:r>
        <w:fldChar w:fldCharType="separate"/>
      </w:r>
      <w:r>
        <w:t>9.2</w:t>
      </w:r>
      <w:r>
        <w:fldChar w:fldCharType="end"/>
      </w:r>
      <w:r w:rsidRPr="00037350">
        <w:t>.</w:t>
      </w:r>
    </w:p>
  </w:footnote>
  <w:footnote w:id="53">
    <w:p w14:paraId="5F66008B"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C553D3">
        <w:rPr>
          <w:sz w:val="18"/>
          <w:szCs w:val="18"/>
        </w:rPr>
        <w:t>PAC</w:t>
      </w:r>
      <w:r>
        <w:rPr>
          <w:sz w:val="18"/>
          <w:szCs w:val="18"/>
        </w:rPr>
        <w:t xml:space="preserve"> materials (2000 to the present), including </w:t>
      </w:r>
      <w:r w:rsidRPr="00C553D3">
        <w:rPr>
          <w:sz w:val="18"/>
          <w:szCs w:val="18"/>
        </w:rPr>
        <w:t>agendas</w:t>
      </w:r>
      <w:r>
        <w:rPr>
          <w:sz w:val="18"/>
          <w:szCs w:val="18"/>
        </w:rPr>
        <w:t>,</w:t>
      </w:r>
      <w:r w:rsidRPr="00C553D3">
        <w:rPr>
          <w:sz w:val="18"/>
          <w:szCs w:val="18"/>
        </w:rPr>
        <w:t xml:space="preserve"> minutes</w:t>
      </w:r>
      <w:r>
        <w:rPr>
          <w:sz w:val="18"/>
          <w:szCs w:val="18"/>
        </w:rPr>
        <w:t>,</w:t>
      </w:r>
      <w:r w:rsidRPr="00C553D3">
        <w:rPr>
          <w:sz w:val="18"/>
          <w:szCs w:val="18"/>
        </w:rPr>
        <w:t xml:space="preserve"> materials</w:t>
      </w:r>
      <w:r>
        <w:rPr>
          <w:sz w:val="18"/>
          <w:szCs w:val="18"/>
        </w:rPr>
        <w:t>,</w:t>
      </w:r>
      <w:r w:rsidRPr="00C553D3">
        <w:rPr>
          <w:sz w:val="18"/>
          <w:szCs w:val="18"/>
        </w:rPr>
        <w:t xml:space="preserve"> draft reports</w:t>
      </w:r>
      <w:r>
        <w:rPr>
          <w:sz w:val="18"/>
          <w:szCs w:val="18"/>
        </w:rPr>
        <w:t xml:space="preserve">—with </w:t>
      </w:r>
      <w:r w:rsidRPr="001655D0">
        <w:rPr>
          <w:sz w:val="18"/>
          <w:szCs w:val="18"/>
        </w:rPr>
        <w:t>stakeholder questions and ISO responses</w:t>
      </w:r>
      <w:r>
        <w:rPr>
          <w:sz w:val="18"/>
          <w:szCs w:val="18"/>
        </w:rPr>
        <w:t>—</w:t>
      </w:r>
      <w:r w:rsidRPr="001655D0">
        <w:rPr>
          <w:sz w:val="18"/>
          <w:szCs w:val="18"/>
        </w:rPr>
        <w:t xml:space="preserve">and final reports are </w:t>
      </w:r>
      <w:r>
        <w:rPr>
          <w:sz w:val="18"/>
          <w:szCs w:val="18"/>
        </w:rPr>
        <w:t xml:space="preserve">available </w:t>
      </w:r>
      <w:r w:rsidRPr="00C553D3">
        <w:rPr>
          <w:sz w:val="18"/>
          <w:szCs w:val="18"/>
        </w:rPr>
        <w:t xml:space="preserve">at </w:t>
      </w:r>
      <w:hyperlink r:id="rId41" w:history="1">
        <w:r w:rsidRPr="00C553D3">
          <w:rPr>
            <w:rStyle w:val="Hyperlink"/>
            <w:color w:val="auto"/>
            <w:sz w:val="18"/>
            <w:szCs w:val="18"/>
          </w:rPr>
          <w:t>http://www.iso-ne.com/committees/comm_wkgrps/prtcpnts_comm/pac/index.html</w:t>
        </w:r>
      </w:hyperlink>
      <w:r w:rsidRPr="00C553D3">
        <w:rPr>
          <w:sz w:val="18"/>
          <w:szCs w:val="18"/>
        </w:rPr>
        <w:t>.</w:t>
      </w:r>
    </w:p>
  </w:footnote>
  <w:footnote w:id="54">
    <w:p w14:paraId="672FC87C"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NEPOOL members serve as ISO stakeholders and market participants. More information on NEPOOL participants is </w:t>
      </w:r>
      <w:r w:rsidRPr="00C553D3">
        <w:rPr>
          <w:sz w:val="18"/>
          <w:szCs w:val="18"/>
        </w:rPr>
        <w:t xml:space="preserve">available at </w:t>
      </w:r>
      <w:hyperlink r:id="rId42" w:history="1">
        <w:r w:rsidRPr="00C553D3">
          <w:rPr>
            <w:rStyle w:val="Hyperlink"/>
            <w:color w:val="auto"/>
            <w:sz w:val="18"/>
            <w:szCs w:val="18"/>
          </w:rPr>
          <w:t>http://www.iso-ne.com/participate/governing-agreements/nepool-agreement</w:t>
        </w:r>
      </w:hyperlink>
      <w:r w:rsidRPr="00C553D3">
        <w:rPr>
          <w:sz w:val="18"/>
          <w:szCs w:val="18"/>
        </w:rPr>
        <w:t>.</w:t>
      </w:r>
    </w:p>
  </w:footnote>
  <w:footnote w:id="55">
    <w:p w14:paraId="2F2B1DC8" w14:textId="77777777" w:rsidR="00E231DA" w:rsidRPr="00AF21B0" w:rsidRDefault="00E231DA" w:rsidP="007D367C">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Transmission Operating Agreement</w:t>
      </w:r>
      <w:r w:rsidRPr="001655D0">
        <w:rPr>
          <w:sz w:val="18"/>
          <w:szCs w:val="18"/>
        </w:rPr>
        <w:t xml:space="preserve"> is an agreement between a Regional Transmission O</w:t>
      </w:r>
      <w:r>
        <w:rPr>
          <w:sz w:val="18"/>
          <w:szCs w:val="18"/>
        </w:rPr>
        <w:t>rganization</w:t>
      </w:r>
      <w:r w:rsidRPr="001655D0">
        <w:rPr>
          <w:sz w:val="18"/>
          <w:szCs w:val="18"/>
        </w:rPr>
        <w:t xml:space="preserve"> and a </w:t>
      </w:r>
      <w:r w:rsidRPr="00AF21B0">
        <w:rPr>
          <w:sz w:val="18"/>
          <w:szCs w:val="18"/>
        </w:rPr>
        <w:t>transmission-providing utility whereby the RTO pays the utility for its transmission system costs in exchange for control of the transmission.</w:t>
      </w:r>
    </w:p>
  </w:footnote>
  <w:footnote w:id="56">
    <w:p w14:paraId="2422483E" w14:textId="77777777" w:rsidR="00E231DA" w:rsidRPr="00AF21B0" w:rsidRDefault="00E231DA" w:rsidP="007D367C">
      <w:pPr>
        <w:pStyle w:val="FoonoteText"/>
        <w:spacing w:after="80" w:line="240" w:lineRule="auto"/>
        <w:rPr>
          <w:sz w:val="18"/>
          <w:szCs w:val="18"/>
        </w:rPr>
      </w:pPr>
      <w:r w:rsidRPr="00AF21B0">
        <w:rPr>
          <w:rStyle w:val="FootnoteReference"/>
          <w:sz w:val="18"/>
          <w:szCs w:val="18"/>
        </w:rPr>
        <w:footnoteRef/>
      </w:r>
      <w:r w:rsidRPr="00AF21B0">
        <w:rPr>
          <w:sz w:val="18"/>
          <w:szCs w:val="18"/>
        </w:rPr>
        <w:t xml:space="preserve"> </w:t>
      </w:r>
      <w:r w:rsidRPr="00AF21B0">
        <w:rPr>
          <w:i/>
          <w:sz w:val="18"/>
          <w:szCs w:val="18"/>
        </w:rPr>
        <w:t>Market Rule 1</w:t>
      </w:r>
      <w:r w:rsidRPr="00AF21B0">
        <w:rPr>
          <w:sz w:val="18"/>
          <w:szCs w:val="18"/>
        </w:rPr>
        <w:t xml:space="preserve"> (ISO tariff, Section III) (2019), </w:t>
      </w:r>
      <w:hyperlink r:id="rId43" w:history="1">
        <w:r w:rsidRPr="00AF21B0">
          <w:rPr>
            <w:rStyle w:val="Hyperlink"/>
            <w:color w:val="auto"/>
            <w:sz w:val="18"/>
            <w:szCs w:val="18"/>
          </w:rPr>
          <w:t>http://www.iso-ne.com/regulatory/tariff/sect_3/index.html</w:t>
        </w:r>
      </w:hyperlink>
      <w:r w:rsidRPr="00AF21B0">
        <w:rPr>
          <w:sz w:val="18"/>
          <w:szCs w:val="18"/>
        </w:rPr>
        <w:t>.</w:t>
      </w:r>
    </w:p>
  </w:footnote>
  <w:footnote w:id="57">
    <w:p w14:paraId="523A2A0B" w14:textId="5BBC793B" w:rsidR="00E231DA" w:rsidRPr="008D5D5B" w:rsidRDefault="00E231DA" w:rsidP="003A1FF5">
      <w:pPr>
        <w:pStyle w:val="FootnoteText"/>
        <w:rPr>
          <w:szCs w:val="18"/>
        </w:rPr>
      </w:pPr>
      <w:r w:rsidRPr="00AF21B0">
        <w:rPr>
          <w:rStyle w:val="FootnoteReference"/>
          <w:sz w:val="18"/>
          <w:szCs w:val="18"/>
        </w:rPr>
        <w:footnoteRef/>
      </w:r>
      <w:r w:rsidRPr="00AF21B0">
        <w:rPr>
          <w:szCs w:val="18"/>
        </w:rPr>
        <w:t xml:space="preserve"> </w:t>
      </w:r>
      <w:r w:rsidRPr="00BB0D3B">
        <w:rPr>
          <w:szCs w:val="18"/>
        </w:rPr>
        <w:t xml:space="preserve">The </w:t>
      </w:r>
      <w:r w:rsidRPr="00BB0D3B">
        <w:rPr>
          <w:i/>
          <w:szCs w:val="18"/>
        </w:rPr>
        <w:t>RSP Project List</w:t>
      </w:r>
      <w:r w:rsidRPr="00BB0D3B">
        <w:rPr>
          <w:szCs w:val="18"/>
        </w:rPr>
        <w:t xml:space="preserve"> is available at </w:t>
      </w:r>
      <w:hyperlink r:id="rId44" w:history="1">
        <w:r w:rsidRPr="00BB0D3B">
          <w:rPr>
            <w:rStyle w:val="Hyperlink"/>
            <w:color w:val="auto"/>
            <w:szCs w:val="18"/>
          </w:rPr>
          <w:t>http://www.iso-ne.com/system-planning/system-plans-studies/rsp</w:t>
        </w:r>
      </w:hyperlink>
      <w:r w:rsidRPr="00BB0D3B">
        <w:rPr>
          <w:szCs w:val="18"/>
        </w:rPr>
        <w:t xml:space="preserve"> (filters: Regional System Plan document type; XLS file type).</w:t>
      </w:r>
      <w:r w:rsidRPr="00BB0D3B">
        <w:rPr>
          <w:rStyle w:val="Hyperlink"/>
        </w:rPr>
        <w:t xml:space="preserve"> The latest </w:t>
      </w:r>
      <w:r w:rsidRPr="00BB0D3B">
        <w:rPr>
          <w:rStyle w:val="Hyperlink"/>
          <w:i/>
        </w:rPr>
        <w:t>Asset</w:t>
      </w:r>
      <w:r>
        <w:rPr>
          <w:rStyle w:val="Hyperlink"/>
          <w:i/>
        </w:rPr>
        <w:t>-</w:t>
      </w:r>
      <w:r w:rsidRPr="00BB0D3B">
        <w:rPr>
          <w:rStyle w:val="Hyperlink"/>
          <w:i/>
        </w:rPr>
        <w:t>Condition List</w:t>
      </w:r>
      <w:r w:rsidRPr="00BB0D3B">
        <w:rPr>
          <w:rStyle w:val="Hyperlink"/>
        </w:rPr>
        <w:t xml:space="preserve"> is the “June 2019 ISO New England Asset Condition Update,” spreadsheet (June 2019), </w:t>
      </w:r>
      <w:hyperlink r:id="rId45" w:history="1">
        <w:r w:rsidRPr="00BB0D3B">
          <w:rPr>
            <w:rStyle w:val="Hyperlink"/>
          </w:rPr>
          <w:t>https://www.iso-ne.com/static-assets/documents/2019/06/final_asset_condition_list_june_2019.xls</w:t>
        </w:r>
      </w:hyperlink>
      <w:r w:rsidRPr="00BB0D3B">
        <w:t>.</w:t>
      </w:r>
    </w:p>
  </w:footnote>
  <w:footnote w:id="58">
    <w:p w14:paraId="1C6BD8B1" w14:textId="77777777" w:rsidR="00E231DA" w:rsidRDefault="00E231DA">
      <w:pPr>
        <w:pStyle w:val="FootnoteText"/>
      </w:pPr>
      <w:r>
        <w:rPr>
          <w:rStyle w:val="FootnoteReference"/>
        </w:rPr>
        <w:footnoteRef/>
      </w:r>
      <w:r>
        <w:t xml:space="preserve"> Stakeholder presentations to the PAC on the condition and management of key assets are available at the ISO’s </w:t>
      </w:r>
      <w:r w:rsidRPr="00E424AC">
        <w:rPr>
          <w:szCs w:val="18"/>
        </w:rPr>
        <w:t>“</w:t>
      </w:r>
      <w:r w:rsidRPr="00E424AC">
        <w:t>New England Asset Management Key Study Area,”</w:t>
      </w:r>
      <w:r w:rsidRPr="00616FC5">
        <w:t xml:space="preserve"> webpage (</w:t>
      </w:r>
      <w:r w:rsidRPr="00E424AC">
        <w:t>2019</w:t>
      </w:r>
      <w:r w:rsidRPr="00616FC5">
        <w:t xml:space="preserve">), </w:t>
      </w:r>
      <w:hyperlink r:id="rId46" w:history="1">
        <w:r w:rsidRPr="00616FC5">
          <w:rPr>
            <w:rStyle w:val="Hyperlink"/>
          </w:rPr>
          <w:t>https://www.iso-ne.com/system-planning/key-study-areas/new-england-asset-management/?load.more=1</w:t>
        </w:r>
      </w:hyperlink>
      <w:r>
        <w:rPr>
          <w:rStyle w:val="Hyperlink"/>
        </w:rPr>
        <w:t>.</w:t>
      </w:r>
    </w:p>
  </w:footnote>
  <w:footnote w:id="59">
    <w:p w14:paraId="7064B8F8" w14:textId="77777777" w:rsidR="00E231DA" w:rsidRPr="001655D0" w:rsidRDefault="00E231DA"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Recent and archived RSP materials are available at </w:t>
      </w:r>
      <w:hyperlink r:id="rId47" w:history="1">
        <w:r w:rsidRPr="009B1328">
          <w:rPr>
            <w:rStyle w:val="Hyperlink"/>
            <w:color w:val="auto"/>
            <w:sz w:val="18"/>
            <w:szCs w:val="18"/>
          </w:rPr>
          <w:t>http://www.iso-ne.com/trans/rsp/index.html</w:t>
        </w:r>
      </w:hyperlink>
      <w:r w:rsidRPr="009B1328">
        <w:rPr>
          <w:sz w:val="18"/>
          <w:szCs w:val="18"/>
        </w:rPr>
        <w:t>. The latest and</w:t>
      </w:r>
      <w:r w:rsidRPr="001655D0">
        <w:rPr>
          <w:sz w:val="18"/>
          <w:szCs w:val="18"/>
        </w:rPr>
        <w:t xml:space="preserve"> archived editions of the REO, </w:t>
      </w:r>
      <w:r w:rsidRPr="009B1328">
        <w:rPr>
          <w:sz w:val="18"/>
          <w:szCs w:val="18"/>
        </w:rPr>
        <w:t>AMR, and WMPP are</w:t>
      </w:r>
      <w:r w:rsidRPr="001655D0">
        <w:rPr>
          <w:sz w:val="18"/>
          <w:szCs w:val="18"/>
        </w:rPr>
        <w:t xml:space="preserve"> available </w:t>
      </w:r>
      <w:r w:rsidRPr="009B1328">
        <w:rPr>
          <w:sz w:val="18"/>
          <w:szCs w:val="18"/>
        </w:rPr>
        <w:t xml:space="preserve">at </w:t>
      </w:r>
      <w:hyperlink r:id="rId48" w:history="1">
        <w:r w:rsidRPr="009B1328">
          <w:rPr>
            <w:rStyle w:val="Hyperlink"/>
            <w:sz w:val="18"/>
            <w:szCs w:val="18"/>
          </w:rPr>
          <w:t>https://www.iso-ne.com/about/regional-electricity-outlook</w:t>
        </w:r>
      </w:hyperlink>
      <w:r w:rsidRPr="009B1328">
        <w:rPr>
          <w:sz w:val="18"/>
          <w:szCs w:val="18"/>
        </w:rPr>
        <w:t xml:space="preserve">, </w:t>
      </w:r>
      <w:hyperlink r:id="rId49" w:history="1">
        <w:r w:rsidRPr="009B1328">
          <w:rPr>
            <w:rStyle w:val="Hyperlink"/>
            <w:color w:val="auto"/>
            <w:sz w:val="18"/>
            <w:szCs w:val="18"/>
          </w:rPr>
          <w:t>http://www.iso-ne.com/markets/mkt_anlys_rpts/annl_mkt_rpts/</w:t>
        </w:r>
      </w:hyperlink>
      <w:r w:rsidRPr="009B1328">
        <w:rPr>
          <w:rStyle w:val="Hyperlink"/>
          <w:color w:val="auto"/>
          <w:sz w:val="18"/>
          <w:szCs w:val="18"/>
        </w:rPr>
        <w:t xml:space="preserve">, and </w:t>
      </w:r>
      <w:hyperlink r:id="rId50" w:history="1">
        <w:r w:rsidRPr="009B1328">
          <w:rPr>
            <w:rStyle w:val="Hyperlink"/>
            <w:color w:val="auto"/>
            <w:sz w:val="18"/>
            <w:szCs w:val="18"/>
          </w:rPr>
          <w:t>http://www.iso-ne.com/markets-operations/markets-development/wholesale-markets-project-plan</w:t>
        </w:r>
      </w:hyperlink>
      <w:r w:rsidRPr="009B1328">
        <w:rPr>
          <w:sz w:val="18"/>
          <w:szCs w:val="18"/>
        </w:rPr>
        <w:t>. The</w:t>
      </w:r>
      <w:r w:rsidRPr="001655D0">
        <w:rPr>
          <w:sz w:val="18"/>
          <w:szCs w:val="18"/>
        </w:rPr>
        <w:t xml:space="preserve"> needs assessments and solutions studies presented to the PAC and posted on the ISO website can be obtained by contacting ISO Customer Service at</w:t>
      </w:r>
      <w:r>
        <w:rPr>
          <w:sz w:val="18"/>
          <w:szCs w:val="18"/>
        </w:rPr>
        <w:br/>
      </w:r>
      <w:r w:rsidRPr="001655D0">
        <w:rPr>
          <w:sz w:val="18"/>
          <w:szCs w:val="18"/>
        </w:rPr>
        <w:t xml:space="preserve">413-540-4220. </w:t>
      </w:r>
    </w:p>
  </w:footnote>
  <w:footnote w:id="60">
    <w:p w14:paraId="6318E48C"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Stakeholders also can obtain publicly available models of the transmission system network through the FERC 715 process, which requires transmitting utilities that operate facilities rated at or above 100 kV to submit information to FERC annually; see </w:t>
      </w:r>
      <w:hyperlink r:id="rId51" w:history="1">
        <w:r w:rsidRPr="009B1328">
          <w:rPr>
            <w:rStyle w:val="Hyperlink"/>
            <w:color w:val="auto"/>
            <w:sz w:val="18"/>
            <w:szCs w:val="18"/>
          </w:rPr>
          <w:t>http://www.ferc.gov/docs-filing/forms/form-715/overview.asp</w:t>
        </w:r>
      </w:hyperlink>
      <w:r w:rsidRPr="009B1328">
        <w:rPr>
          <w:sz w:val="18"/>
          <w:szCs w:val="18"/>
        </w:rPr>
        <w:t xml:space="preserve">. </w:t>
      </w:r>
      <w:r w:rsidRPr="009B1328">
        <w:rPr>
          <w:i/>
          <w:sz w:val="18"/>
          <w:szCs w:val="18"/>
        </w:rPr>
        <w:t>ISO</w:t>
      </w:r>
      <w:r w:rsidRPr="001655D0">
        <w:rPr>
          <w:i/>
          <w:sz w:val="18"/>
          <w:szCs w:val="18"/>
        </w:rPr>
        <w:t xml:space="preserve"> New England Information </w:t>
      </w:r>
      <w:r w:rsidRPr="009B1328">
        <w:rPr>
          <w:i/>
          <w:sz w:val="18"/>
          <w:szCs w:val="18"/>
        </w:rPr>
        <w:t>Policy</w:t>
      </w:r>
      <w:r w:rsidRPr="009B1328">
        <w:rPr>
          <w:sz w:val="18"/>
          <w:szCs w:val="18"/>
        </w:rPr>
        <w:t xml:space="preserve"> (ISO tariff, Attachment D) (201</w:t>
      </w:r>
      <w:r w:rsidRPr="00BC2E35">
        <w:rPr>
          <w:sz w:val="18"/>
          <w:szCs w:val="18"/>
        </w:rPr>
        <w:t>9</w:t>
      </w:r>
      <w:r w:rsidRPr="009B1328">
        <w:rPr>
          <w:sz w:val="18"/>
          <w:szCs w:val="18"/>
        </w:rPr>
        <w:t xml:space="preserve">) contains the requirements for controlling the disclosure of CEII and confidential information; see </w:t>
      </w:r>
      <w:hyperlink r:id="rId52" w:history="1">
        <w:r w:rsidRPr="009B1328">
          <w:rPr>
            <w:rStyle w:val="Hyperlink"/>
            <w:color w:val="auto"/>
            <w:sz w:val="18"/>
            <w:szCs w:val="18"/>
          </w:rPr>
          <w:t>http://www.iso-ne.com/static-assets/documents/regulatory/tariff/attach_d/attachment_d.pdf</w:t>
        </w:r>
      </w:hyperlink>
      <w:r w:rsidRPr="009B1328">
        <w:rPr>
          <w:sz w:val="18"/>
          <w:szCs w:val="18"/>
        </w:rPr>
        <w:t>.</w:t>
      </w:r>
      <w:r w:rsidRPr="001655D0">
        <w:rPr>
          <w:sz w:val="18"/>
          <w:szCs w:val="18"/>
        </w:rPr>
        <w:t xml:space="preserve"> </w:t>
      </w:r>
    </w:p>
  </w:footnote>
  <w:footnote w:id="61">
    <w:p w14:paraId="4D04C2C6" w14:textId="77777777" w:rsidR="00E231DA" w:rsidRPr="001655D0" w:rsidRDefault="00E231DA" w:rsidP="007D367C">
      <w:pPr>
        <w:pStyle w:val="FoonoteText"/>
        <w:spacing w:after="80" w:line="240" w:lineRule="auto"/>
        <w:rPr>
          <w:sz w:val="18"/>
          <w:szCs w:val="18"/>
        </w:rPr>
      </w:pPr>
      <w:r w:rsidRPr="009B1328">
        <w:rPr>
          <w:rStyle w:val="FootnoteReference"/>
          <w:sz w:val="18"/>
          <w:szCs w:val="18"/>
        </w:rPr>
        <w:footnoteRef/>
      </w:r>
      <w:r w:rsidRPr="009B1328">
        <w:rPr>
          <w:sz w:val="18"/>
          <w:szCs w:val="18"/>
        </w:rPr>
        <w:t xml:space="preserve"> ISO New England, “Rules and Procedures” webpage, </w:t>
      </w:r>
      <w:hyperlink r:id="rId53" w:history="1">
        <w:r w:rsidRPr="009B1328">
          <w:rPr>
            <w:rStyle w:val="Hyperlink"/>
            <w:color w:val="auto"/>
            <w:sz w:val="18"/>
            <w:szCs w:val="18"/>
          </w:rPr>
          <w:t>http://www.iso-ne.com/participate/rules-procedures</w:t>
        </w:r>
      </w:hyperlink>
      <w:r w:rsidRPr="009B1328">
        <w:rPr>
          <w:sz w:val="18"/>
          <w:szCs w:val="18"/>
        </w:rPr>
        <w:t xml:space="preserve">. FERC, </w:t>
      </w:r>
      <w:r w:rsidRPr="009B1328">
        <w:rPr>
          <w:rStyle w:val="FoonoteTextChar"/>
          <w:rFonts w:eastAsiaTheme="minorHAnsi"/>
          <w:i/>
        </w:rPr>
        <w:t>Preventing Undue Discrimination and Preference in Transmission Service</w:t>
      </w:r>
      <w:r w:rsidRPr="009B1328">
        <w:rPr>
          <w:rStyle w:val="FoonoteTextChar"/>
          <w:rFonts w:eastAsiaTheme="minorHAnsi"/>
        </w:rPr>
        <w:t xml:space="preserve">, 18 CFR Parts 35 and 37, Order No. 890 (February 16, 2007), </w:t>
      </w:r>
      <w:hyperlink r:id="rId54" w:history="1">
        <w:r w:rsidRPr="009B1328">
          <w:rPr>
            <w:rStyle w:val="Hyperlink"/>
            <w:color w:val="auto"/>
            <w:sz w:val="18"/>
            <w:szCs w:val="18"/>
          </w:rPr>
          <w:t>http://www.ferc.gov/whats-new/comm-meet/2007/021507/E-1.pdf</w:t>
        </w:r>
      </w:hyperlink>
      <w:r w:rsidRPr="009B1328">
        <w:rPr>
          <w:sz w:val="18"/>
          <w:szCs w:val="18"/>
        </w:rPr>
        <w:t>. NERC Reliability Standards (201</w:t>
      </w:r>
      <w:r w:rsidRPr="00BC2E35">
        <w:rPr>
          <w:sz w:val="18"/>
          <w:szCs w:val="18"/>
        </w:rPr>
        <w:t>9</w:t>
      </w:r>
      <w:r w:rsidRPr="009B1328">
        <w:rPr>
          <w:sz w:val="18"/>
          <w:szCs w:val="18"/>
        </w:rPr>
        <w:t xml:space="preserve">), </w:t>
      </w:r>
      <w:hyperlink r:id="rId55" w:history="1">
        <w:r w:rsidRPr="009B1328">
          <w:rPr>
            <w:rStyle w:val="Hyperlink"/>
            <w:sz w:val="18"/>
            <w:szCs w:val="18"/>
          </w:rPr>
          <w:t>http://www.nerc.com/pa/Stand/Pages/ReliabilityStandards.aspx</w:t>
        </w:r>
      </w:hyperlink>
      <w:r w:rsidRPr="009B1328">
        <w:rPr>
          <w:sz w:val="18"/>
          <w:szCs w:val="18"/>
        </w:rPr>
        <w:t xml:space="preserve">. NPCC Regional Standards (2017), </w:t>
      </w:r>
      <w:hyperlink r:id="rId56" w:history="1">
        <w:r w:rsidRPr="009B1328">
          <w:rPr>
            <w:rStyle w:val="Hyperlink"/>
            <w:color w:val="auto"/>
            <w:sz w:val="18"/>
            <w:szCs w:val="18"/>
          </w:rPr>
          <w:t>https://www.npcc.org/Standards/default.aspx</w:t>
        </w:r>
      </w:hyperlink>
      <w:r w:rsidRPr="009B1328">
        <w:rPr>
          <w:sz w:val="18"/>
          <w:szCs w:val="18"/>
        </w:rPr>
        <w:t>.</w:t>
      </w:r>
    </w:p>
  </w:footnote>
  <w:footnote w:id="62">
    <w:p w14:paraId="4AB0FFB2" w14:textId="77777777" w:rsidR="00E231DA" w:rsidRPr="001655D0" w:rsidRDefault="00E231DA" w:rsidP="007D367C">
      <w:pPr>
        <w:spacing w:after="80" w:line="240" w:lineRule="auto"/>
        <w:rPr>
          <w:sz w:val="18"/>
          <w:szCs w:val="18"/>
        </w:rPr>
      </w:pPr>
      <w:r w:rsidRPr="009B1328">
        <w:rPr>
          <w:rStyle w:val="FootnoteReference"/>
          <w:sz w:val="18"/>
          <w:szCs w:val="18"/>
        </w:rPr>
        <w:footnoteRef/>
      </w:r>
      <w:r w:rsidRPr="009B1328">
        <w:rPr>
          <w:sz w:val="18"/>
          <w:szCs w:val="18"/>
        </w:rPr>
        <w:t xml:space="preserve"> ISO New England, “Transmission Operating Agreements,” webpage, </w:t>
      </w:r>
      <w:hyperlink r:id="rId57" w:history="1">
        <w:r w:rsidRPr="009B1328">
          <w:rPr>
            <w:rStyle w:val="Hyperlink"/>
            <w:color w:val="auto"/>
            <w:sz w:val="18"/>
            <w:szCs w:val="18"/>
          </w:rPr>
          <w:t>http://www.iso-ne.com/regulatory/toa/index.html</w:t>
        </w:r>
      </w:hyperlink>
      <w:r w:rsidRPr="009B1328">
        <w:rPr>
          <w:sz w:val="18"/>
          <w:szCs w:val="18"/>
        </w:rPr>
        <w:t>.</w:t>
      </w:r>
    </w:p>
  </w:footnote>
  <w:footnote w:id="63">
    <w:p w14:paraId="034E1A5F" w14:textId="77777777" w:rsidR="00E231DA" w:rsidRPr="00A1128D" w:rsidRDefault="00E231DA" w:rsidP="007D367C">
      <w:pPr>
        <w:pStyle w:val="FoonoteText"/>
        <w:spacing w:after="80" w:line="240" w:lineRule="auto"/>
        <w:rPr>
          <w:sz w:val="18"/>
          <w:szCs w:val="18"/>
        </w:rPr>
      </w:pPr>
      <w:r w:rsidRPr="0010591A">
        <w:rPr>
          <w:rStyle w:val="FootnoteReference"/>
          <w:sz w:val="18"/>
          <w:szCs w:val="18"/>
        </w:rPr>
        <w:footnoteRef/>
      </w:r>
      <w:r w:rsidRPr="0010591A">
        <w:rPr>
          <w:sz w:val="18"/>
          <w:szCs w:val="18"/>
        </w:rPr>
        <w:t xml:space="preserve"> The ISO is not responsible for portions of northern and eastern Maine. The Northern</w:t>
      </w:r>
      <w:r w:rsidRPr="008B2DCA">
        <w:rPr>
          <w:sz w:val="18"/>
          <w:szCs w:val="18"/>
        </w:rPr>
        <w:t xml:space="preserve"> Maine Independent System </w:t>
      </w:r>
      <w:r w:rsidRPr="009B1328">
        <w:rPr>
          <w:sz w:val="18"/>
          <w:szCs w:val="18"/>
        </w:rPr>
        <w:t>Administrator, Inc. (NMISA) is a nonprofit entity responsible for the administration of the northern Maine transmission system and electric power markets in Aroostook and Washington counties. The 201</w:t>
      </w:r>
      <w:r w:rsidRPr="00BC2E35">
        <w:rPr>
          <w:sz w:val="18"/>
          <w:szCs w:val="18"/>
        </w:rPr>
        <w:t>9</w:t>
      </w:r>
      <w:r w:rsidRPr="009B1328">
        <w:rPr>
          <w:sz w:val="18"/>
          <w:szCs w:val="18"/>
        </w:rPr>
        <w:t xml:space="preserve"> peak load forecast for NMISA is approximately 13</w:t>
      </w:r>
      <w:r w:rsidRPr="00BC2E35">
        <w:rPr>
          <w:sz w:val="18"/>
          <w:szCs w:val="18"/>
        </w:rPr>
        <w:t>9</w:t>
      </w:r>
      <w:r w:rsidRPr="009B1328">
        <w:rPr>
          <w:sz w:val="18"/>
          <w:szCs w:val="18"/>
        </w:rPr>
        <w:t xml:space="preserve"> MW. NMISA, </w:t>
      </w:r>
      <w:r w:rsidRPr="009B1328">
        <w:rPr>
          <w:i/>
          <w:sz w:val="18"/>
          <w:szCs w:val="18"/>
        </w:rPr>
        <w:t>Seven-Year Outlook: An Assessment of the Adequacy of Generation and Transmission Facilities on the Northern Maine Transmission System</w:t>
      </w:r>
      <w:r w:rsidRPr="009B1328">
        <w:rPr>
          <w:sz w:val="18"/>
          <w:szCs w:val="18"/>
        </w:rPr>
        <w:t xml:space="preserve"> (April 201</w:t>
      </w:r>
      <w:r w:rsidRPr="00BC2E35">
        <w:rPr>
          <w:sz w:val="18"/>
          <w:szCs w:val="18"/>
        </w:rPr>
        <w:t>8</w:t>
      </w:r>
      <w:r w:rsidRPr="009B1328">
        <w:rPr>
          <w:sz w:val="18"/>
          <w:szCs w:val="18"/>
        </w:rPr>
        <w:t xml:space="preserve">), p. 3, </w:t>
      </w:r>
      <w:hyperlink r:id="rId58" w:history="1">
        <w:r w:rsidRPr="009B1328">
          <w:rPr>
            <w:rStyle w:val="Hyperlink"/>
            <w:sz w:val="18"/>
            <w:szCs w:val="18"/>
          </w:rPr>
          <w:t>http://www.nmisa.com/wp-content/uploads/2018/04/2018-Seven-Year-Outlook-Final.pdf</w:t>
        </w:r>
      </w:hyperlink>
      <w:r>
        <w:rPr>
          <w:rStyle w:val="Hyperlink"/>
          <w:sz w:val="18"/>
          <w:szCs w:val="18"/>
        </w:rPr>
        <w:t>.</w:t>
      </w:r>
      <w:hyperlink w:history="1"/>
    </w:p>
  </w:footnote>
  <w:footnote w:id="64">
    <w:p w14:paraId="665665A8" w14:textId="77777777" w:rsidR="00E231DA" w:rsidRDefault="00E231DA" w:rsidP="007D367C">
      <w:pPr>
        <w:pStyle w:val="FootnoteText"/>
      </w:pPr>
      <w:r w:rsidRPr="003D5C12">
        <w:rPr>
          <w:rStyle w:val="FootnoteReference"/>
        </w:rPr>
        <w:footnoteRef/>
      </w:r>
      <w:r w:rsidRPr="003D5C12">
        <w:t xml:space="preserve"> </w:t>
      </w:r>
      <w:r w:rsidRPr="003D5C12">
        <w:rPr>
          <w:i/>
        </w:rPr>
        <w:t>Real power</w:t>
      </w:r>
      <w:r w:rsidRPr="003D5C12">
        <w:t xml:space="preserve"> or active power is the rate at which energy is expended to do work, measured in kilowatts or m</w:t>
      </w:r>
      <w:r>
        <w:t>e</w:t>
      </w:r>
      <w:r w:rsidRPr="003D5C12">
        <w:t xml:space="preserve">gawatts. Reactive power supports the magnetic and electric fields necessary to operate power system equipment in an alternating current power system. It is measured in volt-ampere reactive (VAR) and megavolt-ampere reactive (MVAR) units. </w:t>
      </w:r>
    </w:p>
  </w:footnote>
  <w:footnote w:id="65">
    <w:p w14:paraId="1B86D240" w14:textId="77777777" w:rsidR="00E231DA" w:rsidRPr="005C6CAB" w:rsidRDefault="00E231DA" w:rsidP="007D367C">
      <w:pPr>
        <w:pStyle w:val="FootnoteText"/>
        <w:rPr>
          <w:szCs w:val="18"/>
        </w:rPr>
      </w:pPr>
      <w:r w:rsidRPr="005C6CAB">
        <w:rPr>
          <w:rStyle w:val="FootnoteReference"/>
          <w:sz w:val="18"/>
          <w:szCs w:val="18"/>
        </w:rPr>
        <w:t xml:space="preserve">64 </w:t>
      </w:r>
      <w:r w:rsidRPr="005C6CAB">
        <w:rPr>
          <w:szCs w:val="18"/>
        </w:rPr>
        <w:t xml:space="preserve">For more information on New England wholesale electricity markets, see the ISO’s </w:t>
      </w:r>
      <w:r w:rsidRPr="005C6CAB">
        <w:rPr>
          <w:i/>
          <w:szCs w:val="18"/>
        </w:rPr>
        <w:t>2018 Annual Markets Report</w:t>
      </w:r>
      <w:r w:rsidRPr="005C6CAB">
        <w:rPr>
          <w:szCs w:val="18"/>
        </w:rPr>
        <w:t xml:space="preserve"> (AMR18) (May 23, 2019), </w:t>
      </w:r>
      <w:hyperlink r:id="rId59" w:history="1">
        <w:r w:rsidRPr="005C6CAB">
          <w:rPr>
            <w:rStyle w:val="Hyperlink"/>
            <w:szCs w:val="18"/>
          </w:rPr>
          <w:t>https://www.iso-ne.com/static-assets/documents/2019/05/2018-annual-markets-report.pdf</w:t>
        </w:r>
      </w:hyperlink>
      <w:r w:rsidRPr="005C6CAB">
        <w:rPr>
          <w:rStyle w:val="Hyperlink"/>
          <w:color w:val="auto"/>
          <w:szCs w:val="18"/>
        </w:rPr>
        <w:t xml:space="preserve">. </w:t>
      </w:r>
    </w:p>
  </w:footnote>
  <w:footnote w:id="66">
    <w:p w14:paraId="1E3CA12B" w14:textId="77777777" w:rsidR="00E231DA" w:rsidRPr="00E43982" w:rsidRDefault="00E231DA"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iCs/>
          <w:sz w:val="18"/>
          <w:szCs w:val="18"/>
        </w:rPr>
        <w:t>Installed capacity</w:t>
      </w:r>
      <w:r w:rsidRPr="00E43982">
        <w:rPr>
          <w:sz w:val="18"/>
          <w:szCs w:val="18"/>
        </w:rPr>
        <w:t xml:space="preserve"> is the megawatt capability of a generating unit, dispatchable load, external resource or transaction, or demand resource that qualifies as a participant in the ISO’s Forward Capacity Market according to the market rules. Additional information is available at </w:t>
      </w:r>
      <w:hyperlink r:id="rId60" w:history="1">
        <w:r w:rsidRPr="00E43982">
          <w:rPr>
            <w:rStyle w:val="Hyperlink"/>
            <w:color w:val="auto"/>
            <w:sz w:val="18"/>
            <w:szCs w:val="18"/>
          </w:rPr>
          <w:t>http://www.iso-ne.com/markets-operations/markets/forward-capacity-market</w:t>
        </w:r>
      </w:hyperlink>
      <w:r w:rsidRPr="00E43982">
        <w:rPr>
          <w:sz w:val="18"/>
          <w:szCs w:val="18"/>
        </w:rPr>
        <w:t>.</w:t>
      </w:r>
    </w:p>
  </w:footnote>
  <w:footnote w:id="67">
    <w:p w14:paraId="16FF9FC7" w14:textId="77777777" w:rsidR="00E231DA" w:rsidRPr="00E43982" w:rsidRDefault="00E231DA" w:rsidP="007D367C">
      <w:pPr>
        <w:pStyle w:val="FoonoteText"/>
        <w:spacing w:after="80" w:line="240" w:lineRule="auto"/>
        <w:rPr>
          <w:sz w:val="18"/>
          <w:szCs w:val="18"/>
        </w:rPr>
      </w:pPr>
      <w:r w:rsidRPr="00E43982">
        <w:rPr>
          <w:rStyle w:val="FootnoteReference"/>
          <w:sz w:val="18"/>
          <w:szCs w:val="18"/>
        </w:rPr>
        <w:footnoteRef/>
      </w:r>
      <w:r w:rsidRPr="00E43982">
        <w:rPr>
          <w:sz w:val="18"/>
          <w:szCs w:val="18"/>
        </w:rPr>
        <w:t xml:space="preserve"> </w:t>
      </w:r>
      <w:r w:rsidRPr="00E43982">
        <w:rPr>
          <w:i/>
          <w:sz w:val="18"/>
          <w:szCs w:val="18"/>
        </w:rPr>
        <w:t>Regulation</w:t>
      </w:r>
      <w:r w:rsidRPr="00E43982">
        <w:rPr>
          <w:sz w:val="18"/>
          <w:szCs w:val="18"/>
        </w:rPr>
        <w:t xml:space="preserve"> is the capability of specially equipped generators to increase or decrease their generation output every four seconds in response to signals they receive from the ISO to control slight changes on the system.</w:t>
      </w:r>
    </w:p>
  </w:footnote>
  <w:footnote w:id="68">
    <w:p w14:paraId="67A14EC3"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According to NERC, NPCC, and ISO criteria, a </w:t>
      </w:r>
      <w:r w:rsidRPr="001655D0">
        <w:rPr>
          <w:i/>
          <w:iCs/>
          <w:sz w:val="18"/>
          <w:szCs w:val="18"/>
        </w:rPr>
        <w:t>contingency</w:t>
      </w:r>
      <w:r w:rsidRPr="001655D0">
        <w:rPr>
          <w:sz w:val="18"/>
          <w:szCs w:val="18"/>
        </w:rPr>
        <w:t xml:space="preserve"> is the sudden loss of a generation or transmission resource. A system’s </w:t>
      </w:r>
      <w:r w:rsidRPr="001655D0">
        <w:rPr>
          <w:i/>
          <w:iCs/>
          <w:sz w:val="18"/>
          <w:szCs w:val="18"/>
        </w:rPr>
        <w:t>first contingency</w:t>
      </w:r>
      <w:r w:rsidRPr="001655D0">
        <w:rPr>
          <w:sz w:val="18"/>
          <w:szCs w:val="18"/>
        </w:rPr>
        <w:t xml:space="preserve"> (N−1) is when the power element (facility) with the largest impact on system reliability is lost. A </w:t>
      </w:r>
      <w:r w:rsidRPr="001655D0">
        <w:rPr>
          <w:i/>
          <w:iCs/>
          <w:sz w:val="18"/>
          <w:szCs w:val="18"/>
        </w:rPr>
        <w:t>second contingency</w:t>
      </w:r>
      <w:r w:rsidRPr="001655D0">
        <w:rPr>
          <w:iCs/>
          <w:sz w:val="18"/>
          <w:szCs w:val="18"/>
        </w:rPr>
        <w:t xml:space="preserve"> </w:t>
      </w:r>
      <w:r w:rsidRPr="001655D0">
        <w:rPr>
          <w:sz w:val="18"/>
          <w:szCs w:val="18"/>
        </w:rPr>
        <w:t>(N−1−1) takes place after a first contingency has occurred and is the loss of the facility that</w:t>
      </w:r>
      <w:r>
        <w:rPr>
          <w:sz w:val="18"/>
          <w:szCs w:val="18"/>
        </w:rPr>
        <w:t>,</w:t>
      </w:r>
      <w:r w:rsidRPr="001655D0">
        <w:rPr>
          <w:sz w:val="18"/>
          <w:szCs w:val="18"/>
        </w:rPr>
        <w:t xml:space="preserve"> at that time</w:t>
      </w:r>
      <w:r>
        <w:rPr>
          <w:sz w:val="18"/>
          <w:szCs w:val="18"/>
        </w:rPr>
        <w:t>,</w:t>
      </w:r>
      <w:r w:rsidRPr="001655D0">
        <w:rPr>
          <w:sz w:val="18"/>
          <w:szCs w:val="18"/>
        </w:rPr>
        <w:t xml:space="preserve"> has the largest impact on the system. A </w:t>
      </w:r>
      <w:r w:rsidRPr="001655D0">
        <w:rPr>
          <w:i/>
          <w:sz w:val="18"/>
          <w:szCs w:val="18"/>
        </w:rPr>
        <w:t>forced outage</w:t>
      </w:r>
      <w:r w:rsidRPr="001655D0">
        <w:rPr>
          <w:sz w:val="18"/>
          <w:szCs w:val="18"/>
        </w:rPr>
        <w:t xml:space="preserve"> is a type of unplanned outage or unexpected removal from service of a generating unit, transmission facility, or other facility or portion of a facility because of an emergency failure or the discovery of a problem that needs to be repaired as soon as crews, equipment, or corrective dispatch actions can perform the work. </w:t>
      </w:r>
    </w:p>
  </w:footnote>
  <w:footnote w:id="69">
    <w:p w14:paraId="325774E5" w14:textId="77777777" w:rsidR="00E231DA" w:rsidRPr="001655D0" w:rsidRDefault="00E231DA" w:rsidP="007D367C">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Fast-start resources</w:t>
      </w:r>
      <w:r w:rsidRPr="001655D0">
        <w:rPr>
          <w:sz w:val="18"/>
          <w:szCs w:val="18"/>
        </w:rPr>
        <w:t xml:space="preserve"> can be electrically synchronized to the system quickly and reach </w:t>
      </w:r>
      <w:r w:rsidRPr="001655D0">
        <w:rPr>
          <w:i/>
          <w:sz w:val="18"/>
          <w:szCs w:val="18"/>
        </w:rPr>
        <w:t>claimed capability</w:t>
      </w:r>
      <w:r w:rsidRPr="001655D0">
        <w:rPr>
          <w:sz w:val="18"/>
          <w:szCs w:val="18"/>
        </w:rPr>
        <w:t xml:space="preserve"> (i.e., a generator’s maximum production or output) within 10 to 30 minutes to respond to a contingency and serve demand.</w:t>
      </w:r>
    </w:p>
  </w:footnote>
  <w:footnote w:id="70">
    <w:p w14:paraId="602C37CD" w14:textId="77777777" w:rsidR="00E231DA" w:rsidRPr="00FA7F24" w:rsidRDefault="00E231DA" w:rsidP="007D367C">
      <w:pPr>
        <w:spacing w:after="80" w:line="240" w:lineRule="auto"/>
        <w:rPr>
          <w:sz w:val="18"/>
          <w:szCs w:val="18"/>
        </w:rPr>
      </w:pPr>
      <w:r w:rsidRPr="00FA7F24">
        <w:rPr>
          <w:rStyle w:val="FootnoteReference"/>
          <w:sz w:val="18"/>
          <w:szCs w:val="18"/>
        </w:rPr>
        <w:footnoteRef/>
      </w:r>
      <w:r w:rsidRPr="00FA7F24">
        <w:rPr>
          <w:sz w:val="18"/>
          <w:szCs w:val="18"/>
        </w:rPr>
        <w:t xml:space="preserve"> See </w:t>
      </w:r>
      <w:r w:rsidRPr="009B1328">
        <w:rPr>
          <w:sz w:val="18"/>
          <w:szCs w:val="18"/>
        </w:rPr>
        <w:t xml:space="preserve">the ISO’s Wholesale Markets Project Plans at </w:t>
      </w:r>
      <w:hyperlink r:id="rId61" w:history="1">
        <w:r w:rsidRPr="009B1328">
          <w:rPr>
            <w:rStyle w:val="Hyperlink"/>
            <w:sz w:val="18"/>
            <w:szCs w:val="18"/>
          </w:rPr>
          <w:t>https://www.iso-ne.com/marke</w:t>
        </w:r>
        <w:r w:rsidRPr="008F21B1">
          <w:rPr>
            <w:rStyle w:val="Hyperlink"/>
            <w:sz w:val="18"/>
            <w:szCs w:val="18"/>
          </w:rPr>
          <w:t>ts-operations/markets-development/wholesale-markets-project-plan</w:t>
        </w:r>
      </w:hyperlink>
      <w:r w:rsidRPr="009B1328">
        <w:rPr>
          <w:sz w:val="18"/>
          <w:szCs w:val="18"/>
        </w:rPr>
        <w:t>.</w:t>
      </w:r>
      <w:r w:rsidRPr="00FA7F24">
        <w:rPr>
          <w:sz w:val="18"/>
          <w:szCs w:val="18"/>
        </w:rPr>
        <w:t xml:space="preserve"> </w:t>
      </w:r>
    </w:p>
  </w:footnote>
  <w:footnote w:id="71">
    <w:p w14:paraId="1B659FAC" w14:textId="77777777" w:rsidR="00E231DA" w:rsidRPr="00CF2B8B" w:rsidRDefault="00E231DA" w:rsidP="007D367C">
      <w:pPr>
        <w:pStyle w:val="FootnoteText"/>
        <w:rPr>
          <w:szCs w:val="18"/>
        </w:rPr>
      </w:pPr>
      <w:r w:rsidRPr="00BC2E35">
        <w:rPr>
          <w:rStyle w:val="FootnoteReference"/>
          <w:sz w:val="18"/>
          <w:szCs w:val="18"/>
        </w:rPr>
        <w:footnoteRef/>
      </w:r>
      <w:r w:rsidRPr="008C7B31">
        <w:rPr>
          <w:szCs w:val="18"/>
        </w:rPr>
        <w:t xml:space="preserve"> Also see the ISO’s “Maps and Diagrams,” webpage at </w:t>
      </w:r>
      <w:hyperlink r:id="rId62" w:history="1">
        <w:r w:rsidRPr="00CF2B8B">
          <w:rPr>
            <w:szCs w:val="18"/>
          </w:rPr>
          <w:t>https://www.iso-ne.com/about/key-stats/maps-and-diagrams/</w:t>
        </w:r>
      </w:hyperlink>
      <w:r w:rsidRPr="00CF2B8B">
        <w:rPr>
          <w:szCs w:val="18"/>
        </w:rPr>
        <w:t>.</w:t>
      </w:r>
    </w:p>
  </w:footnote>
  <w:footnote w:id="72">
    <w:p w14:paraId="24AB480D"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 tariff allows loads that meet specified requirements to request and receive nodal pricing.</w:t>
      </w:r>
    </w:p>
  </w:footnote>
  <w:footnote w:id="73">
    <w:p w14:paraId="59F7E7E6" w14:textId="77777777" w:rsidR="00E231DA" w:rsidRPr="001655D0" w:rsidRDefault="00E231DA" w:rsidP="007D367C">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See </w:t>
      </w:r>
      <w:r w:rsidRPr="001655D0">
        <w:rPr>
          <w:i/>
          <w:sz w:val="18"/>
          <w:szCs w:val="18"/>
        </w:rPr>
        <w:t>Market Rule 1</w:t>
      </w:r>
      <w:r w:rsidRPr="001655D0">
        <w:rPr>
          <w:sz w:val="18"/>
          <w:szCs w:val="18"/>
        </w:rPr>
        <w:t xml:space="preserve">, Section III.2.7, of the </w:t>
      </w:r>
      <w:r w:rsidRPr="00E43982">
        <w:rPr>
          <w:sz w:val="18"/>
          <w:szCs w:val="18"/>
        </w:rPr>
        <w:t xml:space="preserve">ISO tariff, </w:t>
      </w:r>
      <w:hyperlink r:id="rId63" w:history="1">
        <w:r w:rsidRPr="00E43982">
          <w:rPr>
            <w:rStyle w:val="Hyperlink"/>
            <w:color w:val="auto"/>
            <w:sz w:val="18"/>
            <w:szCs w:val="18"/>
          </w:rPr>
          <w:t>http://www.iso-ne.com/participate/rules-procedures/tariff/market-rule-1</w:t>
        </w:r>
      </w:hyperlink>
      <w:hyperlink w:history="1"/>
      <w:r w:rsidRPr="00E43982">
        <w:rPr>
          <w:sz w:val="18"/>
          <w:szCs w:val="18"/>
        </w:rPr>
        <w:t>.</w:t>
      </w:r>
    </w:p>
  </w:footnote>
  <w:footnote w:id="74">
    <w:p w14:paraId="16883FD8" w14:textId="30CB1389" w:rsidR="00E231DA" w:rsidRDefault="00E231DA" w:rsidP="00716915">
      <w:pPr>
        <w:pStyle w:val="FootnoteText"/>
      </w:pPr>
      <w:r>
        <w:rPr>
          <w:rStyle w:val="FootnoteReference"/>
        </w:rPr>
        <w:footnoteRef/>
      </w:r>
      <w:r>
        <w:t xml:space="preserve"> </w:t>
      </w:r>
      <w:r w:rsidRPr="00BC0A58">
        <w:rPr>
          <w:szCs w:val="18"/>
        </w:rPr>
        <w:t>State-sponsored EE programs consist of various efforts designed to reduce energy consumption. These efforts generally are funded by multiple sources, including a system benefits charge (SBC</w:t>
      </w:r>
      <w:r w:rsidRPr="009F5FA2">
        <w:rPr>
          <w:szCs w:val="18"/>
        </w:rPr>
        <w:t>) that electricity providers apply</w:t>
      </w:r>
      <w:r w:rsidRPr="00BC0A58">
        <w:rPr>
          <w:szCs w:val="18"/>
        </w:rPr>
        <w:t xml:space="preserve"> to </w:t>
      </w:r>
      <w:r w:rsidRPr="00AB066D">
        <w:rPr>
          <w:szCs w:val="18"/>
        </w:rPr>
        <w:t>customer bills, the Regional Greenhouse Gas Initiative (RGGI) auction revenues (s</w:t>
      </w:r>
      <w:r w:rsidRPr="00716915">
        <w:rPr>
          <w:szCs w:val="18"/>
        </w:rPr>
        <w:t xml:space="preserve">ee </w:t>
      </w:r>
      <w:r w:rsidRPr="00CF2B8B">
        <w:rPr>
          <w:szCs w:val="18"/>
        </w:rPr>
        <w:t xml:space="preserve">Section </w:t>
      </w:r>
      <w:r w:rsidRPr="00CF2B8B">
        <w:rPr>
          <w:szCs w:val="18"/>
        </w:rPr>
        <w:fldChar w:fldCharType="begin"/>
      </w:r>
      <w:r w:rsidRPr="00CF2B8B">
        <w:rPr>
          <w:szCs w:val="18"/>
        </w:rPr>
        <w:instrText xml:space="preserve"> REF _Ref11514082 \r \h </w:instrText>
      </w:r>
      <w:r>
        <w:rPr>
          <w:szCs w:val="18"/>
        </w:rPr>
        <w:instrText xml:space="preserve"> \* MERGEFORMAT </w:instrText>
      </w:r>
      <w:r w:rsidRPr="00CF2B8B">
        <w:rPr>
          <w:szCs w:val="18"/>
        </w:rPr>
      </w:r>
      <w:r w:rsidRPr="00CF2B8B">
        <w:rPr>
          <w:szCs w:val="18"/>
        </w:rPr>
        <w:fldChar w:fldCharType="separate"/>
      </w:r>
      <w:r>
        <w:rPr>
          <w:szCs w:val="18"/>
        </w:rPr>
        <w:t>8.2.1.2</w:t>
      </w:r>
      <w:r w:rsidRPr="00CF2B8B">
        <w:rPr>
          <w:szCs w:val="18"/>
        </w:rPr>
        <w:fldChar w:fldCharType="end"/>
      </w:r>
      <w:r w:rsidRPr="00716915">
        <w:rPr>
          <w:szCs w:val="18"/>
        </w:rPr>
        <w:t>), and stat</w:t>
      </w:r>
      <w:r w:rsidRPr="00AB066D">
        <w:rPr>
          <w:szCs w:val="18"/>
        </w:rPr>
        <w:t>e</w:t>
      </w:r>
      <w:r w:rsidRPr="00BC0A58">
        <w:rPr>
          <w:szCs w:val="18"/>
        </w:rPr>
        <w:t xml:space="preserve"> EE </w:t>
      </w:r>
      <w:r w:rsidRPr="00967772">
        <w:rPr>
          <w:szCs w:val="18"/>
        </w:rPr>
        <w:t>policy funds.</w:t>
      </w:r>
    </w:p>
  </w:footnote>
  <w:footnote w:id="75">
    <w:p w14:paraId="0405FA6B" w14:textId="77777777" w:rsidR="00E231DA" w:rsidRPr="00C214F9" w:rsidRDefault="00E231DA" w:rsidP="001B1F4D">
      <w:pPr>
        <w:pStyle w:val="FootnoteText"/>
      </w:pPr>
      <w:r w:rsidRPr="00F049E2">
        <w:rPr>
          <w:rStyle w:val="FootnoteReference"/>
        </w:rPr>
        <w:footnoteRef/>
      </w:r>
      <w:r w:rsidRPr="00C214F9">
        <w:t xml:space="preserve"> ISO New England, </w:t>
      </w:r>
      <w:r w:rsidRPr="00C214F9">
        <w:rPr>
          <w:i/>
        </w:rPr>
        <w:t>Discussion of Electrification/Decarbonization,</w:t>
      </w:r>
      <w:r w:rsidRPr="00C214F9">
        <w:t xml:space="preserve"> Load Forecast Committee presentation, July 27, 2018, </w:t>
      </w:r>
      <w:hyperlink r:id="rId64" w:history="1">
        <w:r w:rsidRPr="00C214F9">
          <w:rPr>
            <w:rStyle w:val="Hyperlink"/>
          </w:rPr>
          <w:t>https://www.iso-ne.com/static-assets/documents/2018/07/iso_presentation_lfc_27_july2018.pdf</w:t>
        </w:r>
      </w:hyperlink>
      <w:r w:rsidRPr="00C214F9">
        <w:rPr>
          <w:rStyle w:val="Hyperlink"/>
        </w:rPr>
        <w:t>.</w:t>
      </w:r>
      <w:r w:rsidRPr="00C214F9">
        <w:t xml:space="preserve"> </w:t>
      </w:r>
    </w:p>
  </w:footnote>
  <w:footnote w:id="76">
    <w:p w14:paraId="57D7A60D" w14:textId="7BF4DCD2" w:rsidR="00E231DA" w:rsidRPr="00F049E2" w:rsidRDefault="00E231DA" w:rsidP="00F049E2">
      <w:pPr>
        <w:pStyle w:val="FootnoteText"/>
      </w:pPr>
      <w:r w:rsidRPr="00C214F9">
        <w:rPr>
          <w:rStyle w:val="FootnoteReference"/>
        </w:rPr>
        <w:footnoteRef/>
      </w:r>
      <w:r w:rsidRPr="00C214F9">
        <w:t xml:space="preserve"> Details of the ISO’s gross load forecast methodology and resulting forecasts are located on the ISO’s website, as follows, published annually on the “Load Forecast” webpage (2019), </w:t>
      </w:r>
      <w:hyperlink r:id="rId65" w:history="1">
        <w:r w:rsidRPr="00C214F9">
          <w:rPr>
            <w:rStyle w:val="Hyperlink"/>
          </w:rPr>
          <w:t>https://www.iso-ne.com/system-planning/system-forecasting/load-forecast/</w:t>
        </w:r>
      </w:hyperlink>
      <w:r w:rsidRPr="00C214F9">
        <w:t xml:space="preserve">. The energy and demand modeling methodology is described in the </w:t>
      </w:r>
      <w:r w:rsidRPr="00C214F9">
        <w:rPr>
          <w:i/>
        </w:rPr>
        <w:t>Forecast Modeling Procedure for the 2019 CELT Report: ISO New England Long-Run Energy and Seasonal Peak Forecasts</w:t>
      </w:r>
      <w:r w:rsidRPr="00C214F9">
        <w:t xml:space="preserve"> (e.g., 2019 Forecast Modeling Procedure) (April 30, 2019), </w:t>
      </w:r>
      <w:hyperlink r:id="rId66" w:history="1">
        <w:r w:rsidRPr="00C214F9">
          <w:rPr>
            <w:rStyle w:val="Hyperlink"/>
          </w:rPr>
          <w:t>https://www.iso-ne.com/static-assets/documents/2019/04/modeling_procedure_2019.pdf</w:t>
        </w:r>
      </w:hyperlink>
      <w:r w:rsidRPr="00C214F9">
        <w:t xml:space="preserve">. All final forecast values are published in </w:t>
      </w:r>
      <w:r w:rsidRPr="00B31FEF">
        <w:t xml:space="preserve">“ISONE 2019 Forecast Data File,” </w:t>
      </w:r>
      <w:r w:rsidRPr="00F049E2">
        <w:t>spreadsheet containing a number of worksheets (e.g., 2019 Forecast Data)</w:t>
      </w:r>
      <w:r w:rsidRPr="00B31FEF">
        <w:t xml:space="preserve"> (June 19, 2019), </w:t>
      </w:r>
      <w:hyperlink r:id="rId67" w:history="1">
        <w:r w:rsidRPr="00F049E2">
          <w:rPr>
            <w:rStyle w:val="Hyperlink"/>
          </w:rPr>
          <w:t>https://www.iso-ne.com/static-assets/documents/2019/04/forecast_data_2019.xlsx</w:t>
        </w:r>
      </w:hyperlink>
      <w:r w:rsidRPr="00F049E2">
        <w:t xml:space="preserve">. All resulting energy and peak models are documented in a </w:t>
      </w:r>
      <w:r w:rsidRPr="00B31FEF">
        <w:t xml:space="preserve">“Energy </w:t>
      </w:r>
      <w:r w:rsidRPr="00F049E2">
        <w:t>Model</w:t>
      </w:r>
      <w:r w:rsidRPr="00B31FEF">
        <w:t xml:space="preserve">s” </w:t>
      </w:r>
      <w:r w:rsidRPr="00F049E2">
        <w:t>spreadsheet (e.g., 2019 Energy &amp; Peak Model Details)</w:t>
      </w:r>
      <w:r w:rsidRPr="00B31FEF">
        <w:t xml:space="preserve"> (April 30, 2019), </w:t>
      </w:r>
      <w:r w:rsidRPr="00F049E2">
        <w:t xml:space="preserve"> </w:t>
      </w:r>
      <w:hyperlink r:id="rId68" w:history="1">
        <w:r w:rsidRPr="00F049E2">
          <w:rPr>
            <w:rStyle w:val="Hyperlink"/>
          </w:rPr>
          <w:t>https://www.iso-ne.com/static-assets/documents/2019/04/model_details_2019.xlsx</w:t>
        </w:r>
      </w:hyperlink>
      <w:r w:rsidRPr="00F049E2">
        <w:t xml:space="preserve">. The “Load Forecast Materials” webpage also includes the 10-year hourly forecasts in </w:t>
      </w:r>
      <w:r w:rsidRPr="00B31FEF">
        <w:t>electronic export information (</w:t>
      </w:r>
      <w:r w:rsidRPr="00F049E2">
        <w:t>EEI</w:t>
      </w:r>
      <w:r w:rsidRPr="00B31FEF">
        <w:t>)</w:t>
      </w:r>
      <w:r w:rsidRPr="00F049E2">
        <w:t xml:space="preserve"> format (e.g., hourly 2019 forecasts for the </w:t>
      </w:r>
      <w:r w:rsidRPr="00B31FEF">
        <w:t>r</w:t>
      </w:r>
      <w:r w:rsidRPr="00F049E2">
        <w:t>egion, RSP</w:t>
      </w:r>
      <w:r w:rsidRPr="00B31FEF">
        <w:t xml:space="preserve"> subareas, and SMD load zones). The</w:t>
      </w:r>
      <w:r w:rsidRPr="00F049E2">
        <w:t xml:space="preserve"> </w:t>
      </w:r>
      <w:r w:rsidRPr="00B31FEF">
        <w:t>“</w:t>
      </w:r>
      <w:r w:rsidRPr="00F049E2">
        <w:t>Load Forecast Committee</w:t>
      </w:r>
      <w:r w:rsidRPr="00B31FEF">
        <w:t>” webpage (2019) also contains materials on</w:t>
      </w:r>
      <w:r w:rsidRPr="00F049E2">
        <w:t xml:space="preserve"> </w:t>
      </w:r>
      <w:r w:rsidRPr="00B31FEF">
        <w:t xml:space="preserve">relevant </w:t>
      </w:r>
      <w:r w:rsidRPr="00F049E2">
        <w:t>stakeholder discussions</w:t>
      </w:r>
      <w:r w:rsidRPr="00B31FEF">
        <w:t xml:space="preserve">; </w:t>
      </w:r>
      <w:hyperlink r:id="rId69" w:history="1">
        <w:r w:rsidRPr="00B31FEF">
          <w:rPr>
            <w:rStyle w:val="Hyperlink"/>
          </w:rPr>
          <w:t>https://www.iso-ne.com/committees/reliability/load-forecast/</w:t>
        </w:r>
      </w:hyperlink>
      <w:r w:rsidRPr="00F049E2">
        <w:t>.</w:t>
      </w:r>
    </w:p>
  </w:footnote>
  <w:footnote w:id="77">
    <w:p w14:paraId="74649024" w14:textId="6D02C7C2" w:rsidR="00E231DA" w:rsidRPr="001655D0" w:rsidRDefault="00E231DA" w:rsidP="001B1F4D">
      <w:pPr>
        <w:pStyle w:val="FoonoteText"/>
        <w:spacing w:after="80" w:line="240" w:lineRule="auto"/>
        <w:rPr>
          <w:sz w:val="18"/>
          <w:szCs w:val="18"/>
        </w:rPr>
      </w:pPr>
      <w:r w:rsidRPr="00C214F9">
        <w:rPr>
          <w:rStyle w:val="FootnoteReference"/>
          <w:sz w:val="18"/>
          <w:szCs w:val="18"/>
        </w:rPr>
        <w:footnoteRef/>
      </w:r>
      <w:r w:rsidRPr="00C214F9">
        <w:rPr>
          <w:sz w:val="18"/>
          <w:szCs w:val="18"/>
        </w:rPr>
        <w:t xml:space="preserve"> The ISO’s Capacity, Energy, Load, and Transmission (CELT) Reports and associated documentation contain more details on the long-run forecast methodologies, models, and inputs; weather normalization; regional, state, subarea, and load-zone forecasts of annual electric energy use and peak loads; high- and low-forecast bandwidths; and retail electricity prices. See the 2019 CELT Report at the “CELT Reports,” webpage, </w:t>
      </w:r>
      <w:hyperlink r:id="rId70" w:history="1">
        <w:r w:rsidRPr="00C214F9">
          <w:rPr>
            <w:rStyle w:val="Hyperlink"/>
            <w:sz w:val="18"/>
            <w:szCs w:val="18"/>
          </w:rPr>
          <w:t>https://www.iso-ne.com/system-planning/system-plans-studies/celt</w:t>
        </w:r>
      </w:hyperlink>
      <w:r w:rsidRPr="00C214F9">
        <w:rPr>
          <w:sz w:val="18"/>
          <w:szCs w:val="18"/>
        </w:rPr>
        <w:t xml:space="preserve">. Also see the 2019 Forecast Data spreadsheet and other associated 2019 documentation, as listed in the above footnote, at </w:t>
      </w:r>
      <w:hyperlink r:id="rId71" w:history="1">
        <w:r w:rsidRPr="00C214F9">
          <w:rPr>
            <w:rStyle w:val="Hyperlink"/>
            <w:sz w:val="18"/>
            <w:szCs w:val="18"/>
          </w:rPr>
          <w:t>https://www.iso-ne.com/system-planning/system-forecasting/load-forecast/</w:t>
        </w:r>
      </w:hyperlink>
      <w:r w:rsidRPr="00C214F9">
        <w:rPr>
          <w:rStyle w:val="Hyperlink"/>
          <w:sz w:val="18"/>
          <w:szCs w:val="18"/>
        </w:rPr>
        <w:t xml:space="preserve">, </w:t>
      </w:r>
      <w:r w:rsidRPr="00C214F9">
        <w:rPr>
          <w:sz w:val="18"/>
          <w:szCs w:val="18"/>
        </w:rPr>
        <w:t xml:space="preserve">and the </w:t>
      </w:r>
      <w:r w:rsidRPr="00C214F9">
        <w:rPr>
          <w:i/>
          <w:sz w:val="18"/>
          <w:szCs w:val="18"/>
        </w:rPr>
        <w:t xml:space="preserve">ISO NE Seasonal Peaks since 1980 </w:t>
      </w:r>
      <w:r w:rsidRPr="00C214F9">
        <w:rPr>
          <w:sz w:val="18"/>
          <w:szCs w:val="18"/>
        </w:rPr>
        <w:t xml:space="preserve">(April 25, 2017), which can be accessed at </w:t>
      </w:r>
      <w:hyperlink r:id="rId72" w:history="1">
        <w:r w:rsidRPr="00C214F9">
          <w:rPr>
            <w:rStyle w:val="Hyperlink"/>
            <w:sz w:val="18"/>
            <w:szCs w:val="18"/>
          </w:rPr>
          <w:t>https://www.iso-ne.com/static-assets/documents/2018/06/seasonal_peak_data_summary.xls</w:t>
        </w:r>
      </w:hyperlink>
      <w:r w:rsidRPr="00C214F9">
        <w:rPr>
          <w:sz w:val="18"/>
          <w:szCs w:val="18"/>
        </w:rPr>
        <w:t>.</w:t>
      </w:r>
    </w:p>
  </w:footnote>
  <w:footnote w:id="78">
    <w:p w14:paraId="50FABAE6" w14:textId="77777777" w:rsidR="00E231DA" w:rsidRPr="00170D65" w:rsidRDefault="00E231DA" w:rsidP="001B1F4D">
      <w:pPr>
        <w:pStyle w:val="FootnoteText"/>
        <w:rPr>
          <w:szCs w:val="18"/>
        </w:rPr>
      </w:pPr>
      <w:r w:rsidRPr="001C5F59">
        <w:rPr>
          <w:rStyle w:val="FootnoteReference"/>
          <w:sz w:val="18"/>
          <w:szCs w:val="18"/>
        </w:rPr>
        <w:footnoteRef/>
      </w:r>
      <w:r w:rsidRPr="00170D65">
        <w:rPr>
          <w:szCs w:val="18"/>
        </w:rPr>
        <w:t xml:space="preserve"> </w:t>
      </w:r>
      <w:r>
        <w:rPr>
          <w:szCs w:val="18"/>
        </w:rPr>
        <w:t>Compared with distributed PV, n</w:t>
      </w:r>
      <w:r w:rsidRPr="00170D65">
        <w:rPr>
          <w:szCs w:val="18"/>
        </w:rPr>
        <w:t>on-PV distributed generation has been growing</w:t>
      </w:r>
      <w:r>
        <w:rPr>
          <w:szCs w:val="18"/>
        </w:rPr>
        <w:t xml:space="preserve"> much more modestly and somewhat consistently with its historical growth trend</w:t>
      </w:r>
      <w:r w:rsidRPr="00170D65">
        <w:rPr>
          <w:szCs w:val="18"/>
        </w:rPr>
        <w:t xml:space="preserve">. </w:t>
      </w:r>
      <w:r>
        <w:rPr>
          <w:i/>
          <w:szCs w:val="18"/>
        </w:rPr>
        <w:t>August 2018</w:t>
      </w:r>
      <w:r w:rsidRPr="003914FA">
        <w:rPr>
          <w:i/>
          <w:szCs w:val="18"/>
        </w:rPr>
        <w:t xml:space="preserve"> Distributed Generation Survey Results</w:t>
      </w:r>
      <w:r>
        <w:rPr>
          <w:i/>
          <w:szCs w:val="18"/>
        </w:rPr>
        <w:t xml:space="preserve"> </w:t>
      </w:r>
      <w:r w:rsidRPr="00203A97">
        <w:rPr>
          <w:szCs w:val="18"/>
        </w:rPr>
        <w:t>(see</w:t>
      </w:r>
      <w:r>
        <w:rPr>
          <w:i/>
          <w:szCs w:val="18"/>
        </w:rPr>
        <w:t xml:space="preserve"> Non-PV DG Survey Results </w:t>
      </w:r>
      <w:r w:rsidRPr="00FC3D28">
        <w:rPr>
          <w:szCs w:val="18"/>
        </w:rPr>
        <w:t>section)</w:t>
      </w:r>
      <w:r w:rsidRPr="00064F4F">
        <w:rPr>
          <w:szCs w:val="18"/>
        </w:rPr>
        <w:t xml:space="preserve">, </w:t>
      </w:r>
      <w:r w:rsidRPr="00170D65">
        <w:rPr>
          <w:szCs w:val="18"/>
        </w:rPr>
        <w:t xml:space="preserve">Distributed Generation Forecast Working Group (DGFWG) </w:t>
      </w:r>
      <w:r w:rsidRPr="003914FA">
        <w:rPr>
          <w:szCs w:val="18"/>
        </w:rPr>
        <w:t>presentation (</w:t>
      </w:r>
      <w:r>
        <w:rPr>
          <w:szCs w:val="18"/>
        </w:rPr>
        <w:t>December 10, 2018</w:t>
      </w:r>
      <w:r w:rsidRPr="003914FA">
        <w:rPr>
          <w:szCs w:val="18"/>
        </w:rPr>
        <w:t>),</w:t>
      </w:r>
      <w:r>
        <w:t xml:space="preserve"> </w:t>
      </w:r>
      <w:hyperlink r:id="rId73" w:history="1">
        <w:r w:rsidRPr="00064F4F">
          <w:rPr>
            <w:rStyle w:val="Hyperlink"/>
          </w:rPr>
          <w:t>https://www.iso-ne.com/static-assets/documents/2018/12/3_dgsurvey_results_aug18.121018.pdf</w:t>
        </w:r>
      </w:hyperlink>
      <w:r w:rsidRPr="003914FA">
        <w:rPr>
          <w:szCs w:val="18"/>
        </w:rPr>
        <w:t>.</w:t>
      </w:r>
    </w:p>
  </w:footnote>
  <w:footnote w:id="79">
    <w:p w14:paraId="3DE0F347" w14:textId="77777777" w:rsidR="00E231DA" w:rsidRPr="001655D0" w:rsidRDefault="00E231DA" w:rsidP="001B1F4D">
      <w:pPr>
        <w:spacing w:after="80" w:line="240" w:lineRule="auto"/>
        <w:rPr>
          <w:sz w:val="18"/>
          <w:szCs w:val="18"/>
        </w:rPr>
      </w:pPr>
      <w:r w:rsidRPr="001655D0">
        <w:rPr>
          <w:rStyle w:val="FootnoteReference"/>
          <w:sz w:val="18"/>
          <w:szCs w:val="18"/>
        </w:rPr>
        <w:footnoteRef/>
      </w:r>
      <w:r w:rsidRPr="001655D0">
        <w:rPr>
          <w:sz w:val="18"/>
          <w:szCs w:val="18"/>
        </w:rPr>
        <w:t xml:space="preserve"> </w:t>
      </w:r>
      <w:r>
        <w:rPr>
          <w:sz w:val="18"/>
          <w:szCs w:val="18"/>
        </w:rPr>
        <w:t>ISO New England</w:t>
      </w:r>
      <w:r w:rsidRPr="00FC3D28">
        <w:rPr>
          <w:sz w:val="18"/>
          <w:szCs w:val="18"/>
        </w:rPr>
        <w:t xml:space="preserve">, </w:t>
      </w:r>
      <w:r w:rsidRPr="00FC3D28">
        <w:rPr>
          <w:i/>
          <w:sz w:val="18"/>
          <w:szCs w:val="18"/>
        </w:rPr>
        <w:t>Draft 2019 ISO-NE Annual Energy and Summer Peak Forecast</w:t>
      </w:r>
      <w:r w:rsidRPr="00FC3D28">
        <w:rPr>
          <w:sz w:val="18"/>
          <w:szCs w:val="18"/>
        </w:rPr>
        <w:t xml:space="preserve">, PAC presentation (March 21, 2019), </w:t>
      </w:r>
      <w:hyperlink r:id="rId74" w:history="1">
        <w:r w:rsidRPr="00FC3D28">
          <w:rPr>
            <w:rStyle w:val="Hyperlink"/>
            <w:sz w:val="18"/>
            <w:szCs w:val="18"/>
          </w:rPr>
          <w:t>https://www.iso-ne.com/static-assets/documents/2019/03/a4_draft_2019_isone_annual_energy_and_summer_peak_forecast.pdf</w:t>
        </w:r>
      </w:hyperlink>
      <w:r w:rsidRPr="008B08B5">
        <w:rPr>
          <w:sz w:val="18"/>
          <w:szCs w:val="18"/>
        </w:rPr>
        <w:t>.</w:t>
      </w:r>
    </w:p>
  </w:footnote>
  <w:footnote w:id="80">
    <w:p w14:paraId="79E1CFF1" w14:textId="176B5B54" w:rsidR="00E231DA" w:rsidRPr="001655D0" w:rsidRDefault="00E231DA" w:rsidP="001B1F4D">
      <w:pPr>
        <w:spacing w:after="80" w:line="240" w:lineRule="auto"/>
        <w:rPr>
          <w:sz w:val="18"/>
          <w:szCs w:val="18"/>
        </w:rPr>
      </w:pPr>
      <w:r w:rsidRPr="00170D65">
        <w:rPr>
          <w:rStyle w:val="FootnoteReference"/>
          <w:sz w:val="18"/>
          <w:szCs w:val="18"/>
        </w:rPr>
        <w:footnoteRef/>
      </w:r>
      <w:r w:rsidRPr="00170D65">
        <w:rPr>
          <w:sz w:val="18"/>
          <w:szCs w:val="18"/>
        </w:rPr>
        <w:t xml:space="preserve"> </w:t>
      </w:r>
      <w:r>
        <w:rPr>
          <w:sz w:val="18"/>
          <w:szCs w:val="18"/>
        </w:rPr>
        <w:t xml:space="preserve">ISO New England, Final </w:t>
      </w:r>
      <w:r w:rsidRPr="002A3CD6">
        <w:rPr>
          <w:i/>
          <w:iCs/>
          <w:sz w:val="18"/>
          <w:szCs w:val="18"/>
        </w:rPr>
        <w:t xml:space="preserve">Draft </w:t>
      </w:r>
      <w:r>
        <w:rPr>
          <w:i/>
          <w:iCs/>
          <w:sz w:val="18"/>
          <w:szCs w:val="18"/>
        </w:rPr>
        <w:t xml:space="preserve">2019 CELT ISO-NE and States </w:t>
      </w:r>
      <w:r w:rsidRPr="002A3CD6">
        <w:rPr>
          <w:i/>
          <w:iCs/>
          <w:sz w:val="18"/>
          <w:szCs w:val="18"/>
        </w:rPr>
        <w:t xml:space="preserve">Annual Energy and </w:t>
      </w:r>
      <w:r>
        <w:rPr>
          <w:i/>
          <w:iCs/>
          <w:sz w:val="18"/>
          <w:szCs w:val="18"/>
        </w:rPr>
        <w:t>Seasonal</w:t>
      </w:r>
      <w:r w:rsidRPr="002A3CD6">
        <w:rPr>
          <w:i/>
          <w:iCs/>
          <w:sz w:val="18"/>
          <w:szCs w:val="18"/>
        </w:rPr>
        <w:t xml:space="preserve"> Peak Forecast</w:t>
      </w:r>
      <w:r>
        <w:rPr>
          <w:i/>
          <w:iCs/>
          <w:sz w:val="18"/>
          <w:szCs w:val="18"/>
        </w:rPr>
        <w:t>s</w:t>
      </w:r>
      <w:r w:rsidRPr="002A3CD6">
        <w:rPr>
          <w:i/>
          <w:iCs/>
          <w:sz w:val="18"/>
          <w:szCs w:val="18"/>
        </w:rPr>
        <w:t>,</w:t>
      </w:r>
      <w:r w:rsidRPr="002A3CD6">
        <w:rPr>
          <w:sz w:val="18"/>
          <w:szCs w:val="18"/>
        </w:rPr>
        <w:t xml:space="preserve"> </w:t>
      </w:r>
      <w:r>
        <w:rPr>
          <w:sz w:val="18"/>
          <w:szCs w:val="18"/>
        </w:rPr>
        <w:t>Load Forecast Committee</w:t>
      </w:r>
      <w:r w:rsidRPr="002A3CD6">
        <w:rPr>
          <w:sz w:val="18"/>
          <w:szCs w:val="18"/>
        </w:rPr>
        <w:t xml:space="preserve"> presentation (March 2</w:t>
      </w:r>
      <w:r>
        <w:rPr>
          <w:sz w:val="18"/>
          <w:szCs w:val="18"/>
        </w:rPr>
        <w:t>9</w:t>
      </w:r>
      <w:r w:rsidRPr="002A3CD6">
        <w:rPr>
          <w:sz w:val="18"/>
          <w:szCs w:val="18"/>
        </w:rPr>
        <w:t>, 201</w:t>
      </w:r>
      <w:r>
        <w:rPr>
          <w:sz w:val="18"/>
          <w:szCs w:val="18"/>
        </w:rPr>
        <w:t>9</w:t>
      </w:r>
      <w:r w:rsidRPr="002A3CD6">
        <w:rPr>
          <w:sz w:val="18"/>
          <w:szCs w:val="18"/>
        </w:rPr>
        <w:t>),</w:t>
      </w:r>
      <w:hyperlink r:id="rId75" w:history="1">
        <w:r w:rsidRPr="00E22AAA">
          <w:rPr>
            <w:rStyle w:val="Hyperlink"/>
            <w:sz w:val="18"/>
            <w:szCs w:val="18"/>
          </w:rPr>
          <w:t xml:space="preserve"> https://www.iso-ne.com/static-assets/documents/2019/03/lfc_29mar2019_final.pdf</w:t>
        </w:r>
      </w:hyperlink>
      <w:r>
        <w:rPr>
          <w:sz w:val="18"/>
          <w:szCs w:val="18"/>
        </w:rPr>
        <w:t>.</w:t>
      </w:r>
    </w:p>
  </w:footnote>
  <w:footnote w:id="81">
    <w:p w14:paraId="66F358FE" w14:textId="77777777" w:rsidR="00E231DA" w:rsidRPr="001655D0" w:rsidRDefault="00E231D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w:t>
      </w:r>
      <w:r w:rsidRPr="00187C5B">
        <w:rPr>
          <w:i/>
          <w:sz w:val="18"/>
          <w:szCs w:val="18"/>
        </w:rPr>
        <w:t>50/50 “reference” case peak loads</w:t>
      </w:r>
      <w:r w:rsidRPr="001655D0">
        <w:rPr>
          <w:sz w:val="18"/>
          <w:szCs w:val="18"/>
        </w:rPr>
        <w:t xml:space="preserve"> have a 50% chance of being exceeded </w:t>
      </w:r>
      <w:r>
        <w:rPr>
          <w:sz w:val="18"/>
          <w:szCs w:val="18"/>
        </w:rPr>
        <w:t xml:space="preserve">in any peak season </w:t>
      </w:r>
      <w:r w:rsidRPr="001655D0">
        <w:rPr>
          <w:sz w:val="18"/>
          <w:szCs w:val="18"/>
        </w:rPr>
        <w:t xml:space="preserve">because of weather conditions. The </w:t>
      </w:r>
      <w:r w:rsidRPr="00187C5B">
        <w:rPr>
          <w:i/>
          <w:sz w:val="18"/>
          <w:szCs w:val="18"/>
        </w:rPr>
        <w:t>90/10 “extreme” case peak loads</w:t>
      </w:r>
      <w:r w:rsidRPr="001655D0">
        <w:rPr>
          <w:sz w:val="18"/>
          <w:szCs w:val="18"/>
        </w:rPr>
        <w:t xml:space="preserve"> have a 10% chance of being exceeded </w:t>
      </w:r>
      <w:r>
        <w:rPr>
          <w:sz w:val="18"/>
          <w:szCs w:val="18"/>
        </w:rPr>
        <w:t xml:space="preserve">in any peak season </w:t>
      </w:r>
      <w:r w:rsidRPr="001655D0">
        <w:rPr>
          <w:sz w:val="18"/>
          <w:szCs w:val="18"/>
        </w:rPr>
        <w:t xml:space="preserve">because of weather. </w:t>
      </w:r>
    </w:p>
  </w:footnote>
  <w:footnote w:id="82">
    <w:p w14:paraId="20A9FFA3" w14:textId="77777777" w:rsidR="00E231DA" w:rsidRPr="001655D0" w:rsidRDefault="00E231DA" w:rsidP="001B1F4D">
      <w:pPr>
        <w:spacing w:after="80" w:line="240" w:lineRule="auto"/>
        <w:rPr>
          <w:sz w:val="18"/>
          <w:szCs w:val="18"/>
        </w:rPr>
      </w:pPr>
      <w:r w:rsidRPr="001655D0">
        <w:rPr>
          <w:rStyle w:val="FootnoteReference"/>
          <w:sz w:val="18"/>
          <w:szCs w:val="18"/>
        </w:rPr>
        <w:footnoteRef/>
      </w:r>
      <w:r w:rsidRPr="001655D0">
        <w:rPr>
          <w:sz w:val="18"/>
          <w:szCs w:val="18"/>
        </w:rPr>
        <w:t xml:space="preserve"> The generation output includes output from </w:t>
      </w:r>
      <w:r w:rsidRPr="001655D0">
        <w:rPr>
          <w:i/>
          <w:iCs/>
          <w:sz w:val="18"/>
          <w:szCs w:val="18"/>
        </w:rPr>
        <w:t>settlement-only resources</w:t>
      </w:r>
      <w:r w:rsidRPr="001655D0">
        <w:rPr>
          <w:sz w:val="18"/>
          <w:szCs w:val="18"/>
        </w:rPr>
        <w:t xml:space="preserve"> (SORs), which are less than 5 MW but not centrally dispatched by the ISO control room and not monitored in real time.</w:t>
      </w:r>
      <w:r>
        <w:rPr>
          <w:sz w:val="18"/>
          <w:szCs w:val="18"/>
        </w:rPr>
        <w:t xml:space="preserve"> NEL = Total ISO generator energy production + imports – exports – pumped storage load.</w:t>
      </w:r>
    </w:p>
  </w:footnote>
  <w:footnote w:id="83">
    <w:p w14:paraId="34C0D141" w14:textId="77777777" w:rsidR="00E231DA" w:rsidRPr="001655D0" w:rsidRDefault="00E231D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is calculated as follows:</w:t>
      </w:r>
    </w:p>
    <w:p w14:paraId="64287790" w14:textId="77777777" w:rsidR="00E231DA" w:rsidRPr="001655D0" w:rsidRDefault="00E231DA" w:rsidP="001B1F4D">
      <w:pPr>
        <w:pStyle w:val="FoonoteText"/>
        <w:spacing w:after="80" w:line="240" w:lineRule="auto"/>
        <w:rPr>
          <w:sz w:val="18"/>
          <w:szCs w:val="18"/>
        </w:rPr>
      </w:pPr>
      <w:r w:rsidRPr="001655D0">
        <w:rPr>
          <w:noProof/>
          <w:sz w:val="18"/>
          <w:szCs w:val="18"/>
        </w:rPr>
        <w:drawing>
          <wp:inline distT="0" distB="0" distL="0" distR="0" wp14:anchorId="5EA9C390" wp14:editId="31C04B72">
            <wp:extent cx="3233420" cy="45085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84">
    <w:p w14:paraId="7F7FBE0E" w14:textId="77777777" w:rsidR="00E231DA" w:rsidRPr="001655D0" w:rsidRDefault="00E231DA" w:rsidP="001B1F4D">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OP 4 actions implemented during a capacity deficiency include the dispatch of </w:t>
      </w:r>
      <w:r>
        <w:rPr>
          <w:sz w:val="18"/>
          <w:szCs w:val="18"/>
        </w:rPr>
        <w:t>active d</w:t>
      </w:r>
      <w:r w:rsidRPr="001655D0">
        <w:rPr>
          <w:sz w:val="18"/>
          <w:szCs w:val="18"/>
        </w:rPr>
        <w:t xml:space="preserve">emand resources. Operating Procedure No. 4, </w:t>
      </w:r>
      <w:r w:rsidRPr="001655D0">
        <w:rPr>
          <w:i/>
          <w:sz w:val="18"/>
          <w:szCs w:val="18"/>
        </w:rPr>
        <w:t>Action during a Capacity Deficiency</w:t>
      </w:r>
      <w:r w:rsidRPr="001655D0">
        <w:rPr>
          <w:sz w:val="18"/>
          <w:szCs w:val="18"/>
        </w:rPr>
        <w:t xml:space="preserve"> (</w:t>
      </w:r>
      <w:r>
        <w:rPr>
          <w:sz w:val="18"/>
          <w:szCs w:val="18"/>
        </w:rPr>
        <w:t>June 1, 2018</w:t>
      </w:r>
      <w:r w:rsidRPr="001655D0">
        <w:rPr>
          <w:sz w:val="18"/>
          <w:szCs w:val="18"/>
        </w:rPr>
        <w:t xml:space="preserve">), </w:t>
      </w:r>
      <w:hyperlink r:id="rId77" w:history="1">
        <w:r w:rsidRPr="004C22E6">
          <w:rPr>
            <w:rStyle w:val="Hyperlink"/>
            <w:sz w:val="18"/>
            <w:szCs w:val="18"/>
          </w:rPr>
          <w:t>https://www.iso-ne.com/static-assets/documents/rules_proceds/operating/isone/op4/op4_rto_final.pdf</w:t>
        </w:r>
      </w:hyperlink>
      <w:r w:rsidRPr="001655D0">
        <w:rPr>
          <w:sz w:val="18"/>
          <w:szCs w:val="18"/>
        </w:rPr>
        <w:t>.</w:t>
      </w:r>
    </w:p>
  </w:footnote>
  <w:footnote w:id="85">
    <w:p w14:paraId="62AB0AC2" w14:textId="77777777" w:rsidR="00E231DA" w:rsidRPr="001655D0" w:rsidRDefault="00E231DA" w:rsidP="001B1F4D">
      <w:pPr>
        <w:spacing w:after="80" w:line="240" w:lineRule="auto"/>
        <w:rPr>
          <w:sz w:val="18"/>
          <w:szCs w:val="18"/>
        </w:rPr>
      </w:pPr>
      <w:r w:rsidRPr="001655D0">
        <w:rPr>
          <w:rStyle w:val="FootnoteReference"/>
          <w:sz w:val="18"/>
          <w:szCs w:val="18"/>
        </w:rPr>
        <w:footnoteRef/>
      </w:r>
      <w:r w:rsidRPr="001655D0">
        <w:rPr>
          <w:sz w:val="18"/>
          <w:szCs w:val="18"/>
        </w:rPr>
        <w:t xml:space="preserve"> Weather conditions during the actual peak summer loads were slightly below the expected 90/10 weather conditions for 1994, 1999, 2001, and 2002, and weather conditions were </w:t>
      </w:r>
      <w:r>
        <w:rPr>
          <w:sz w:val="18"/>
          <w:szCs w:val="18"/>
        </w:rPr>
        <w:t xml:space="preserve">at or </w:t>
      </w:r>
      <w:r w:rsidRPr="001655D0">
        <w:rPr>
          <w:sz w:val="18"/>
          <w:szCs w:val="18"/>
        </w:rPr>
        <w:t>slightly above the expected 90/10 weather during the 2006, 2011, 201</w:t>
      </w:r>
      <w:r>
        <w:rPr>
          <w:sz w:val="18"/>
          <w:szCs w:val="18"/>
        </w:rPr>
        <w:t>3, and 2018</w:t>
      </w:r>
      <w:r w:rsidRPr="001655D0">
        <w:rPr>
          <w:sz w:val="18"/>
          <w:szCs w:val="18"/>
        </w:rPr>
        <w:t xml:space="preserve"> peaks. A spreadsheet containing historical annual peak loads and associated weather conditions since 1980 is available at </w:t>
      </w:r>
      <w:hyperlink r:id="rId78" w:history="1">
        <w:r w:rsidRPr="004C22E6">
          <w:rPr>
            <w:rStyle w:val="Hyperlink"/>
            <w:sz w:val="18"/>
            <w:szCs w:val="18"/>
          </w:rPr>
          <w:t>https://www.iso-ne.com/static-assets/documents/2014/10/seasonal_peak_data_summary.xls</w:t>
        </w:r>
      </w:hyperlink>
      <w:r w:rsidRPr="001655D0">
        <w:rPr>
          <w:sz w:val="18"/>
          <w:szCs w:val="18"/>
        </w:rPr>
        <w:t>.</w:t>
      </w:r>
    </w:p>
  </w:footnote>
  <w:footnote w:id="86">
    <w:p w14:paraId="56C88F10" w14:textId="77777777" w:rsidR="00E231DA" w:rsidRDefault="00E231DA" w:rsidP="001B1F4D">
      <w:pPr>
        <w:pStyle w:val="FootnoteText"/>
      </w:pPr>
      <w:r>
        <w:rPr>
          <w:rStyle w:val="FootnoteReference"/>
        </w:rPr>
        <w:footnoteRef/>
      </w:r>
      <w:r>
        <w:t xml:space="preserve"> The</w:t>
      </w:r>
      <w:r w:rsidRPr="00DB4ABE">
        <w:t xml:space="preserve"> FCM</w:t>
      </w:r>
      <w:r>
        <w:t>-</w:t>
      </w:r>
      <w:r w:rsidRPr="00DB4ABE">
        <w:t>qualifi</w:t>
      </w:r>
      <w:r>
        <w:t>ed EE</w:t>
      </w:r>
      <w:r w:rsidRPr="00DB4ABE">
        <w:t xml:space="preserve"> value</w:t>
      </w:r>
      <w:r>
        <w:t xml:space="preserve"> is </w:t>
      </w:r>
      <w:r w:rsidRPr="007D280B">
        <w:t xml:space="preserve">based on the third annual reconfiguration auction (ARA 3) for the first year (2019), and the remaining nine years are </w:t>
      </w:r>
      <w:r w:rsidRPr="00CF2B8B">
        <w:t>forecasted values.</w:t>
      </w:r>
    </w:p>
  </w:footnote>
  <w:footnote w:id="87">
    <w:p w14:paraId="672549CD" w14:textId="77777777" w:rsidR="00E231DA" w:rsidRPr="00957561" w:rsidRDefault="00E231DA" w:rsidP="001B1F4D">
      <w:pPr>
        <w:spacing w:after="80" w:line="240" w:lineRule="auto"/>
        <w:rPr>
          <w:sz w:val="18"/>
          <w:szCs w:val="18"/>
        </w:rPr>
      </w:pPr>
      <w:r w:rsidRPr="00BC0A58">
        <w:rPr>
          <w:rStyle w:val="FootnoteReference"/>
          <w:sz w:val="18"/>
          <w:szCs w:val="18"/>
        </w:rPr>
        <w:footnoteRef/>
      </w:r>
      <w:r w:rsidRPr="00BC0A58">
        <w:rPr>
          <w:sz w:val="18"/>
          <w:szCs w:val="18"/>
        </w:rPr>
        <w:t xml:space="preserve"> </w:t>
      </w:r>
      <w:r w:rsidRPr="00967772">
        <w:rPr>
          <w:sz w:val="18"/>
          <w:szCs w:val="18"/>
        </w:rPr>
        <w:t xml:space="preserve">More information on the methodology used to develop the EE forecast is available at the ISO’s “Energy-Efficiency Forecast Working Group,” webpage, </w:t>
      </w:r>
      <w:hyperlink r:id="rId79" w:history="1">
        <w:r w:rsidRPr="007D5033">
          <w:rPr>
            <w:rStyle w:val="Hyperlink"/>
            <w:color w:val="auto"/>
            <w:sz w:val="18"/>
            <w:szCs w:val="18"/>
          </w:rPr>
          <w:t>http://www.iso-ne.com/committees/planning/energy-efficiency-forecast</w:t>
        </w:r>
      </w:hyperlink>
      <w:r w:rsidRPr="007D5033">
        <w:rPr>
          <w:sz w:val="18"/>
          <w:szCs w:val="18"/>
        </w:rPr>
        <w:t>. ISO New England</w:t>
      </w:r>
      <w:r>
        <w:rPr>
          <w:sz w:val="18"/>
          <w:szCs w:val="18"/>
        </w:rPr>
        <w:t>,</w:t>
      </w:r>
      <w:r w:rsidRPr="007D5033">
        <w:rPr>
          <w:i/>
          <w:sz w:val="18"/>
          <w:szCs w:val="18"/>
        </w:rPr>
        <w:t xml:space="preserve"> Final 201</w:t>
      </w:r>
      <w:r>
        <w:rPr>
          <w:i/>
          <w:sz w:val="18"/>
          <w:szCs w:val="18"/>
        </w:rPr>
        <w:t>9</w:t>
      </w:r>
      <w:r w:rsidRPr="007D5033">
        <w:rPr>
          <w:i/>
          <w:sz w:val="18"/>
          <w:szCs w:val="18"/>
        </w:rPr>
        <w:t xml:space="preserve"> Energy-Efficiency Forecast </w:t>
      </w:r>
      <w:r w:rsidRPr="00957561">
        <w:rPr>
          <w:sz w:val="18"/>
          <w:szCs w:val="18"/>
        </w:rPr>
        <w:t>(May 1, 2019),</w:t>
      </w:r>
      <w:r w:rsidRPr="00957561">
        <w:t xml:space="preserve"> </w:t>
      </w:r>
      <w:hyperlink r:id="rId80" w:history="1">
        <w:r w:rsidRPr="00957561">
          <w:rPr>
            <w:rStyle w:val="Hyperlink"/>
            <w:sz w:val="18"/>
            <w:szCs w:val="18"/>
          </w:rPr>
          <w:t>https://www.iso-ne.com/static-assets/documents/2019/04/eef2019_final_fcst.pdf</w:t>
        </w:r>
      </w:hyperlink>
      <w:r w:rsidRPr="00957561">
        <w:rPr>
          <w:sz w:val="18"/>
          <w:szCs w:val="18"/>
        </w:rPr>
        <w:t>.</w:t>
      </w:r>
    </w:p>
  </w:footnote>
  <w:footnote w:id="88">
    <w:p w14:paraId="1C8D3A61" w14:textId="77777777" w:rsidR="00E231DA" w:rsidRDefault="00E231DA" w:rsidP="001B1F4D">
      <w:pPr>
        <w:pStyle w:val="FootnoteText"/>
      </w:pPr>
      <w:r>
        <w:rPr>
          <w:rStyle w:val="FootnoteReference"/>
        </w:rPr>
        <w:footnoteRef/>
      </w:r>
      <w:r>
        <w:t xml:space="preserve"> </w:t>
      </w:r>
      <w:r w:rsidRPr="007235AA">
        <w:rPr>
          <w:i/>
          <w:szCs w:val="18"/>
        </w:rPr>
        <w:t xml:space="preserve">Ramping up </w:t>
      </w:r>
      <w:r w:rsidRPr="007235AA">
        <w:rPr>
          <w:szCs w:val="18"/>
        </w:rPr>
        <w:t xml:space="preserve">and </w:t>
      </w:r>
      <w:r w:rsidRPr="007235AA">
        <w:rPr>
          <w:i/>
          <w:szCs w:val="18"/>
        </w:rPr>
        <w:t>ramping down</w:t>
      </w:r>
      <w:r w:rsidRPr="007235AA">
        <w:rPr>
          <w:szCs w:val="18"/>
        </w:rPr>
        <w:t xml:space="preserve"> refer to generators’ increasing or decreasing output to meet changing load levels, such as in the early morning, which typically involves ramping up, and in the late evening, which typically involves ramping down.</w:t>
      </w:r>
      <w:r>
        <w:rPr>
          <w:szCs w:val="18"/>
        </w:rPr>
        <w:t xml:space="preserve"> </w:t>
      </w:r>
      <w:r>
        <w:t xml:space="preserve">ISO New England, </w:t>
      </w:r>
      <w:r w:rsidRPr="007D5033">
        <w:rPr>
          <w:i/>
        </w:rPr>
        <w:t>ISO-NE Net Loads with Increasing Behind-the-Meter PV</w:t>
      </w:r>
      <w:r>
        <w:t xml:space="preserve">, PAC presentation (June 10, 2016), available at </w:t>
      </w:r>
      <w:hyperlink r:id="rId81" w:history="1">
        <w:r w:rsidRPr="005657A4">
          <w:rPr>
            <w:rStyle w:val="Hyperlink"/>
          </w:rPr>
          <w:t>https://www.iso-ne.com/static-assets/documents/2016/06/a8_isone_net_loads_with_increasing_behind_the_meter_pv.pdf</w:t>
        </w:r>
      </w:hyperlink>
      <w:r>
        <w:t xml:space="preserve">. </w:t>
      </w:r>
    </w:p>
  </w:footnote>
  <w:footnote w:id="89">
    <w:p w14:paraId="71056D35" w14:textId="77777777" w:rsidR="00E231DA" w:rsidRPr="00B93787" w:rsidRDefault="00E231DA" w:rsidP="001B1F4D">
      <w:pPr>
        <w:spacing w:after="80" w:line="240" w:lineRule="auto"/>
        <w:rPr>
          <w:sz w:val="18"/>
          <w:szCs w:val="18"/>
        </w:rPr>
      </w:pPr>
      <w:r w:rsidRPr="0050129F">
        <w:rPr>
          <w:rStyle w:val="FootnoteReference"/>
          <w:sz w:val="18"/>
          <w:szCs w:val="18"/>
        </w:rPr>
        <w:footnoteRef/>
      </w:r>
      <w:r w:rsidRPr="0050129F">
        <w:rPr>
          <w:sz w:val="18"/>
          <w:szCs w:val="18"/>
        </w:rPr>
        <w:t xml:space="preserve"> A full explanation of the methodology used for the PV forecast is available in the file “Final 2019 PV Forecast” </w:t>
      </w:r>
      <w:r w:rsidRPr="00B93787">
        <w:rPr>
          <w:sz w:val="18"/>
          <w:szCs w:val="18"/>
        </w:rPr>
        <w:t xml:space="preserve">(April 29, 2019), </w:t>
      </w:r>
      <w:hyperlink r:id="rId82" w:history="1">
        <w:r w:rsidRPr="00B93787">
          <w:rPr>
            <w:rStyle w:val="Hyperlink"/>
            <w:sz w:val="18"/>
            <w:szCs w:val="18"/>
          </w:rPr>
          <w:t>https://www.iso-ne.com/static-assets/documents/2019/04/final-2019-pv-forecast.pdf</w:t>
        </w:r>
      </w:hyperlink>
      <w:r w:rsidRPr="00B93787">
        <w:rPr>
          <w:sz w:val="18"/>
          <w:szCs w:val="18"/>
        </w:rPr>
        <w:t>.</w:t>
      </w:r>
    </w:p>
  </w:footnote>
  <w:footnote w:id="90">
    <w:p w14:paraId="783B7F83" w14:textId="77777777" w:rsidR="00E231DA" w:rsidRDefault="00E231DA" w:rsidP="001B1F4D">
      <w:pPr>
        <w:pStyle w:val="FootnoteText"/>
      </w:pPr>
      <w:r w:rsidRPr="002C6A15">
        <w:rPr>
          <w:rStyle w:val="FootnoteReference"/>
        </w:rPr>
        <w:footnoteRef/>
      </w:r>
      <w:r w:rsidRPr="002C6A15">
        <w:t xml:space="preserve"> The forecast reflects distributed generation PV, which includes projects typically 5 MW or less in nameplate capacity; therefore, the forecast does not include policy drivers for larger-scale projects, which are generally accounted for as part of ISO’s interconnection process and participate in wholesale markets.</w:t>
      </w:r>
      <w:r>
        <w:t xml:space="preserve"> </w:t>
      </w:r>
    </w:p>
  </w:footnote>
  <w:footnote w:id="91">
    <w:p w14:paraId="1D97CF22" w14:textId="77777777" w:rsidR="00E231DA" w:rsidRPr="008D5D5B" w:rsidRDefault="00E231DA" w:rsidP="001B1F4D">
      <w:pPr>
        <w:pStyle w:val="FootnoteText"/>
        <w:rPr>
          <w:szCs w:val="18"/>
        </w:rPr>
      </w:pPr>
      <w:r w:rsidRPr="008D5D5B">
        <w:rPr>
          <w:rStyle w:val="FootnoteReference"/>
          <w:sz w:val="18"/>
          <w:szCs w:val="18"/>
        </w:rPr>
        <w:footnoteRef/>
      </w:r>
      <w:r w:rsidRPr="008D5D5B">
        <w:rPr>
          <w:szCs w:val="18"/>
        </w:rPr>
        <w:t xml:space="preserve"> </w:t>
      </w:r>
      <w:r w:rsidRPr="00BC0A58">
        <w:rPr>
          <w:szCs w:val="18"/>
        </w:rPr>
        <w:t>Settlement-only resources and non-FCM generators, as defined in Operating Procedure No. 14 (OP</w:t>
      </w:r>
      <w:r>
        <w:rPr>
          <w:szCs w:val="18"/>
        </w:rPr>
        <w:t xml:space="preserve"> </w:t>
      </w:r>
      <w:r w:rsidRPr="00BC0A58">
        <w:rPr>
          <w:szCs w:val="18"/>
        </w:rPr>
        <w:t xml:space="preserve">14), </w:t>
      </w:r>
      <w:r w:rsidRPr="00BC0A58">
        <w:rPr>
          <w:i/>
          <w:szCs w:val="18"/>
        </w:rPr>
        <w:t>Technical Requirements for Generators, Demand</w:t>
      </w:r>
      <w:r>
        <w:rPr>
          <w:i/>
          <w:szCs w:val="18"/>
        </w:rPr>
        <w:t>-Response</w:t>
      </w:r>
      <w:r w:rsidRPr="00BC0A58">
        <w:rPr>
          <w:i/>
          <w:szCs w:val="18"/>
        </w:rPr>
        <w:t xml:space="preserve">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Refer to OP 14 </w:t>
      </w:r>
      <w:r w:rsidRPr="006E0AB2">
        <w:rPr>
          <w:szCs w:val="18"/>
        </w:rPr>
        <w:t>(</w:t>
      </w:r>
      <w:r>
        <w:rPr>
          <w:szCs w:val="18"/>
        </w:rPr>
        <w:t>April 1</w:t>
      </w:r>
      <w:r w:rsidRPr="006E0AB2">
        <w:rPr>
          <w:szCs w:val="18"/>
        </w:rPr>
        <w:t>, 201</w:t>
      </w:r>
      <w:r>
        <w:rPr>
          <w:szCs w:val="18"/>
        </w:rPr>
        <w:t>9</w:t>
      </w:r>
      <w:r w:rsidRPr="006E0AB2">
        <w:rPr>
          <w:szCs w:val="18"/>
        </w:rPr>
        <w:t xml:space="preserve">), at </w:t>
      </w:r>
      <w:hyperlink r:id="rId83" w:history="1">
        <w:r w:rsidRPr="006E0AB2">
          <w:rPr>
            <w:rStyle w:val="Hyperlink"/>
            <w:color w:val="auto"/>
            <w:szCs w:val="18"/>
          </w:rPr>
          <w:t>http://www.iso-ne.com/static-assets/documents/rules_proceds/operating/isone/op14/op14_rto_final.pdf</w:t>
        </w:r>
      </w:hyperlink>
      <w:r w:rsidRPr="006E0AB2">
        <w:rPr>
          <w:szCs w:val="18"/>
        </w:rPr>
        <w:t>.</w:t>
      </w:r>
      <w:r w:rsidRPr="00BC0A58">
        <w:rPr>
          <w:szCs w:val="18"/>
        </w:rPr>
        <w:t xml:space="preserve"> </w:t>
      </w:r>
    </w:p>
  </w:footnote>
  <w:footnote w:id="92">
    <w:p w14:paraId="63F21FA5" w14:textId="77777777" w:rsidR="00E231DA" w:rsidRDefault="00E231DA" w:rsidP="001B1F4D">
      <w:pPr>
        <w:pStyle w:val="FootnoteText"/>
      </w:pPr>
      <w:r w:rsidRPr="00D63283">
        <w:rPr>
          <w:rStyle w:val="FootnoteReference"/>
        </w:rPr>
        <w:footnoteRef/>
      </w:r>
      <w:r w:rsidRPr="00D63283">
        <w:t xml:space="preserve"> ISO’s detailed analysis and resulting methodology </w:t>
      </w:r>
      <w:r>
        <w:t xml:space="preserve">for estimated summer peak load reductions </w:t>
      </w:r>
      <w:r w:rsidRPr="00D63283">
        <w:t xml:space="preserve">is available as an appendix in </w:t>
      </w:r>
      <w:r>
        <w:t xml:space="preserve">“Final </w:t>
      </w:r>
      <w:r w:rsidRPr="00D63283">
        <w:t>201</w:t>
      </w:r>
      <w:r>
        <w:t>6</w:t>
      </w:r>
      <w:r w:rsidRPr="00D63283">
        <w:t xml:space="preserve"> PV Forecast</w:t>
      </w:r>
      <w:r>
        <w:t xml:space="preserve"> Details</w:t>
      </w:r>
      <w:r w:rsidRPr="00D63283">
        <w:t>,</w:t>
      </w:r>
      <w:r>
        <w:t>”</w:t>
      </w:r>
      <w:r w:rsidRPr="00D63283">
        <w:t xml:space="preserve"> at</w:t>
      </w:r>
      <w:r>
        <w:t xml:space="preserve"> </w:t>
      </w:r>
      <w:hyperlink r:id="rId84" w:history="1">
        <w:r w:rsidRPr="00FC1F00">
          <w:rPr>
            <w:rStyle w:val="Hyperlink"/>
          </w:rPr>
          <w:t>https://www.iso-ne.com/static-assets/documents/2016/09/2016_solar_forecast_details_final.pdf</w:t>
        </w:r>
      </w:hyperlink>
      <w:r w:rsidRPr="00863E47">
        <w:t>.</w:t>
      </w:r>
    </w:p>
  </w:footnote>
  <w:footnote w:id="93">
    <w:p w14:paraId="5AB4E40B" w14:textId="77777777" w:rsidR="00E231DA" w:rsidRPr="00A3629D" w:rsidRDefault="00E231DA" w:rsidP="004C7089">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Deterministic analyses</w:t>
      </w:r>
      <w:r w:rsidRPr="005E27D8">
        <w:rPr>
          <w:sz w:val="18"/>
          <w:szCs w:val="18"/>
        </w:rPr>
        <w:t xml:space="preserve"> are snapshots of assumed specific conditions that do not quantify the likelihood that these co</w:t>
      </w:r>
      <w:r w:rsidRPr="00A3629D">
        <w:rPr>
          <w:sz w:val="18"/>
          <w:szCs w:val="18"/>
        </w:rPr>
        <w:t>nditions will actually materialize. The results are based on analyzing the assumed set of conditions representing a specific scenario.</w:t>
      </w:r>
    </w:p>
  </w:footnote>
  <w:footnote w:id="94">
    <w:p w14:paraId="689D516F" w14:textId="6314972E" w:rsidR="00E231DA" w:rsidRDefault="00E231DA" w:rsidP="004C7089">
      <w:pPr>
        <w:pStyle w:val="FootnoteText"/>
      </w:pPr>
      <w:r w:rsidRPr="00E85649">
        <w:rPr>
          <w:rStyle w:val="FootnoteReference"/>
        </w:rPr>
        <w:footnoteRef/>
      </w:r>
      <w:r w:rsidRPr="00E85649">
        <w:t xml:space="preserve"> Pursuant to Schedules 22, 23, and 25 of ISO’s </w:t>
      </w:r>
      <w:r w:rsidRPr="00E85649">
        <w:rPr>
          <w:i/>
        </w:rPr>
        <w:t>Open Access Transmission Tariff</w:t>
      </w:r>
      <w:r w:rsidRPr="00E85649">
        <w:t xml:space="preserve">: Schedule 22, </w:t>
      </w:r>
      <w:r w:rsidRPr="00E85649">
        <w:rPr>
          <w:i/>
        </w:rPr>
        <w:t xml:space="preserve">Large Generator Interconnection Procedures </w:t>
      </w:r>
      <w:r w:rsidRPr="00E85649">
        <w:t xml:space="preserve">(January 29, 2019), </w:t>
      </w:r>
      <w:hyperlink r:id="rId85" w:history="1">
        <w:r w:rsidRPr="00E85649">
          <w:rPr>
            <w:rStyle w:val="Hyperlink"/>
          </w:rPr>
          <w:t>https://www.iso-ne.com/static-assets/documents/regulatory/tariff/sect_2/sch22/sch_22_lgip.pdf</w:t>
        </w:r>
      </w:hyperlink>
      <w:r w:rsidRPr="00E85649">
        <w:t xml:space="preserve">; Schedule 23, </w:t>
      </w:r>
      <w:r w:rsidRPr="00E85649">
        <w:rPr>
          <w:i/>
        </w:rPr>
        <w:t xml:space="preserve">Small Generator Interconnection Procedures </w:t>
      </w:r>
      <w:r w:rsidRPr="00E85649">
        <w:t xml:space="preserve">(January 29, 2019, </w:t>
      </w:r>
      <w:hyperlink r:id="rId86" w:history="1">
        <w:r w:rsidRPr="00E85649">
          <w:rPr>
            <w:rStyle w:val="Hyperlink"/>
          </w:rPr>
          <w:t>https://www.iso-ne.com/static-assets/documents/regulatory/tariff/sect_2/sch22/sch_22_lgip.pdf</w:t>
        </w:r>
      </w:hyperlink>
      <w:r w:rsidRPr="00E85649">
        <w:t xml:space="preserve">; and Schedule 25, </w:t>
      </w:r>
      <w:r w:rsidRPr="00E85649">
        <w:rPr>
          <w:i/>
        </w:rPr>
        <w:t xml:space="preserve">Elective Transmission Upgrade Interconnection Procedures </w:t>
      </w:r>
      <w:r w:rsidRPr="00E85649">
        <w:t xml:space="preserve">(January 29, 2019), </w:t>
      </w:r>
      <w:hyperlink r:id="rId87" w:history="1">
        <w:r w:rsidRPr="00E85649">
          <w:rPr>
            <w:rStyle w:val="Hyperlink"/>
          </w:rPr>
          <w:t>https://www.iso-ne.com/static-assets/documents/2015/02/sch_25.pdf</w:t>
        </w:r>
      </w:hyperlink>
      <w:r w:rsidRPr="00E85649">
        <w:t>.</w:t>
      </w:r>
    </w:p>
  </w:footnote>
  <w:footnote w:id="95">
    <w:p w14:paraId="764A0E8D" w14:textId="77777777" w:rsidR="00E231DA" w:rsidRDefault="00E231DA" w:rsidP="004C7089">
      <w:pPr>
        <w:pStyle w:val="FootnoteText"/>
      </w:pPr>
      <w:r>
        <w:rPr>
          <w:rStyle w:val="FootnoteReference"/>
        </w:rPr>
        <w:footnoteRef/>
      </w:r>
      <w:r>
        <w:t xml:space="preserve"> </w:t>
      </w:r>
      <w:r w:rsidRPr="00935D24">
        <w:t xml:space="preserve">The </w:t>
      </w:r>
      <w:r>
        <w:t xml:space="preserve">EFORd is the </w:t>
      </w:r>
      <w:r w:rsidRPr="00935D24">
        <w:t>portion of time a unit is in demand but is unavailable because of forced (i.e., unplanned) outages.</w:t>
      </w:r>
    </w:p>
  </w:footnote>
  <w:footnote w:id="96">
    <w:p w14:paraId="121D2166" w14:textId="306C9361" w:rsidR="00E231DA" w:rsidRPr="00711896" w:rsidRDefault="00E231DA" w:rsidP="004C7089">
      <w:pPr>
        <w:pStyle w:val="FootnoteText"/>
      </w:pPr>
      <w:r>
        <w:rPr>
          <w:rStyle w:val="FootnoteReference"/>
        </w:rPr>
        <w:footnoteRef/>
      </w:r>
      <w:r>
        <w:t xml:space="preserve"> </w:t>
      </w:r>
      <w:r w:rsidRPr="001507A3">
        <w:t xml:space="preserve">Established ICR values refer to the </w:t>
      </w:r>
      <w:r>
        <w:t xml:space="preserve">FERC-approved </w:t>
      </w:r>
      <w:r w:rsidRPr="001507A3">
        <w:t xml:space="preserve">values. Representative net ICR values are the representative </w:t>
      </w:r>
      <w:r w:rsidRPr="00D3192F">
        <w:t>ICRs for the region, minus the tie-reliability benefits associated with the Hydro-Québec Interconnection Capability</w:t>
      </w:r>
      <w:r w:rsidRPr="001507A3">
        <w:t xml:space="preserve"> Credits (HQICCs). (As defined in the ISO’s tariff, the HQICC 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w:t>
      </w:r>
      <w:r>
        <w:t>4</w:t>
      </w:r>
      <w:r w:rsidRPr="001507A3">
        <w:t xml:space="preserve"> for the 202</w:t>
      </w:r>
      <w:r>
        <w:t>3/</w:t>
      </w:r>
      <w:r w:rsidRPr="001507A3">
        <w:t>202</w:t>
      </w:r>
      <w:r>
        <w:t>4</w:t>
      </w:r>
      <w:r w:rsidRPr="001507A3">
        <w:t xml:space="preserve"> </w:t>
      </w:r>
      <w:r>
        <w:t>CCP</w:t>
      </w:r>
      <w:r w:rsidRPr="001507A3">
        <w:t xml:space="preserve"> are scheduled to be filed with FERC in November 201</w:t>
      </w:r>
      <w:r>
        <w:t>9</w:t>
      </w:r>
      <w:r w:rsidRPr="001507A3">
        <w:t xml:space="preserve">. For additional information about ICRs, see the ISO’s “Installed Capacity Requirements,” webpage at </w:t>
      </w:r>
      <w:hyperlink r:id="rId88" w:history="1">
        <w:r w:rsidRPr="00E85649">
          <w:rPr>
            <w:rStyle w:val="Hyperlink"/>
          </w:rPr>
          <w:t>http://www.iso-ne.com/system-planning/resource-planning/installed-capacity-requirements/</w:t>
        </w:r>
      </w:hyperlink>
      <w:r w:rsidRPr="00711896">
        <w:t>.</w:t>
      </w:r>
    </w:p>
  </w:footnote>
  <w:footnote w:id="97">
    <w:p w14:paraId="0297085F" w14:textId="663415D4" w:rsidR="00E231DA" w:rsidRPr="00957561" w:rsidRDefault="00E231DA" w:rsidP="004C7089">
      <w:pPr>
        <w:pStyle w:val="FootnoteText"/>
      </w:pPr>
      <w:r w:rsidRPr="00711896">
        <w:rPr>
          <w:rStyle w:val="FootnoteReference"/>
        </w:rPr>
        <w:footnoteRef/>
      </w:r>
      <w:r w:rsidRPr="00711896">
        <w:t xml:space="preserve"> ISO New England, </w:t>
      </w:r>
      <w:r w:rsidRPr="00711896">
        <w:rPr>
          <w:i/>
        </w:rPr>
        <w:t>2018–2027 Forecast Report of Capacity, Energy, Loads, and Transmission</w:t>
      </w:r>
      <w:r w:rsidRPr="00711896">
        <w:t xml:space="preserve"> (May 2018), </w:t>
      </w:r>
      <w:hyperlink r:id="rId89" w:history="1">
        <w:r w:rsidRPr="00E85649">
          <w:rPr>
            <w:rStyle w:val="Hyperlink"/>
          </w:rPr>
          <w:t>https://www.iso-ne.com/static-assets/documents/2018/04/2018_celt_report.xls</w:t>
        </w:r>
      </w:hyperlink>
      <w:r w:rsidRPr="00957561">
        <w:t>.</w:t>
      </w:r>
    </w:p>
  </w:footnote>
  <w:footnote w:id="98">
    <w:p w14:paraId="7728CE78" w14:textId="77777777" w:rsidR="00E231DA" w:rsidRDefault="00E231DA" w:rsidP="004C7089">
      <w:pPr>
        <w:pStyle w:val="FootnoteText"/>
      </w:pPr>
      <w:r>
        <w:rPr>
          <w:rStyle w:val="FootnoteReference"/>
        </w:rPr>
        <w:footnoteRef/>
      </w:r>
      <w:r>
        <w:t xml:space="preserve"> ISO New England, </w:t>
      </w:r>
      <w:r w:rsidRPr="003D4D5E">
        <w:rPr>
          <w:i/>
        </w:rPr>
        <w:t>Net Installed Capacity Requirements, Representative Future Net ICRs</w:t>
      </w:r>
      <w:r>
        <w:rPr>
          <w:i/>
        </w:rPr>
        <w:t>,</w:t>
      </w:r>
      <w:r w:rsidRPr="003D4D5E">
        <w:rPr>
          <w:i/>
        </w:rPr>
        <w:t xml:space="preserve"> and Operable Capacity Analysis for 2019 Regional System Plan</w:t>
      </w:r>
      <w:r>
        <w:t>,</w:t>
      </w:r>
      <w:r w:rsidRPr="00E81A57">
        <w:t xml:space="preserve"> </w:t>
      </w:r>
      <w:r>
        <w:t xml:space="preserve">PAC presentation (May 21, 2019), </w:t>
      </w:r>
      <w:hyperlink r:id="rId90" w:history="1">
        <w:r w:rsidRPr="0080457A">
          <w:rPr>
            <w:rStyle w:val="Hyperlink"/>
          </w:rPr>
          <w:t>https://www.iso-ne.com/event-details?eventId=138765</w:t>
        </w:r>
      </w:hyperlink>
      <w:r>
        <w:t>.</w:t>
      </w:r>
    </w:p>
  </w:footnote>
  <w:footnote w:id="99">
    <w:p w14:paraId="7385C702" w14:textId="77777777" w:rsidR="00E231DA" w:rsidRPr="00957561" w:rsidRDefault="00E231DA" w:rsidP="004C7089">
      <w:pPr>
        <w:pStyle w:val="FootnoteText"/>
        <w:rPr>
          <w:color w:val="FF0000"/>
        </w:rPr>
      </w:pPr>
      <w:r>
        <w:rPr>
          <w:rStyle w:val="FootnoteReference"/>
        </w:rPr>
        <w:footnoteRef/>
      </w:r>
      <w:r>
        <w:t xml:space="preserve"> </w:t>
      </w:r>
      <w:r w:rsidRPr="001507A3">
        <w:t xml:space="preserve">ISO New England, </w:t>
      </w:r>
      <w:r w:rsidRPr="006F5365">
        <w:rPr>
          <w:i/>
        </w:rPr>
        <w:t>201</w:t>
      </w:r>
      <w:r>
        <w:rPr>
          <w:i/>
        </w:rPr>
        <w:t>9</w:t>
      </w:r>
      <w:r w:rsidRPr="006F5365">
        <w:rPr>
          <w:i/>
        </w:rPr>
        <w:t>–202</w:t>
      </w:r>
      <w:r>
        <w:rPr>
          <w:i/>
        </w:rPr>
        <w:t>8</w:t>
      </w:r>
      <w:r w:rsidRPr="006F5365">
        <w:rPr>
          <w:i/>
        </w:rPr>
        <w:t xml:space="preserve"> Forecast Report of Capacity, Energy, Loads, and Transmission</w:t>
      </w:r>
      <w:r w:rsidRPr="001507A3">
        <w:t xml:space="preserve"> (May 201</w:t>
      </w:r>
      <w:r>
        <w:t>9</w:t>
      </w:r>
      <w:r w:rsidRPr="001507A3">
        <w:t>),</w:t>
      </w:r>
      <w:r w:rsidRPr="00FD3D69">
        <w:t xml:space="preserve"> </w:t>
      </w:r>
      <w:hyperlink r:id="rId91" w:history="1">
        <w:r w:rsidRPr="00957561">
          <w:t>http://www.iso-ne.com/system-planning/system-plans-studies/celt</w:t>
        </w:r>
      </w:hyperlink>
      <w:r w:rsidRPr="00957561">
        <w:t xml:space="preserve">. </w:t>
      </w:r>
    </w:p>
  </w:footnote>
  <w:footnote w:id="100">
    <w:p w14:paraId="6E307A68" w14:textId="77777777" w:rsidR="00E231DA" w:rsidRDefault="00E231DA" w:rsidP="004C7089">
      <w:pPr>
        <w:pStyle w:val="FootnoteText"/>
      </w:pPr>
      <w:r>
        <w:rPr>
          <w:rStyle w:val="FootnoteReference"/>
        </w:rPr>
        <w:footnoteRef/>
      </w:r>
      <w:r>
        <w:t xml:space="preserve"> F</w:t>
      </w:r>
      <w:r w:rsidRPr="00C91B2E">
        <w:t xml:space="preserve">ERC, ISO New England Inc. and New England Power Pool Participants Committee </w:t>
      </w:r>
      <w:r w:rsidRPr="00805C72">
        <w:t>letter order accepting fi</w:t>
      </w:r>
      <w:r w:rsidRPr="00F4759D">
        <w:t xml:space="preserve">ling, </w:t>
      </w:r>
      <w:r w:rsidRPr="00C91B2E">
        <w:t>155</w:t>
      </w:r>
      <w:r>
        <w:t> </w:t>
      </w:r>
      <w:r w:rsidRPr="00C91B2E">
        <w:t>FERC ¶ 61,319,</w:t>
      </w:r>
      <w:r>
        <w:t xml:space="preserve"> Docket No, ER16-1434-000 </w:t>
      </w:r>
      <w:r w:rsidRPr="001507A3">
        <w:t>(</w:t>
      </w:r>
      <w:r>
        <w:t xml:space="preserve">June 28, </w:t>
      </w:r>
      <w:r w:rsidRPr="001507A3">
        <w:t>2016)</w:t>
      </w:r>
      <w:r>
        <w:t xml:space="preserve">. </w:t>
      </w:r>
      <w:r w:rsidRPr="001507A3">
        <w:t>In its order,</w:t>
      </w:r>
      <w:r>
        <w:t xml:space="preserve"> FERC </w:t>
      </w:r>
      <w:r w:rsidRPr="001507A3">
        <w:t xml:space="preserve">accepted the new demand curve design as well as a transition mechanism for the </w:t>
      </w:r>
      <w:r>
        <w:t>s</w:t>
      </w:r>
      <w:r w:rsidRPr="001507A3">
        <w:t>ystem</w:t>
      </w:r>
      <w:r>
        <w:t>w</w:t>
      </w:r>
      <w:r w:rsidRPr="001507A3">
        <w:t xml:space="preserve">ide </w:t>
      </w:r>
      <w:r>
        <w:t>c</w:t>
      </w:r>
      <w:r w:rsidRPr="001507A3">
        <w:t xml:space="preserve">apacity </w:t>
      </w:r>
      <w:r>
        <w:t>d</w:t>
      </w:r>
      <w:r w:rsidRPr="001507A3">
        <w:t xml:space="preserve">emand </w:t>
      </w:r>
      <w:r>
        <w:t>c</w:t>
      </w:r>
      <w:r w:rsidRPr="001507A3">
        <w:t>urve</w:t>
      </w:r>
      <w:r>
        <w:t xml:space="preserve">. </w:t>
      </w:r>
      <w:r w:rsidRPr="001507A3">
        <w:t>The transition curve is a hybrid of the previous linear demand</w:t>
      </w:r>
      <w:r>
        <w:t>-</w:t>
      </w:r>
      <w:r w:rsidRPr="001507A3">
        <w:t>curve design and the new MRI-based design.</w:t>
      </w:r>
      <w:r w:rsidRPr="00B211A7">
        <w:t xml:space="preserve"> </w:t>
      </w:r>
      <w:r w:rsidRPr="001507A3">
        <w:t xml:space="preserve">While systemwide capacity demand curves were developed for </w:t>
      </w:r>
      <w:r>
        <w:t xml:space="preserve">FCA 9 and FCA 10, </w:t>
      </w:r>
      <w:r w:rsidRPr="001507A3">
        <w:t>a linear methodology was used to develop th</w:t>
      </w:r>
      <w:r>
        <w:t xml:space="preserve">e </w:t>
      </w:r>
      <w:r w:rsidRPr="001507A3">
        <w:t>demand curves</w:t>
      </w:r>
      <w:r>
        <w:t xml:space="preserve"> for these auctions</w:t>
      </w:r>
      <w:r w:rsidRPr="001507A3">
        <w:t>.</w:t>
      </w:r>
    </w:p>
  </w:footnote>
  <w:footnote w:id="101">
    <w:p w14:paraId="54D4CA29" w14:textId="77777777" w:rsidR="00E231DA" w:rsidRDefault="00E231DA" w:rsidP="004C7089">
      <w:pPr>
        <w:pStyle w:val="FootnoteText"/>
      </w:pPr>
      <w:r>
        <w:rPr>
          <w:rStyle w:val="FootnoteReference"/>
        </w:rPr>
        <w:footnoteRef/>
      </w:r>
      <w:r>
        <w:t xml:space="preserve"> </w:t>
      </w:r>
      <w:r w:rsidRPr="003749C9">
        <w:t>Resulting reserves are the amount of capacity in excess of the forecast 50/50 peak load. Percentage resulting reserves = [{(Net ICR − 50/50 peak load) ÷ 50/50 peak load} × 100].</w:t>
      </w:r>
    </w:p>
  </w:footnote>
  <w:footnote w:id="102">
    <w:p w14:paraId="025C73C5" w14:textId="77777777" w:rsidR="00E231DA" w:rsidRDefault="00E231DA" w:rsidP="004C7089">
      <w:pPr>
        <w:pStyle w:val="FootnoteText"/>
      </w:pPr>
      <w:r>
        <w:rPr>
          <w:rStyle w:val="FootnoteReference"/>
        </w:rPr>
        <w:footnoteRef/>
      </w:r>
      <w:r>
        <w:t xml:space="preserve"> </w:t>
      </w:r>
      <w:r w:rsidRPr="001655D0">
        <w:rPr>
          <w:szCs w:val="18"/>
        </w:rPr>
        <w:t>LSRs and MCLs are based on network models using transmission facilities that will be in service no later than the first day of the relevant capacity commitment period.</w:t>
      </w:r>
      <w:r>
        <w:rPr>
          <w:szCs w:val="18"/>
        </w:rPr>
        <w:t xml:space="preserve"> </w:t>
      </w:r>
      <w:r>
        <w:t>Capacity zones are dev</w:t>
      </w:r>
      <w:r w:rsidRPr="00BD06A9">
        <w:t>eloped pursuant to ISO tariff, Section III.12.4. Annually, in the November timeframe, potential capacity zones are reviewed with stakeholders. For the 2023/2024 CCP, this review was performed on November 15, 2018</w:t>
      </w:r>
      <w:r>
        <w:t xml:space="preserve">, and is available at the ISO’s PAC presentation, </w:t>
      </w:r>
      <w:r>
        <w:rPr>
          <w:i/>
        </w:rPr>
        <w:t xml:space="preserve">Forward Capacity Auction 14 Capacity Zone Development Preview </w:t>
      </w:r>
      <w:r>
        <w:t xml:space="preserve">(November 15, 2018), </w:t>
      </w:r>
      <w:hyperlink r:id="rId92" w:history="1">
        <w:r w:rsidRPr="00F01877">
          <w:rPr>
            <w:rStyle w:val="Hyperlink"/>
          </w:rPr>
          <w:t>https://www.iso-ne.com/static-assets/documents/2018/11/a4_fca14_zonal_development_presentation.pdf</w:t>
        </w:r>
      </w:hyperlink>
      <w:r>
        <w:t>.</w:t>
      </w:r>
      <w:r w:rsidRPr="00DD4808">
        <w:rPr>
          <w:szCs w:val="18"/>
        </w:rPr>
        <w:t xml:space="preserve"> </w:t>
      </w:r>
    </w:p>
  </w:footnote>
  <w:footnote w:id="103">
    <w:p w14:paraId="2FD1FD1F" w14:textId="77777777" w:rsidR="00E231DA" w:rsidRPr="001655D0" w:rsidRDefault="00E231DA" w:rsidP="004C7089">
      <w:pPr>
        <w:pStyle w:val="FoonoteText"/>
        <w:keepNext/>
        <w:spacing w:after="0" w:line="240" w:lineRule="auto"/>
        <w:rPr>
          <w:sz w:val="18"/>
          <w:szCs w:val="18"/>
        </w:rPr>
      </w:pPr>
      <w:r w:rsidRPr="001655D0">
        <w:rPr>
          <w:rStyle w:val="FootnoteReference"/>
          <w:sz w:val="18"/>
          <w:szCs w:val="18"/>
        </w:rPr>
        <w:footnoteRef/>
      </w:r>
      <w:r w:rsidRPr="001655D0">
        <w:rPr>
          <w:sz w:val="18"/>
          <w:szCs w:val="18"/>
        </w:rPr>
        <w:t xml:space="preserve"> </w:t>
      </w:r>
      <w:r w:rsidRPr="00B15CDF">
        <w:rPr>
          <w:sz w:val="18"/>
          <w:szCs w:val="18"/>
        </w:rPr>
        <w:t>The ICR requirement</w:t>
      </w:r>
      <w:r>
        <w:rPr>
          <w:sz w:val="18"/>
          <w:szCs w:val="18"/>
        </w:rPr>
        <w:t>s</w:t>
      </w:r>
      <w:r w:rsidRPr="00B15CDF">
        <w:rPr>
          <w:sz w:val="18"/>
          <w:szCs w:val="18"/>
        </w:rPr>
        <w:t xml:space="preserve"> for 2018</w:t>
      </w:r>
      <w:r>
        <w:rPr>
          <w:sz w:val="18"/>
          <w:szCs w:val="18"/>
        </w:rPr>
        <w:t>/</w:t>
      </w:r>
      <w:r w:rsidRPr="00B15CDF">
        <w:rPr>
          <w:sz w:val="18"/>
          <w:szCs w:val="18"/>
        </w:rPr>
        <w:t>2019</w:t>
      </w:r>
      <w:r>
        <w:rPr>
          <w:sz w:val="18"/>
          <w:szCs w:val="18"/>
        </w:rPr>
        <w:t>, 2019/2020 through 2021/2022, and 2022/2023 are</w:t>
      </w:r>
      <w:r w:rsidRPr="00B15CDF">
        <w:rPr>
          <w:sz w:val="18"/>
          <w:szCs w:val="18"/>
        </w:rPr>
        <w:t xml:space="preserve"> available</w:t>
      </w:r>
      <w:r>
        <w:rPr>
          <w:sz w:val="18"/>
          <w:szCs w:val="18"/>
        </w:rPr>
        <w:t xml:space="preserve"> in the FERC filings</w:t>
      </w:r>
      <w:r w:rsidRPr="00B15CDF">
        <w:rPr>
          <w:sz w:val="18"/>
          <w:szCs w:val="18"/>
        </w:rPr>
        <w:t xml:space="preserve"> at </w:t>
      </w:r>
      <w:hyperlink r:id="rId93" w:history="1">
        <w:r w:rsidRPr="000867B2">
          <w:rPr>
            <w:rStyle w:val="Hyperlink"/>
            <w:sz w:val="18"/>
            <w:szCs w:val="18"/>
          </w:rPr>
          <w:t>https://www.iso-ne.com/static-assets/documents/2017/12/icr_related_values_2018_aras.pdf</w:t>
        </w:r>
      </w:hyperlink>
      <w:r>
        <w:rPr>
          <w:sz w:val="18"/>
          <w:szCs w:val="18"/>
        </w:rPr>
        <w:t>,</w:t>
      </w:r>
      <w:r w:rsidRPr="00B15CDF">
        <w:rPr>
          <w:sz w:val="18"/>
          <w:szCs w:val="18"/>
        </w:rPr>
        <w:t xml:space="preserve"> </w:t>
      </w:r>
      <w:hyperlink r:id="rId94" w:history="1">
        <w:r w:rsidRPr="000867B2">
          <w:rPr>
            <w:rStyle w:val="Hyperlink"/>
            <w:sz w:val="18"/>
            <w:szCs w:val="18"/>
          </w:rPr>
          <w:t>https://www.iso-ne.com/static-assets/documents/2018/11/icr_for_aras_2019.pdf</w:t>
        </w:r>
      </w:hyperlink>
      <w:r>
        <w:rPr>
          <w:sz w:val="18"/>
          <w:szCs w:val="18"/>
        </w:rPr>
        <w:t xml:space="preserve">, and </w:t>
      </w:r>
      <w:hyperlink r:id="rId95" w:history="1">
        <w:r w:rsidRPr="000867B2">
          <w:rPr>
            <w:rStyle w:val="Hyperlink"/>
            <w:sz w:val="18"/>
            <w:szCs w:val="18"/>
          </w:rPr>
          <w:t>https://www.iso-ne.com/static-assets/documents/2018/11/icr_filing_fca_13.pdf</w:t>
        </w:r>
      </w:hyperlink>
      <w:r w:rsidRPr="00B15CDF">
        <w:rPr>
          <w:sz w:val="18"/>
          <w:szCs w:val="18"/>
        </w:rPr>
        <w:t>.</w:t>
      </w:r>
    </w:p>
  </w:footnote>
  <w:footnote w:id="104">
    <w:p w14:paraId="25E85CB7" w14:textId="6BC4D4FE" w:rsidR="00E231DA" w:rsidRDefault="00E231DA" w:rsidP="004C7089">
      <w:pPr>
        <w:pStyle w:val="FootnoteText"/>
      </w:pPr>
      <w:r w:rsidRPr="00582196">
        <w:rPr>
          <w:rStyle w:val="FootnoteReference"/>
        </w:rPr>
        <w:footnoteRef/>
      </w:r>
      <w:r w:rsidRPr="00582196">
        <w:t xml:space="preserve"> </w:t>
      </w:r>
      <w:r w:rsidRPr="004F2B08">
        <w:rPr>
          <w:i/>
        </w:rPr>
        <w:t>Sponsored policy resources</w:t>
      </w:r>
      <w:r w:rsidRPr="004524AD">
        <w:t xml:space="preserve"> </w:t>
      </w:r>
      <w:r>
        <w:t xml:space="preserve">(SPRs) </w:t>
      </w:r>
      <w:r w:rsidRPr="004524AD">
        <w:t xml:space="preserve">are </w:t>
      </w:r>
      <w:r>
        <w:t xml:space="preserve">new </w:t>
      </w:r>
      <w:r w:rsidRPr="004524AD">
        <w:t>generators, demand, or import capacity resources located in a New England state that receive from that state or applicable local</w:t>
      </w:r>
      <w:r>
        <w:t xml:space="preserve"> </w:t>
      </w:r>
      <w:r w:rsidRPr="004524AD">
        <w:t>government out-of-market revenue</w:t>
      </w:r>
      <w:r>
        <w:t>s</w:t>
      </w:r>
      <w:r w:rsidRPr="004524AD">
        <w:t xml:space="preserve"> under a renewable, clean, or alternative energy standard in place as of January 1, 2018.</w:t>
      </w:r>
      <w:r>
        <w:t xml:space="preserve"> </w:t>
      </w:r>
      <w:r w:rsidRPr="00582196">
        <w:rPr>
          <w:rFonts w:eastAsia="Times New Roman" w:cs="Arial"/>
        </w:rPr>
        <w:t>State sponsorships available to renewable technologies but not</w:t>
      </w:r>
      <w:r>
        <w:rPr>
          <w:rFonts w:eastAsia="Times New Roman" w:cs="Arial"/>
        </w:rPr>
        <w:t xml:space="preserve"> to </w:t>
      </w:r>
      <w:r w:rsidRPr="00582196">
        <w:rPr>
          <w:rFonts w:eastAsia="Times New Roman" w:cs="Arial"/>
        </w:rPr>
        <w:t>other types of resources</w:t>
      </w:r>
      <w:r w:rsidRPr="00653493">
        <w:rPr>
          <w:rFonts w:eastAsia="Times New Roman" w:cs="Arial"/>
        </w:rPr>
        <w:t xml:space="preserve"> include state Renewable Portfolio Standards and similar renewable energy goa</w:t>
      </w:r>
      <w:r w:rsidRPr="00014389">
        <w:rPr>
          <w:rFonts w:eastAsia="Times New Roman" w:cs="Arial"/>
        </w:rPr>
        <w:t>ls (see Section</w:t>
      </w:r>
      <w:r>
        <w:rPr>
          <w:rFonts w:eastAsia="Times New Roman" w:cs="Arial"/>
        </w:rPr>
        <w:t xml:space="preserve">s </w:t>
      </w:r>
      <w:r>
        <w:rPr>
          <w:rFonts w:eastAsia="Times New Roman" w:cs="Arial"/>
        </w:rPr>
        <w:fldChar w:fldCharType="begin"/>
      </w:r>
      <w:r>
        <w:rPr>
          <w:rFonts w:eastAsia="Times New Roman" w:cs="Arial"/>
        </w:rPr>
        <w:instrText xml:space="preserve"> REF _Ref11050681 \r \h </w:instrText>
      </w:r>
      <w:r>
        <w:rPr>
          <w:rFonts w:eastAsia="Times New Roman" w:cs="Arial"/>
        </w:rPr>
      </w:r>
      <w:r>
        <w:rPr>
          <w:rFonts w:eastAsia="Times New Roman" w:cs="Arial"/>
        </w:rPr>
        <w:fldChar w:fldCharType="separate"/>
      </w:r>
      <w:r>
        <w:rPr>
          <w:rFonts w:eastAsia="Times New Roman" w:cs="Arial"/>
        </w:rPr>
        <w:t>8.3</w:t>
      </w:r>
      <w:r>
        <w:rPr>
          <w:rFonts w:eastAsia="Times New Roman" w:cs="Arial"/>
        </w:rPr>
        <w:fldChar w:fldCharType="end"/>
      </w:r>
      <w:r>
        <w:rPr>
          <w:rFonts w:eastAsia="Times New Roman" w:cs="Arial"/>
        </w:rPr>
        <w:t xml:space="preserve"> and </w:t>
      </w:r>
      <w:r>
        <w:rPr>
          <w:rFonts w:eastAsia="Times New Roman" w:cs="Arial"/>
        </w:rPr>
        <w:fldChar w:fldCharType="begin"/>
      </w:r>
      <w:r>
        <w:rPr>
          <w:rFonts w:eastAsia="Times New Roman" w:cs="Arial"/>
        </w:rPr>
        <w:instrText xml:space="preserve"> REF _Ref11050683 \r \h </w:instrText>
      </w:r>
      <w:r>
        <w:rPr>
          <w:rFonts w:eastAsia="Times New Roman" w:cs="Arial"/>
        </w:rPr>
      </w:r>
      <w:r>
        <w:rPr>
          <w:rFonts w:eastAsia="Times New Roman" w:cs="Arial"/>
        </w:rPr>
        <w:fldChar w:fldCharType="separate"/>
      </w:r>
      <w:r>
        <w:rPr>
          <w:rFonts w:eastAsia="Times New Roman" w:cs="Arial"/>
        </w:rPr>
        <w:t>8.4</w:t>
      </w:r>
      <w:r>
        <w:rPr>
          <w:rFonts w:eastAsia="Times New Roman" w:cs="Arial"/>
        </w:rPr>
        <w:fldChar w:fldCharType="end"/>
      </w:r>
      <w:r>
        <w:rPr>
          <w:rFonts w:eastAsia="Times New Roman" w:cs="Arial"/>
        </w:rPr>
        <w:t>)</w:t>
      </w:r>
      <w:r w:rsidRPr="00653493">
        <w:rPr>
          <w:rFonts w:eastAsia="Times New Roman" w:cs="Arial"/>
        </w:rPr>
        <w:t>; state initiatives to reduce gree</w:t>
      </w:r>
      <w:r w:rsidRPr="0064416D">
        <w:rPr>
          <w:rFonts w:eastAsia="Times New Roman" w:cs="Arial"/>
        </w:rPr>
        <w:t xml:space="preserve">nhouse gas emissions (e.g., the Massachusetts </w:t>
      </w:r>
      <w:r w:rsidRPr="0064416D">
        <w:rPr>
          <w:rFonts w:eastAsia="Times New Roman" w:cs="Arial"/>
          <w:i/>
        </w:rPr>
        <w:t>Global Warming Solutions Act</w:t>
      </w:r>
      <w:r w:rsidRPr="0064416D">
        <w:rPr>
          <w:rFonts w:eastAsia="Times New Roman" w:cs="Arial"/>
        </w:rPr>
        <w:t xml:space="preserve">; see Section </w:t>
      </w:r>
      <w:r w:rsidRPr="009E2C9D">
        <w:rPr>
          <w:rFonts w:eastAsia="Times New Roman" w:cs="Arial"/>
        </w:rPr>
        <w:fldChar w:fldCharType="begin"/>
      </w:r>
      <w:r w:rsidRPr="009E2C9D">
        <w:rPr>
          <w:rFonts w:eastAsia="Times New Roman" w:cs="Arial"/>
        </w:rPr>
        <w:instrText xml:space="preserve"> REF _Ref11675034 \r \h  \* MERGEFORMAT </w:instrText>
      </w:r>
      <w:r w:rsidRPr="009E2C9D">
        <w:rPr>
          <w:rFonts w:eastAsia="Times New Roman" w:cs="Arial"/>
        </w:rPr>
      </w:r>
      <w:r w:rsidRPr="009E2C9D">
        <w:rPr>
          <w:rFonts w:eastAsia="Times New Roman" w:cs="Arial"/>
        </w:rPr>
        <w:fldChar w:fldCharType="separate"/>
      </w:r>
      <w:r>
        <w:rPr>
          <w:rFonts w:eastAsia="Times New Roman" w:cs="Arial"/>
        </w:rPr>
        <w:t>8.5.3</w:t>
      </w:r>
      <w:r w:rsidRPr="009E2C9D">
        <w:rPr>
          <w:rFonts w:eastAsia="Times New Roman" w:cs="Arial"/>
        </w:rPr>
        <w:fldChar w:fldCharType="end"/>
      </w:r>
      <w:r w:rsidRPr="00805C72">
        <w:rPr>
          <w:rFonts w:eastAsia="Times New Roman" w:cs="Arial"/>
        </w:rPr>
        <w:t>)</w:t>
      </w:r>
      <w:r w:rsidRPr="009E2C9D">
        <w:rPr>
          <w:rFonts w:eastAsia="Times New Roman" w:cs="Arial"/>
        </w:rPr>
        <w:t>; an</w:t>
      </w:r>
      <w:r w:rsidRPr="00653493">
        <w:rPr>
          <w:rFonts w:eastAsia="Times New Roman" w:cs="Arial"/>
        </w:rPr>
        <w:t>d regional carbon cap-and-trade programs, such as the Regional Greenhouse Gas Initiative</w:t>
      </w:r>
      <w:r>
        <w:rPr>
          <w:rFonts w:eastAsia="Times New Roman" w:cs="Arial"/>
        </w:rPr>
        <w:t>,</w:t>
      </w:r>
      <w:r w:rsidRPr="00653493">
        <w:rPr>
          <w:rFonts w:eastAsia="Times New Roman" w:cs="Arial"/>
        </w:rPr>
        <w:t xml:space="preserve"> state-sponsored, long-term contracts to develop renewable resources</w:t>
      </w:r>
      <w:r>
        <w:rPr>
          <w:rFonts w:eastAsia="Times New Roman" w:cs="Arial"/>
        </w:rPr>
        <w:t>,</w:t>
      </w:r>
      <w:r w:rsidRPr="00653493">
        <w:rPr>
          <w:rFonts w:eastAsia="Times New Roman" w:cs="Arial"/>
        </w:rPr>
        <w:t xml:space="preserve"> and federal production and investm</w:t>
      </w:r>
      <w:r w:rsidRPr="0080457A">
        <w:rPr>
          <w:rFonts w:eastAsia="Times New Roman" w:cs="Arial"/>
        </w:rPr>
        <w:t xml:space="preserve">ent tax credits (see Section </w:t>
      </w:r>
      <w:r w:rsidRPr="0080457A">
        <w:rPr>
          <w:rFonts w:eastAsia="Times New Roman" w:cs="Arial"/>
        </w:rPr>
        <w:fldChar w:fldCharType="begin"/>
      </w:r>
      <w:r w:rsidRPr="0080457A">
        <w:rPr>
          <w:rFonts w:eastAsia="Times New Roman" w:cs="Arial"/>
        </w:rPr>
        <w:instrText xml:space="preserve"> REF _Ref11050722 \r \h </w:instrText>
      </w:r>
      <w:r>
        <w:rPr>
          <w:rFonts w:eastAsia="Times New Roman" w:cs="Arial"/>
        </w:rPr>
        <w:instrText xml:space="preserve"> \* MERGEFORMAT </w:instrText>
      </w:r>
      <w:r w:rsidRPr="0080457A">
        <w:rPr>
          <w:rFonts w:eastAsia="Times New Roman" w:cs="Arial"/>
        </w:rPr>
      </w:r>
      <w:r w:rsidRPr="0080457A">
        <w:rPr>
          <w:rFonts w:eastAsia="Times New Roman" w:cs="Arial"/>
        </w:rPr>
        <w:fldChar w:fldCharType="separate"/>
      </w:r>
      <w:r>
        <w:rPr>
          <w:rFonts w:eastAsia="Times New Roman" w:cs="Arial"/>
        </w:rPr>
        <w:t>8.5.3</w:t>
      </w:r>
      <w:r w:rsidRPr="0080457A">
        <w:rPr>
          <w:rFonts w:eastAsia="Times New Roman" w:cs="Arial"/>
        </w:rPr>
        <w:fldChar w:fldCharType="end"/>
      </w:r>
      <w:r w:rsidRPr="0080457A">
        <w:rPr>
          <w:rFonts w:eastAsia="Times New Roman" w:cs="Arial"/>
        </w:rPr>
        <w:t>). S</w:t>
      </w:r>
      <w:r w:rsidRPr="00653493">
        <w:rPr>
          <w:rFonts w:eastAsia="Times New Roman" w:cs="Arial"/>
        </w:rPr>
        <w:t xml:space="preserve">ee the ISO’s “New England’s </w:t>
      </w:r>
      <w:r>
        <w:rPr>
          <w:rFonts w:eastAsia="Times New Roman" w:cs="Arial"/>
        </w:rPr>
        <w:t>C</w:t>
      </w:r>
      <w:r w:rsidRPr="00653493">
        <w:rPr>
          <w:rFonts w:eastAsia="Times New Roman" w:cs="Arial"/>
        </w:rPr>
        <w:t xml:space="preserve">apacity </w:t>
      </w:r>
      <w:r>
        <w:rPr>
          <w:rFonts w:eastAsia="Times New Roman" w:cs="Arial"/>
        </w:rPr>
        <w:t>M</w:t>
      </w:r>
      <w:r w:rsidRPr="00653493">
        <w:rPr>
          <w:rFonts w:eastAsia="Times New Roman" w:cs="Arial"/>
        </w:rPr>
        <w:t xml:space="preserve">arkets and </w:t>
      </w:r>
      <w:r>
        <w:rPr>
          <w:rFonts w:eastAsia="Times New Roman" w:cs="Arial"/>
        </w:rPr>
        <w:t>R</w:t>
      </w:r>
      <w:r w:rsidRPr="00653493">
        <w:rPr>
          <w:rFonts w:eastAsia="Times New Roman" w:cs="Arial"/>
        </w:rPr>
        <w:t xml:space="preserve">enewable </w:t>
      </w:r>
      <w:r>
        <w:rPr>
          <w:rFonts w:eastAsia="Times New Roman" w:cs="Arial"/>
        </w:rPr>
        <w:t>E</w:t>
      </w:r>
      <w:r w:rsidRPr="00653493">
        <w:rPr>
          <w:rFonts w:eastAsia="Times New Roman" w:cs="Arial"/>
        </w:rPr>
        <w:t xml:space="preserve">nergy </w:t>
      </w:r>
      <w:r>
        <w:rPr>
          <w:rFonts w:eastAsia="Times New Roman" w:cs="Arial"/>
        </w:rPr>
        <w:t>F</w:t>
      </w:r>
      <w:r w:rsidRPr="00653493">
        <w:rPr>
          <w:rFonts w:eastAsia="Times New Roman" w:cs="Arial"/>
        </w:rPr>
        <w:t xml:space="preserve">uture,” </w:t>
      </w:r>
      <w:r>
        <w:rPr>
          <w:rFonts w:eastAsia="Times New Roman" w:cs="Arial"/>
        </w:rPr>
        <w:t>d</w:t>
      </w:r>
      <w:r w:rsidRPr="00653493">
        <w:rPr>
          <w:rFonts w:eastAsia="Times New Roman" w:cs="Arial"/>
        </w:rPr>
        <w:t>iscussion paper (June 3, 2015</w:t>
      </w:r>
      <w:r>
        <w:rPr>
          <w:rFonts w:eastAsia="Times New Roman" w:cs="Arial"/>
        </w:rPr>
        <w:t>),</w:t>
      </w:r>
      <w:r w:rsidRPr="00653493">
        <w:rPr>
          <w:rFonts w:eastAsia="Times New Roman" w:cs="Arial"/>
        </w:rPr>
        <w:t xml:space="preserve"> </w:t>
      </w:r>
      <w:hyperlink r:id="rId96" w:history="1">
        <w:r w:rsidRPr="00653493">
          <w:rPr>
            <w:rStyle w:val="Hyperlink"/>
            <w:rFonts w:eastAsia="Times New Roman" w:cs="Arial"/>
          </w:rPr>
          <w:t>https://www.iso-ne.com/static-assets/documents/2015/06/iso_ne_capacity_mkt_discussion_paper_06_03_2015.pdf</w:t>
        </w:r>
      </w:hyperlink>
      <w:r w:rsidRPr="00653493">
        <w:rPr>
          <w:rFonts w:eastAsia="Times New Roman" w:cs="Arial"/>
        </w:rPr>
        <w:t>.</w:t>
      </w:r>
      <w:r w:rsidRPr="00294968">
        <w:t xml:space="preserve"> </w:t>
      </w:r>
    </w:p>
  </w:footnote>
  <w:footnote w:id="105">
    <w:p w14:paraId="5E39A9C7" w14:textId="77777777" w:rsidR="00E231DA" w:rsidRPr="0080457A" w:rsidRDefault="00E231DA" w:rsidP="0080457A">
      <w:pPr>
        <w:pStyle w:val="FootnoteText"/>
      </w:pPr>
      <w:r w:rsidRPr="005F039F">
        <w:rPr>
          <w:rStyle w:val="FootnoteReference"/>
        </w:rPr>
        <w:footnoteRef/>
      </w:r>
      <w:r w:rsidRPr="005F039F">
        <w:t xml:space="preserve"> See FERC, </w:t>
      </w:r>
      <w:r w:rsidRPr="00951B84">
        <w:rPr>
          <w:i/>
        </w:rPr>
        <w:t>ISO New England, Inc. Order on Tariff Filing</w:t>
      </w:r>
      <w:r w:rsidRPr="005F039F">
        <w:t xml:space="preserve"> (accepting CASPR), Docket No. ER18-619, 162¶ 61,205 (March 9, 2018), </w:t>
      </w:r>
      <w:hyperlink r:id="rId97" w:history="1">
        <w:r w:rsidRPr="005F039F">
          <w:rPr>
            <w:rStyle w:val="Hyperlink"/>
          </w:rPr>
          <w:t>https://www.iso-ne.com/static-assets/documents/2018/03/er18-619-000_3-9-18_order_accept_caspr.pdf</w:t>
        </w:r>
      </w:hyperlink>
      <w:r w:rsidRPr="005F039F">
        <w:t xml:space="preserve">. </w:t>
      </w:r>
    </w:p>
    <w:p w14:paraId="65331434" w14:textId="77777777" w:rsidR="00E231DA" w:rsidRDefault="00E231DA" w:rsidP="004C7089">
      <w:pPr>
        <w:pStyle w:val="FootnoteText"/>
      </w:pPr>
    </w:p>
  </w:footnote>
  <w:footnote w:id="106">
    <w:p w14:paraId="739AF1B8" w14:textId="77777777" w:rsidR="00E231DA" w:rsidRPr="00886C87" w:rsidRDefault="00E231DA" w:rsidP="004C7089">
      <w:pPr>
        <w:spacing w:after="80" w:line="240" w:lineRule="auto"/>
        <w:rPr>
          <w:szCs w:val="18"/>
        </w:rPr>
      </w:pPr>
      <w:r w:rsidRPr="002E528F">
        <w:rPr>
          <w:rStyle w:val="FootnoteReference"/>
        </w:rPr>
        <w:footnoteRef/>
      </w:r>
      <w:r>
        <w:rPr>
          <w:szCs w:val="18"/>
        </w:rPr>
        <w:t xml:space="preserve"> </w:t>
      </w:r>
      <w:r w:rsidRPr="002E528F">
        <w:rPr>
          <w:sz w:val="18"/>
          <w:szCs w:val="18"/>
        </w:rPr>
        <w:t xml:space="preserve">A </w:t>
      </w:r>
      <w:r w:rsidRPr="002E528F">
        <w:rPr>
          <w:i/>
          <w:sz w:val="18"/>
          <w:szCs w:val="18"/>
        </w:rPr>
        <w:t xml:space="preserve">delist bid </w:t>
      </w:r>
      <w:r w:rsidRPr="002E528F">
        <w:rPr>
          <w:sz w:val="18"/>
          <w:szCs w:val="18"/>
        </w:rPr>
        <w:t>is a submission in an FCA for an existing FCM resource indicating that the resource wants to opt of the auction before the deadline for qualifying its existing capacity and does not want a CSO below a certain price. The ISO reviews all delist bids for reliability impacts.</w:t>
      </w:r>
      <w:r w:rsidRPr="003A4EA9">
        <w:rPr>
          <w:szCs w:val="18"/>
        </w:rPr>
        <w:t xml:space="preserve"> </w:t>
      </w:r>
      <w:r w:rsidRPr="00AD1603">
        <w:rPr>
          <w:sz w:val="18"/>
          <w:szCs w:val="18"/>
        </w:rPr>
        <w:t xml:space="preserve">A </w:t>
      </w:r>
      <w:r w:rsidRPr="00AD1603">
        <w:rPr>
          <w:i/>
          <w:sz w:val="18"/>
          <w:szCs w:val="18"/>
        </w:rPr>
        <w:t>dynamic delist bid</w:t>
      </w:r>
      <w:r w:rsidRPr="00AD1603">
        <w:rPr>
          <w:sz w:val="18"/>
          <w:szCs w:val="18"/>
        </w:rPr>
        <w:t xml:space="preserve"> </w:t>
      </w:r>
      <w:r>
        <w:rPr>
          <w:sz w:val="18"/>
          <w:szCs w:val="18"/>
        </w:rPr>
        <w:t xml:space="preserve">is submitted during the auction and </w:t>
      </w:r>
      <w:r w:rsidRPr="00AD1603">
        <w:rPr>
          <w:sz w:val="18"/>
          <w:szCs w:val="18"/>
        </w:rPr>
        <w:t xml:space="preserve">indicates that a resource wants to opt out of </w:t>
      </w:r>
      <w:r>
        <w:rPr>
          <w:sz w:val="18"/>
          <w:szCs w:val="18"/>
        </w:rPr>
        <w:t xml:space="preserve">receiving </w:t>
      </w:r>
      <w:r w:rsidRPr="00AD1603">
        <w:rPr>
          <w:sz w:val="18"/>
          <w:szCs w:val="18"/>
        </w:rPr>
        <w:t>a CSO below a certain price</w:t>
      </w:r>
      <w:r>
        <w:rPr>
          <w:sz w:val="18"/>
          <w:szCs w:val="18"/>
        </w:rPr>
        <w:t>.</w:t>
      </w:r>
      <w:r>
        <w:rPr>
          <w:szCs w:val="18"/>
        </w:rPr>
        <w:t xml:space="preserve"> </w:t>
      </w:r>
      <w:r>
        <w:rPr>
          <w:i/>
          <w:szCs w:val="18"/>
        </w:rPr>
        <w:t>S</w:t>
      </w:r>
      <w:r w:rsidRPr="001655D0">
        <w:rPr>
          <w:i/>
          <w:sz w:val="18"/>
          <w:szCs w:val="18"/>
        </w:rPr>
        <w:t>tatic delist bid</w:t>
      </w:r>
      <w:r>
        <w:rPr>
          <w:i/>
          <w:sz w:val="18"/>
          <w:szCs w:val="18"/>
        </w:rPr>
        <w:t xml:space="preserve">s, </w:t>
      </w:r>
      <w:r w:rsidRPr="002E528F">
        <w:rPr>
          <w:i/>
          <w:sz w:val="18"/>
          <w:szCs w:val="18"/>
        </w:rPr>
        <w:t>retirement delist bids</w:t>
      </w:r>
      <w:r>
        <w:rPr>
          <w:sz w:val="18"/>
          <w:szCs w:val="18"/>
        </w:rPr>
        <w:t xml:space="preserve">, and </w:t>
      </w:r>
      <w:r w:rsidRPr="002E528F">
        <w:rPr>
          <w:i/>
          <w:sz w:val="18"/>
          <w:szCs w:val="18"/>
        </w:rPr>
        <w:t>permanent delist bids</w:t>
      </w:r>
      <w:r>
        <w:rPr>
          <w:sz w:val="18"/>
          <w:szCs w:val="18"/>
        </w:rPr>
        <w:t xml:space="preserve"> are</w:t>
      </w:r>
      <w:r w:rsidRPr="001655D0">
        <w:rPr>
          <w:sz w:val="18"/>
          <w:szCs w:val="18"/>
        </w:rPr>
        <w:t xml:space="preserve"> submitted for a resource before an FCA</w:t>
      </w:r>
      <w:r>
        <w:rPr>
          <w:sz w:val="18"/>
          <w:szCs w:val="18"/>
        </w:rPr>
        <w:t xml:space="preserve"> </w:t>
      </w:r>
      <w:r w:rsidRPr="001655D0">
        <w:rPr>
          <w:sz w:val="18"/>
          <w:szCs w:val="18"/>
        </w:rPr>
        <w:t>and cannot be changed during the auction</w:t>
      </w:r>
      <w:r>
        <w:rPr>
          <w:sz w:val="18"/>
          <w:szCs w:val="18"/>
        </w:rPr>
        <w:t xml:space="preserve">. A </w:t>
      </w:r>
      <w:r w:rsidRPr="002E528F">
        <w:rPr>
          <w:i/>
          <w:sz w:val="18"/>
          <w:szCs w:val="18"/>
        </w:rPr>
        <w:t>static delist bid</w:t>
      </w:r>
      <w:r>
        <w:rPr>
          <w:sz w:val="18"/>
          <w:szCs w:val="18"/>
        </w:rPr>
        <w:t xml:space="preserve"> </w:t>
      </w:r>
      <w:r w:rsidRPr="001655D0">
        <w:rPr>
          <w:sz w:val="18"/>
          <w:szCs w:val="18"/>
        </w:rPr>
        <w:t>request</w:t>
      </w:r>
      <w:r>
        <w:rPr>
          <w:sz w:val="18"/>
          <w:szCs w:val="18"/>
        </w:rPr>
        <w:t xml:space="preserve">s that a </w:t>
      </w:r>
      <w:r w:rsidRPr="001655D0">
        <w:rPr>
          <w:sz w:val="18"/>
          <w:szCs w:val="18"/>
        </w:rPr>
        <w:t>resource opt o</w:t>
      </w:r>
      <w:r w:rsidRPr="0064416D">
        <w:rPr>
          <w:sz w:val="18"/>
          <w:szCs w:val="18"/>
        </w:rPr>
        <w:t>ut of receiving a CSO at a certain price and reflects either the cost of the resource or a reduction in ratings as a result of ambient air conditions.</w:t>
      </w:r>
      <w:r w:rsidRPr="0064416D">
        <w:rPr>
          <w:szCs w:val="18"/>
        </w:rPr>
        <w:t xml:space="preserve"> </w:t>
      </w:r>
      <w:r w:rsidRPr="00805C72">
        <w:rPr>
          <w:sz w:val="18"/>
          <w:szCs w:val="18"/>
        </w:rPr>
        <w:t xml:space="preserve">If a </w:t>
      </w:r>
      <w:r w:rsidRPr="00805C72">
        <w:rPr>
          <w:i/>
          <w:sz w:val="18"/>
          <w:szCs w:val="18"/>
        </w:rPr>
        <w:t xml:space="preserve">retirement delist bid </w:t>
      </w:r>
      <w:r w:rsidRPr="00805C72">
        <w:rPr>
          <w:sz w:val="18"/>
          <w:szCs w:val="18"/>
        </w:rPr>
        <w:t>clears, the resource is prohibited from participating in any New England markets and cannot obtain a CSO unless it qualifies for and clears as a new resource in a subsequent FCA. I</w:t>
      </w:r>
      <w:r w:rsidRPr="0064416D">
        <w:rPr>
          <w:sz w:val="18"/>
          <w:szCs w:val="18"/>
        </w:rPr>
        <w:t xml:space="preserve">f a </w:t>
      </w:r>
      <w:r w:rsidRPr="0064416D">
        <w:rPr>
          <w:i/>
          <w:sz w:val="18"/>
          <w:szCs w:val="18"/>
        </w:rPr>
        <w:t>perman</w:t>
      </w:r>
      <w:r w:rsidRPr="002E528F">
        <w:rPr>
          <w:i/>
          <w:sz w:val="18"/>
          <w:szCs w:val="18"/>
        </w:rPr>
        <w:t>ent delist bid</w:t>
      </w:r>
      <w:r w:rsidRPr="002E528F">
        <w:rPr>
          <w:sz w:val="18"/>
          <w:szCs w:val="18"/>
        </w:rPr>
        <w:t xml:space="preserve"> clears, the resource is prohibited from participating in any future FCM auctions or assuming any CSO unless it qualifies for and clears as a new resource in a subsequent FCA. A permanently delisted resource may participate in the energy market. </w:t>
      </w:r>
    </w:p>
  </w:footnote>
  <w:footnote w:id="107">
    <w:p w14:paraId="1A381017" w14:textId="77777777" w:rsidR="00E231DA" w:rsidRDefault="00E231DA" w:rsidP="004C7089">
      <w:pPr>
        <w:pStyle w:val="FootnoteText"/>
      </w:pPr>
      <w:r w:rsidRPr="00C57CD4">
        <w:rPr>
          <w:rStyle w:val="FootnoteReference"/>
        </w:rPr>
        <w:footnoteRef/>
      </w:r>
      <w:r>
        <w:rPr>
          <w:i/>
        </w:rPr>
        <w:t xml:space="preserve"> </w:t>
      </w:r>
      <w:r w:rsidRPr="004F2B08">
        <w:rPr>
          <w:i/>
        </w:rPr>
        <w:t>Renewable technology resources</w:t>
      </w:r>
      <w:r w:rsidRPr="00C57CD4">
        <w:t xml:space="preserve"> are generators or on-peak demand resources located in a New England state that receive </w:t>
      </w:r>
      <w:r>
        <w:t xml:space="preserve">from that </w:t>
      </w:r>
      <w:r w:rsidRPr="00C57CD4">
        <w:t xml:space="preserve">state or </w:t>
      </w:r>
      <w:r>
        <w:t xml:space="preserve">the </w:t>
      </w:r>
      <w:r w:rsidRPr="00C57CD4">
        <w:t>federal</w:t>
      </w:r>
      <w:r>
        <w:t xml:space="preserve"> government</w:t>
      </w:r>
      <w:r w:rsidRPr="00C57CD4">
        <w:t xml:space="preserve"> out-of-market revenue</w:t>
      </w:r>
      <w:r>
        <w:t>s</w:t>
      </w:r>
      <w:r w:rsidRPr="00C57CD4">
        <w:t xml:space="preserve"> under that state’s renewable or alternative energy resource standard in place as of January 1, 201</w:t>
      </w:r>
      <w:r w:rsidRPr="004524AD">
        <w:t xml:space="preserve">4. </w:t>
      </w:r>
    </w:p>
  </w:footnote>
  <w:footnote w:id="108">
    <w:p w14:paraId="73CDF9BA" w14:textId="77777777" w:rsidR="00E231DA" w:rsidRDefault="00E231DA" w:rsidP="004C7089">
      <w:pPr>
        <w:pStyle w:val="FootnoteText"/>
      </w:pPr>
      <w:r>
        <w:rPr>
          <w:rStyle w:val="FootnoteReference"/>
        </w:rPr>
        <w:footnoteRef/>
      </w:r>
      <w:r>
        <w:t xml:space="preserve"> The </w:t>
      </w:r>
      <w:r w:rsidRPr="002E528F">
        <w:rPr>
          <w:i/>
        </w:rPr>
        <w:t>Minimum Offer Price Rule</w:t>
      </w:r>
      <w:r>
        <w:t xml:space="preserve"> </w:t>
      </w:r>
      <w:r w:rsidRPr="002A0EA9">
        <w:t>establish</w:t>
      </w:r>
      <w:r>
        <w:t>es</w:t>
      </w:r>
      <w:r w:rsidRPr="002A0EA9">
        <w:t xml:space="preserve"> a benchmark price called an offer-review trigger price, which forms the lower limit on offer prices to prevent new resources from entering the FCM at prices below their costs, presuming that new supply offers below the threshold are not attempts to suppress the clearing price.</w:t>
      </w:r>
    </w:p>
  </w:footnote>
  <w:footnote w:id="109">
    <w:p w14:paraId="3FF23753" w14:textId="5A411CA9" w:rsidR="00E231DA" w:rsidRDefault="00E231DA" w:rsidP="004C7089">
      <w:pPr>
        <w:pStyle w:val="FootnoteText"/>
      </w:pPr>
      <w:r>
        <w:rPr>
          <w:rStyle w:val="FootnoteReference"/>
        </w:rPr>
        <w:footnoteRef/>
      </w:r>
      <w:r>
        <w:t xml:space="preserve"> For example, </w:t>
      </w:r>
      <w:r w:rsidRPr="00271C3A">
        <w:t>Section 321 of the</w:t>
      </w:r>
      <w:r>
        <w:t xml:space="preserve"> US</w:t>
      </w:r>
      <w:r w:rsidRPr="00271C3A">
        <w:t xml:space="preserve"> </w:t>
      </w:r>
      <w:r w:rsidRPr="002E528F">
        <w:rPr>
          <w:i/>
        </w:rPr>
        <w:t>Energy Independence and Security Act of 2007</w:t>
      </w:r>
      <w:r w:rsidRPr="00271C3A">
        <w:t xml:space="preserve"> (EISA) prohibits the sale of any general service lamp that does not meet a minimum efficiency standard of 45 lumens</w:t>
      </w:r>
      <w:r>
        <w:t>/</w:t>
      </w:r>
      <w:r w:rsidRPr="00271C3A">
        <w:t>watt</w:t>
      </w:r>
      <w:r>
        <w:t>,</w:t>
      </w:r>
      <w:r w:rsidRPr="00271C3A">
        <w:t xml:space="preserve"> effective January 1, 2020. While the implementation of the EISA standards</w:t>
      </w:r>
      <w:r w:rsidRPr="00FB6FE2">
        <w:t xml:space="preserve"> </w:t>
      </w:r>
      <w:r>
        <w:t xml:space="preserve">faces some </w:t>
      </w:r>
      <w:r w:rsidRPr="00271C3A">
        <w:t>uncertain</w:t>
      </w:r>
      <w:r>
        <w:t>ties</w:t>
      </w:r>
      <w:r w:rsidRPr="00271C3A">
        <w:t>, until the current EISA standards go into effect</w:t>
      </w:r>
      <w:r>
        <w:t>,</w:t>
      </w:r>
      <w:r w:rsidRPr="00271C3A">
        <w:t xml:space="preserve"> are modified or revoked</w:t>
      </w:r>
      <w:r>
        <w:t>,</w:t>
      </w:r>
      <w:r w:rsidRPr="00271C3A">
        <w:t xml:space="preserve"> they constitute current law. Therefore, as required by ISO New England</w:t>
      </w:r>
      <w:r>
        <w:t>’s</w:t>
      </w:r>
      <w:r w:rsidRPr="00271C3A">
        <w:t xml:space="preserve"> </w:t>
      </w:r>
      <w:r w:rsidRPr="002E528F">
        <w:rPr>
          <w:i/>
        </w:rPr>
        <w:t>Manual for Measurement and Verification of On-Peak Demand Resources and Seasonal Peak Demand Resources</w:t>
      </w:r>
      <w:r w:rsidRPr="00271C3A">
        <w:t xml:space="preserve"> (Manual M-MVDR</w:t>
      </w:r>
      <w:r>
        <w:t>),</w:t>
      </w:r>
      <w:r w:rsidRPr="00A351BE">
        <w:t xml:space="preserve"> the ISO will require that the Measurement and Verification Plans submitted during the FCM qualification process reflect the minimum efficiency standards set out by EISA. Standard changes like this may limit growth of EE</w:t>
      </w:r>
      <w:r>
        <w:t>. See</w:t>
      </w:r>
      <w:r w:rsidRPr="00E12CFF">
        <w:t xml:space="preserve"> </w:t>
      </w:r>
      <w:r>
        <w:t xml:space="preserve">the manual (October 4, 2018) at </w:t>
      </w:r>
      <w:hyperlink r:id="rId98" w:history="1">
        <w:r w:rsidRPr="00A351BE">
          <w:rPr>
            <w:rStyle w:val="Hyperlink"/>
          </w:rPr>
          <w:t>https://www.iso-ne.com/static-assets/documents/2018/10/manual_mvdr_measurement_and_verification_of_onpeak_and_seasonal_peak_demand_resources_rev07_20181004.pdf</w:t>
        </w:r>
      </w:hyperlink>
      <w:r>
        <w:t>.</w:t>
      </w:r>
      <w:r w:rsidRPr="00271C3A">
        <w:t xml:space="preserve"> </w:t>
      </w:r>
    </w:p>
  </w:footnote>
  <w:footnote w:id="110">
    <w:p w14:paraId="4A415493" w14:textId="77777777" w:rsidR="00E231DA" w:rsidRDefault="00E231DA">
      <w:pPr>
        <w:pStyle w:val="FootnoteText"/>
      </w:pPr>
      <w:r>
        <w:rPr>
          <w:rStyle w:val="FootnoteReference"/>
        </w:rPr>
        <w:footnoteRef/>
      </w:r>
      <w:r>
        <w:t xml:space="preserve"> ISO New England, “Forward Capacity Market: Retain Resources for Fuel Security Key Project,” webpage (2019), </w:t>
      </w:r>
      <w:hyperlink r:id="rId99" w:history="1">
        <w:r w:rsidRPr="006710E3">
          <w:rPr>
            <w:rStyle w:val="Hyperlink"/>
          </w:rPr>
          <w:t>https://www.iso-ne.com/committees/key-projects/forward-capacity-market--retain-resources-for-fuel</w:t>
        </w:r>
      </w:hyperlink>
      <w:r>
        <w:t>.</w:t>
      </w:r>
    </w:p>
  </w:footnote>
  <w:footnote w:id="111">
    <w:p w14:paraId="47567B0C" w14:textId="61F1A028" w:rsidR="00E231DA" w:rsidRPr="00195843" w:rsidRDefault="00E231DA" w:rsidP="004C7089">
      <w:pPr>
        <w:spacing w:after="80" w:line="240" w:lineRule="auto"/>
        <w:rPr>
          <w:szCs w:val="18"/>
        </w:rPr>
      </w:pPr>
      <w:r w:rsidRPr="002E528F">
        <w:rPr>
          <w:rStyle w:val="FootnoteReference"/>
          <w:sz w:val="18"/>
          <w:szCs w:val="18"/>
        </w:rPr>
        <w:footnoteRef/>
      </w:r>
      <w:r w:rsidRPr="002E528F">
        <w:rPr>
          <w:sz w:val="18"/>
          <w:szCs w:val="18"/>
        </w:rPr>
        <w:t xml:space="preserve"> A </w:t>
      </w:r>
      <w:r w:rsidRPr="002E528F">
        <w:rPr>
          <w:i/>
          <w:sz w:val="18"/>
          <w:szCs w:val="18"/>
        </w:rPr>
        <w:t xml:space="preserve">demand bid </w:t>
      </w:r>
      <w:r w:rsidRPr="002E528F">
        <w:rPr>
          <w:sz w:val="18"/>
          <w:szCs w:val="18"/>
        </w:rPr>
        <w:t>is a request to purchase an am</w:t>
      </w:r>
      <w:r w:rsidRPr="00FF5F0E">
        <w:rPr>
          <w:sz w:val="18"/>
          <w:szCs w:val="18"/>
        </w:rPr>
        <w:t>ount of energy, at a specified location, or an amount of energy at a specified price associated with a physical load.</w:t>
      </w:r>
      <w:r w:rsidRPr="00805C72">
        <w:rPr>
          <w:sz w:val="18"/>
          <w:szCs w:val="18"/>
        </w:rPr>
        <w:t xml:space="preserve"> Like a retirement delist bid in a primary auction, an </w:t>
      </w:r>
      <w:r w:rsidRPr="00805C72">
        <w:rPr>
          <w:i/>
          <w:sz w:val="18"/>
          <w:szCs w:val="18"/>
        </w:rPr>
        <w:t>SA demand bid</w:t>
      </w:r>
      <w:r w:rsidRPr="00805C72">
        <w:rPr>
          <w:sz w:val="18"/>
          <w:szCs w:val="18"/>
        </w:rPr>
        <w:t xml:space="preserve"> is submitted for a resource before an FCA—and cannot be changed during the auction—if it clears, the resource is prohibited from participating in any New England markets and cannot obtain a CSO unless it qualifies for and clears as a new resource in a subsequent FCA. </w:t>
      </w:r>
      <w:r w:rsidRPr="009E2C9D">
        <w:rPr>
          <w:sz w:val="18"/>
          <w:szCs w:val="18"/>
        </w:rPr>
        <w:t xml:space="preserve">A </w:t>
      </w:r>
      <w:r w:rsidRPr="009E2C9D">
        <w:rPr>
          <w:i/>
          <w:sz w:val="18"/>
          <w:szCs w:val="18"/>
        </w:rPr>
        <w:t xml:space="preserve">reconfiguration auction demand bid </w:t>
      </w:r>
      <w:r w:rsidRPr="009E2C9D">
        <w:rPr>
          <w:sz w:val="18"/>
          <w:szCs w:val="18"/>
        </w:rPr>
        <w:t>is submitted days in advance of the annual reconfiguration auction and indicates that a resource wants to opt out of receiving a CSO for a single CCP below a certain price.</w:t>
      </w:r>
      <w:r>
        <w:rPr>
          <w:sz w:val="18"/>
          <w:szCs w:val="18"/>
        </w:rPr>
        <w:t xml:space="preserve"> </w:t>
      </w:r>
    </w:p>
  </w:footnote>
  <w:footnote w:id="112">
    <w:p w14:paraId="5BBB478F" w14:textId="59332A0F" w:rsidR="00E231DA" w:rsidRPr="00181CB9" w:rsidRDefault="00E231DA" w:rsidP="00991D46">
      <w:pPr>
        <w:spacing w:after="80" w:line="240" w:lineRule="auto"/>
        <w:rPr>
          <w:sz w:val="18"/>
          <w:szCs w:val="18"/>
        </w:rPr>
      </w:pPr>
      <w:r w:rsidRPr="00181CB9">
        <w:rPr>
          <w:rStyle w:val="FootnoteReference"/>
          <w:sz w:val="18"/>
          <w:szCs w:val="18"/>
        </w:rPr>
        <w:footnoteRef/>
      </w:r>
      <w:r w:rsidRPr="00181CB9">
        <w:rPr>
          <w:sz w:val="18"/>
          <w:szCs w:val="18"/>
        </w:rPr>
        <w:t xml:space="preserve"> ISO New England, Planning Procedure No. 10 (PP 10), </w:t>
      </w:r>
      <w:r w:rsidRPr="00181CB9">
        <w:rPr>
          <w:i/>
          <w:sz w:val="18"/>
          <w:szCs w:val="18"/>
        </w:rPr>
        <w:t>Planning Procedure to Support the Forward Capacity Market</w:t>
      </w:r>
      <w:r w:rsidRPr="00181CB9">
        <w:rPr>
          <w:sz w:val="18"/>
          <w:szCs w:val="18"/>
        </w:rPr>
        <w:t xml:space="preserve">, (May 31, 2019), </w:t>
      </w:r>
      <w:hyperlink r:id="rId100" w:history="1">
        <w:r w:rsidRPr="00181CB9">
          <w:rPr>
            <w:color w:val="0000FF"/>
            <w:sz w:val="18"/>
            <w:szCs w:val="18"/>
            <w:u w:val="single"/>
          </w:rPr>
          <w:t>https://www.iso-ne.com/static-assets/documents/2019/05/pp-10-r23-053119.pdf</w:t>
        </w:r>
      </w:hyperlink>
      <w:r w:rsidRPr="00181CB9">
        <w:rPr>
          <w:sz w:val="18"/>
          <w:szCs w:val="18"/>
        </w:rPr>
        <w:t>.</w:t>
      </w:r>
    </w:p>
  </w:footnote>
  <w:footnote w:id="113">
    <w:p w14:paraId="3AB52EBD" w14:textId="77777777" w:rsidR="00E231DA" w:rsidRDefault="00E231DA" w:rsidP="004C7089">
      <w:pPr>
        <w:pStyle w:val="FootnoteText"/>
      </w:pPr>
      <w:r>
        <w:rPr>
          <w:rStyle w:val="FootnoteReference"/>
        </w:rPr>
        <w:footnoteRef/>
      </w:r>
      <w:r>
        <w:t xml:space="preserve"> Capacity r</w:t>
      </w:r>
      <w:r w:rsidRPr="00BE41A4">
        <w:rPr>
          <w:szCs w:val="18"/>
        </w:rPr>
        <w:t>etirements to date</w:t>
      </w:r>
      <w:r>
        <w:rPr>
          <w:szCs w:val="18"/>
        </w:rPr>
        <w:t xml:space="preserve"> and future retirements</w:t>
      </w:r>
      <w:r w:rsidRPr="00BE41A4">
        <w:rPr>
          <w:szCs w:val="18"/>
        </w:rPr>
        <w:t xml:space="preserve"> include </w:t>
      </w:r>
      <w:r w:rsidRPr="0018426A">
        <w:rPr>
          <w:bCs/>
          <w:szCs w:val="18"/>
        </w:rPr>
        <w:t xml:space="preserve">Salem Harbor Station (749 MW); Vermont Yankee (604 MW); Norwalk Harbor Station (342 MW); Brayton Point Station (1,535 MW); Mount Tom Station (143 MW); Pilgrim Nuclear Power </w:t>
      </w:r>
      <w:r w:rsidRPr="00F20909">
        <w:rPr>
          <w:bCs/>
          <w:szCs w:val="18"/>
        </w:rPr>
        <w:t>Station (677 MW); Bridgeport Harbor 3 (383 MW); Mystic 7 (575 MW); Mystic Jet (9 MW); Pawtucket Power (54 MW) and over 1,200 MW of demand-response resources.</w:t>
      </w:r>
      <w:r>
        <w:rPr>
          <w:bCs/>
          <w:szCs w:val="18"/>
        </w:rPr>
        <w:t xml:space="preserve"> </w:t>
      </w:r>
    </w:p>
  </w:footnote>
  <w:footnote w:id="114">
    <w:p w14:paraId="53CED0D1" w14:textId="264EC60C" w:rsidR="00E231DA" w:rsidRPr="00E85649" w:rsidRDefault="00E231DA" w:rsidP="004C7089">
      <w:pPr>
        <w:pStyle w:val="FootnoteText"/>
        <w:rPr>
          <w:szCs w:val="18"/>
        </w:rPr>
      </w:pPr>
      <w:r w:rsidRPr="00F614B3">
        <w:footnoteRef/>
      </w:r>
      <w:r w:rsidRPr="00F614B3">
        <w:t xml:space="preserve"> ISO New England,</w:t>
      </w:r>
      <w:r w:rsidRPr="00E85649">
        <w:rPr>
          <w:szCs w:val="18"/>
        </w:rPr>
        <w:t xml:space="preserve"> </w:t>
      </w:r>
      <w:r w:rsidRPr="00F614B3">
        <w:t xml:space="preserve">Forward Capacity Auction 14 </w:t>
      </w:r>
      <w:r w:rsidRPr="00F614B3">
        <w:rPr>
          <w:szCs w:val="18"/>
        </w:rPr>
        <w:t>Transmission Transfer Capabilities and Capacity Zone Development</w:t>
      </w:r>
      <w:r w:rsidRPr="00F614B3">
        <w:t xml:space="preserve">, presentation (March 20, 2019), </w:t>
      </w:r>
      <w:hyperlink r:id="rId101" w:history="1">
        <w:r w:rsidRPr="00F614B3">
          <w:rPr>
            <w:color w:val="0000FF"/>
            <w:szCs w:val="18"/>
            <w:u w:val="single"/>
          </w:rPr>
          <w:t>https://www.iso-ne.com/static-assets/documents/2019/03/a7_fca_14_transmission_transfer_capabilities_and_capacity_zone_development.pdf</w:t>
        </w:r>
      </w:hyperlink>
      <w:r w:rsidRPr="00E85649">
        <w:rPr>
          <w:szCs w:val="18"/>
        </w:rPr>
        <w:t>.</w:t>
      </w:r>
    </w:p>
  </w:footnote>
  <w:footnote w:id="115">
    <w:p w14:paraId="402DB8B1" w14:textId="5E97FE50" w:rsidR="00E231DA" w:rsidRPr="008005BC" w:rsidRDefault="00E231DA" w:rsidP="004C7089">
      <w:pPr>
        <w:pStyle w:val="FoonoteText"/>
        <w:spacing w:after="80" w:line="240" w:lineRule="auto"/>
        <w:rPr>
          <w:sz w:val="18"/>
          <w:szCs w:val="18"/>
        </w:rPr>
      </w:pPr>
      <w:r w:rsidRPr="0082639A">
        <w:rPr>
          <w:rStyle w:val="FootnoteReference"/>
          <w:sz w:val="18"/>
          <w:szCs w:val="18"/>
        </w:rPr>
        <w:footnoteRef/>
      </w:r>
      <w:r w:rsidRPr="0082639A">
        <w:rPr>
          <w:sz w:val="18"/>
          <w:szCs w:val="18"/>
        </w:rPr>
        <w:t xml:space="preserve"> A </w:t>
      </w:r>
      <w:r w:rsidRPr="0082639A">
        <w:rPr>
          <w:i/>
          <w:sz w:val="18"/>
          <w:szCs w:val="18"/>
        </w:rPr>
        <w:t xml:space="preserve">loss-of-load expectation analysis </w:t>
      </w:r>
      <w:r w:rsidRPr="0082639A">
        <w:rPr>
          <w:sz w:val="18"/>
          <w:szCs w:val="18"/>
        </w:rPr>
        <w:t>is a</w:t>
      </w:r>
      <w:r w:rsidRPr="00AB0771">
        <w:rPr>
          <w:sz w:val="18"/>
          <w:szCs w:val="18"/>
        </w:rPr>
        <w:t xml:space="preserve"> probabilistic analysis used to identify the amount of installed capacity (in </w:t>
      </w:r>
      <w:r>
        <w:rPr>
          <w:sz w:val="18"/>
          <w:szCs w:val="18"/>
        </w:rPr>
        <w:t>megawatts</w:t>
      </w:r>
      <w:r w:rsidRPr="00AB0771">
        <w:rPr>
          <w:sz w:val="18"/>
          <w:szCs w:val="18"/>
        </w:rPr>
        <w:t>) the bulk electric power system needs to meet the N</w:t>
      </w:r>
      <w:r>
        <w:rPr>
          <w:sz w:val="18"/>
          <w:szCs w:val="18"/>
        </w:rPr>
        <w:t>PCC</w:t>
      </w:r>
      <w:r w:rsidRPr="00AB0771">
        <w:rPr>
          <w:sz w:val="18"/>
          <w:szCs w:val="18"/>
        </w:rPr>
        <w:t xml:space="preserve"> and ISO resource adequacy planning criterion to not disconnect firm load more than one t</w:t>
      </w:r>
      <w:r w:rsidRPr="00CA3468">
        <w:rPr>
          <w:sz w:val="18"/>
          <w:szCs w:val="18"/>
        </w:rPr>
        <w:t xml:space="preserve">ime in 10 years. ISO New England, Operating Procedure No. 4, </w:t>
      </w:r>
      <w:r w:rsidRPr="00BF52D9">
        <w:rPr>
          <w:i/>
          <w:sz w:val="18"/>
          <w:szCs w:val="18"/>
        </w:rPr>
        <w:t>Action during a Capacity Deficiency</w:t>
      </w:r>
      <w:r w:rsidRPr="00AB0771">
        <w:rPr>
          <w:sz w:val="18"/>
          <w:szCs w:val="18"/>
        </w:rPr>
        <w:t xml:space="preserve"> (May 7, 2019), </w:t>
      </w:r>
      <w:hyperlink w:history="1"/>
      <w:hyperlink r:id="rId102" w:history="1">
        <w:r w:rsidRPr="00AB0771">
          <w:rPr>
            <w:rStyle w:val="Hyperlink"/>
            <w:color w:val="auto"/>
            <w:sz w:val="18"/>
            <w:szCs w:val="18"/>
          </w:rPr>
          <w:t>http://www.iso-ne.com/participate/rules-procedures/operating-procedures</w:t>
        </w:r>
      </w:hyperlink>
      <w:r w:rsidRPr="00AB0771">
        <w:rPr>
          <w:sz w:val="18"/>
          <w:szCs w:val="18"/>
        </w:rPr>
        <w:t>.</w:t>
      </w:r>
      <w:r w:rsidRPr="008005BC">
        <w:rPr>
          <w:sz w:val="18"/>
          <w:szCs w:val="18"/>
        </w:rPr>
        <w:t xml:space="preserve"> </w:t>
      </w:r>
    </w:p>
  </w:footnote>
  <w:footnote w:id="116">
    <w:p w14:paraId="3513452E" w14:textId="77777777" w:rsidR="00E231DA" w:rsidRPr="001D56FF" w:rsidRDefault="00E231DA" w:rsidP="004C7089">
      <w:pPr>
        <w:pStyle w:val="FoonoteText"/>
        <w:spacing w:after="80" w:line="240" w:lineRule="auto"/>
        <w:rPr>
          <w:sz w:val="18"/>
          <w:szCs w:val="18"/>
        </w:rPr>
      </w:pPr>
      <w:r w:rsidRPr="001D56FF">
        <w:rPr>
          <w:rStyle w:val="FootnoteReference"/>
          <w:sz w:val="18"/>
          <w:szCs w:val="18"/>
        </w:rPr>
        <w:footnoteRef/>
      </w:r>
      <w:r w:rsidRPr="001D56FF">
        <w:rPr>
          <w:sz w:val="18"/>
          <w:szCs w:val="18"/>
        </w:rPr>
        <w:t xml:space="preserve"> ISO New England, </w:t>
      </w:r>
      <w:hyperlink w:history="1"/>
      <w:r w:rsidRPr="001D56FF">
        <w:rPr>
          <w:sz w:val="18"/>
          <w:szCs w:val="18"/>
        </w:rPr>
        <w:t xml:space="preserve">Operating Procedure No. 7, </w:t>
      </w:r>
      <w:r w:rsidRPr="001D56FF">
        <w:rPr>
          <w:i/>
          <w:sz w:val="18"/>
          <w:szCs w:val="18"/>
        </w:rPr>
        <w:t>Action in an Emergency</w:t>
      </w:r>
      <w:r w:rsidRPr="001D56FF">
        <w:rPr>
          <w:sz w:val="18"/>
          <w:szCs w:val="18"/>
        </w:rPr>
        <w:t xml:space="preserve"> (January 1, 2019), </w:t>
      </w:r>
      <w:hyperlink w:history="1"/>
      <w:hyperlink r:id="rId103" w:history="1">
        <w:r w:rsidRPr="001D56FF">
          <w:rPr>
            <w:rStyle w:val="Hyperlink"/>
            <w:color w:val="auto"/>
            <w:sz w:val="18"/>
            <w:szCs w:val="18"/>
          </w:rPr>
          <w:t>http://www.iso-ne.com/participate/rules-procedures/operating-procedures</w:t>
        </w:r>
      </w:hyperlink>
      <w:r w:rsidRPr="001D56FF">
        <w:rPr>
          <w:sz w:val="18"/>
          <w:szCs w:val="18"/>
        </w:rPr>
        <w:t>.</w:t>
      </w:r>
    </w:p>
  </w:footnote>
  <w:footnote w:id="117">
    <w:p w14:paraId="3F51B83F" w14:textId="0605BE53" w:rsidR="00E231DA" w:rsidRPr="00490424" w:rsidRDefault="00E231DA" w:rsidP="004C7089">
      <w:pPr>
        <w:pStyle w:val="FoonoteText"/>
        <w:spacing w:after="80" w:line="240" w:lineRule="auto"/>
        <w:rPr>
          <w:sz w:val="18"/>
          <w:szCs w:val="18"/>
        </w:rPr>
      </w:pPr>
      <w:r w:rsidRPr="00490424">
        <w:rPr>
          <w:rStyle w:val="FootnoteReference"/>
          <w:sz w:val="18"/>
          <w:szCs w:val="18"/>
        </w:rPr>
        <w:footnoteRef/>
      </w:r>
      <w:r w:rsidRPr="00490424">
        <w:rPr>
          <w:sz w:val="18"/>
          <w:szCs w:val="18"/>
        </w:rPr>
        <w:t xml:space="preserve"> ISO </w:t>
      </w:r>
      <w:r>
        <w:rPr>
          <w:sz w:val="18"/>
          <w:szCs w:val="18"/>
        </w:rPr>
        <w:t xml:space="preserve">New England, </w:t>
      </w:r>
      <w:r w:rsidRPr="00490424">
        <w:rPr>
          <w:sz w:val="18"/>
          <w:szCs w:val="18"/>
        </w:rPr>
        <w:t xml:space="preserve">Operating Procedure No. 8, </w:t>
      </w:r>
      <w:r w:rsidRPr="00490424">
        <w:rPr>
          <w:i/>
          <w:sz w:val="18"/>
          <w:szCs w:val="18"/>
        </w:rPr>
        <w:t>Operating Reserve and Regulation</w:t>
      </w:r>
      <w:r w:rsidRPr="00490424">
        <w:rPr>
          <w:sz w:val="18"/>
          <w:szCs w:val="18"/>
        </w:rPr>
        <w:t xml:space="preserve"> (</w:t>
      </w:r>
      <w:r>
        <w:rPr>
          <w:sz w:val="18"/>
          <w:szCs w:val="18"/>
        </w:rPr>
        <w:t>August 2, 2019</w:t>
      </w:r>
      <w:r w:rsidRPr="00490424">
        <w:rPr>
          <w:sz w:val="18"/>
          <w:szCs w:val="18"/>
        </w:rPr>
        <w:t xml:space="preserve">), </w:t>
      </w:r>
      <w:hyperlink r:id="rId104" w:history="1">
        <w:r w:rsidRPr="00490424">
          <w:rPr>
            <w:rStyle w:val="Hyperlink"/>
            <w:sz w:val="18"/>
            <w:szCs w:val="18"/>
          </w:rPr>
          <w:t>https://www.iso-ne.com/static-assets/documents/rules_proceds/operating/isone/op8/op8_rto_final.pdf</w:t>
        </w:r>
      </w:hyperlink>
      <w:r w:rsidRPr="00490424">
        <w:rPr>
          <w:sz w:val="18"/>
          <w:szCs w:val="18"/>
        </w:rPr>
        <w:t>.</w:t>
      </w:r>
    </w:p>
  </w:footnote>
  <w:footnote w:id="118">
    <w:p w14:paraId="3D162E1E" w14:textId="7D60C921" w:rsidR="00E231DA" w:rsidRDefault="00E231DA">
      <w:pPr>
        <w:pStyle w:val="FootnoteText"/>
      </w:pPr>
      <w:r>
        <w:rPr>
          <w:rStyle w:val="FootnoteReference"/>
        </w:rPr>
        <w:footnoteRef/>
      </w:r>
      <w:r>
        <w:t xml:space="preserve"> </w:t>
      </w:r>
      <w:r w:rsidRPr="00041505">
        <w:t xml:space="preserve">The Hydro-Québec Phase II interconnection is a </w:t>
      </w:r>
      <w:r>
        <w:t>direct current (</w:t>
      </w:r>
      <w:r w:rsidRPr="009455FF">
        <w:t>DC</w:t>
      </w:r>
      <w:r>
        <w:t>)</w:t>
      </w:r>
      <w:r w:rsidRPr="00041505">
        <w:t xml:space="preserve"> tie with equipment ratings of 2,000 MW. Because of the need to protect for the loss of this line at the full import level in the PJM and NY systems, ISO New England has assumed its transfer capability to be 1,400 MW for calculating capacity and reliability. This assumption is based on the results of loss-of-source analyses conducted by PJM and NY. The procedure and daily limits are shown at the ISO’s “Operations Report: Single-Source Contingency,” webpage (2019), </w:t>
      </w:r>
      <w:hyperlink r:id="rId105" w:history="1">
        <w:r w:rsidRPr="00E85649">
          <w:rPr>
            <w:rStyle w:val="Hyperlink"/>
          </w:rPr>
          <w:t>http://www.iso-ne.com/isoexpress/web/reports/operations/-/tree/single-src-cont</w:t>
        </w:r>
      </w:hyperlink>
      <w:r w:rsidRPr="00041505">
        <w:t>.</w:t>
      </w:r>
    </w:p>
  </w:footnote>
  <w:footnote w:id="119">
    <w:p w14:paraId="16F3F796" w14:textId="77777777" w:rsidR="00E231DA" w:rsidRPr="00D87A2A" w:rsidRDefault="00E231DA" w:rsidP="004C7089">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ISO </w:t>
      </w:r>
      <w:r>
        <w:rPr>
          <w:sz w:val="18"/>
          <w:szCs w:val="18"/>
        </w:rPr>
        <w:t xml:space="preserve">New England, </w:t>
      </w:r>
      <w:r w:rsidRPr="00D87A2A">
        <w:rPr>
          <w:sz w:val="18"/>
          <w:szCs w:val="18"/>
        </w:rPr>
        <w:t xml:space="preserve">Operating Procedure No. 19, </w:t>
      </w:r>
      <w:r w:rsidRPr="00D87A2A">
        <w:rPr>
          <w:i/>
          <w:sz w:val="18"/>
          <w:szCs w:val="18"/>
        </w:rPr>
        <w:t>Transmission Operations</w:t>
      </w:r>
      <w:r w:rsidRPr="00D87A2A">
        <w:rPr>
          <w:sz w:val="18"/>
          <w:szCs w:val="18"/>
        </w:rPr>
        <w:t xml:space="preserve"> (</w:t>
      </w:r>
      <w:r>
        <w:rPr>
          <w:sz w:val="18"/>
          <w:szCs w:val="18"/>
        </w:rPr>
        <w:t>February 1, 2019</w:t>
      </w:r>
      <w:r w:rsidRPr="00D87A2A">
        <w:rPr>
          <w:sz w:val="18"/>
          <w:szCs w:val="18"/>
        </w:rPr>
        <w:t xml:space="preserve">), </w:t>
      </w:r>
      <w:hyperlink r:id="rId106" w:history="1">
        <w:r w:rsidRPr="00D87A2A">
          <w:rPr>
            <w:rStyle w:val="Hyperlink"/>
            <w:color w:val="auto"/>
            <w:sz w:val="18"/>
            <w:szCs w:val="18"/>
          </w:rPr>
          <w:t>http://www.iso-ne.com/rules_proceds/operating/isone/op19/op19_rto_final.pdf</w:t>
        </w:r>
      </w:hyperlink>
      <w:r w:rsidRPr="00D87A2A">
        <w:rPr>
          <w:sz w:val="18"/>
          <w:szCs w:val="18"/>
        </w:rPr>
        <w:t>.</w:t>
      </w:r>
    </w:p>
  </w:footnote>
  <w:footnote w:id="120">
    <w:p w14:paraId="286E024C" w14:textId="77777777" w:rsidR="00E231DA" w:rsidRPr="00D87A2A" w:rsidRDefault="00E231DA" w:rsidP="004C7089">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are based on expected future operating conditions, annual market requirements are based on historical data that reflect the actual previous seasonal system conditions, as adjusted for transmission topology changes and resource retirements and additions. </w:t>
      </w:r>
      <w:r>
        <w:rPr>
          <w:sz w:val="18"/>
          <w:szCs w:val="18"/>
        </w:rPr>
        <w:t xml:space="preserve">The </w:t>
      </w:r>
      <w:r w:rsidRPr="00D87A2A">
        <w:rPr>
          <w:sz w:val="18"/>
          <w:szCs w:val="18"/>
        </w:rPr>
        <w:t xml:space="preserve">ISO </w:t>
      </w:r>
      <w:r>
        <w:rPr>
          <w:sz w:val="18"/>
          <w:szCs w:val="18"/>
        </w:rPr>
        <w:t xml:space="preserve">calculates </w:t>
      </w:r>
      <w:r w:rsidRPr="00D87A2A">
        <w:rPr>
          <w:sz w:val="18"/>
          <w:szCs w:val="18"/>
        </w:rPr>
        <w:t>market requirements immediately before each locational FRM procurement period.</w:t>
      </w:r>
    </w:p>
  </w:footnote>
  <w:footnote w:id="121">
    <w:p w14:paraId="1F5AD80E" w14:textId="77777777" w:rsidR="00E231DA" w:rsidRDefault="00E231DA" w:rsidP="004C7089">
      <w:pPr>
        <w:pStyle w:val="FootnoteText"/>
      </w:pPr>
      <w:r w:rsidRPr="00BE5939">
        <w:rPr>
          <w:rStyle w:val="FootnoteReference"/>
        </w:rPr>
        <w:footnoteRef/>
      </w:r>
      <w:r w:rsidRPr="00BE5939">
        <w:t xml:space="preserve"> </w:t>
      </w:r>
      <w:r>
        <w:t xml:space="preserve">ISO New England, </w:t>
      </w:r>
      <w:r w:rsidRPr="00EE02DA">
        <w:rPr>
          <w:i/>
        </w:rPr>
        <w:t xml:space="preserve">Forward Capacity Auction 14 Transmission Transfer Capabilities and Capacity Zone Development, </w:t>
      </w:r>
      <w:r w:rsidRPr="00735D24">
        <w:t xml:space="preserve">presentation </w:t>
      </w:r>
      <w:r>
        <w:t xml:space="preserve">(March 21, 2019), </w:t>
      </w:r>
      <w:hyperlink r:id="rId107" w:history="1">
        <w:r>
          <w:rPr>
            <w:rStyle w:val="Hyperlink"/>
          </w:rPr>
          <w:t>https://www.iso-ne.com/static-assets/documents/2019/03/a8_fca14_transmission_transfer_capabilities_and_capacity_zone_development.pdf</w:t>
        </w:r>
      </w:hyperlink>
      <w:r>
        <w:rPr>
          <w:rStyle w:val="Hyperlink"/>
        </w:rPr>
        <w:t>.</w:t>
      </w:r>
      <w:hyperlink w:history="1"/>
    </w:p>
  </w:footnote>
  <w:footnote w:id="122">
    <w:p w14:paraId="7B1F5EA2" w14:textId="77777777" w:rsidR="00E231DA" w:rsidRPr="00D87A2A" w:rsidRDefault="00E231DA"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sidRPr="004C4E03">
        <w:rPr>
          <w:i/>
          <w:sz w:val="18"/>
          <w:szCs w:val="18"/>
        </w:rPr>
        <w:t>Market Rule 1</w:t>
      </w:r>
      <w:r w:rsidRPr="004C4E03">
        <w:rPr>
          <w:sz w:val="18"/>
          <w:szCs w:val="18"/>
        </w:rPr>
        <w:t>, Standard Market Design (ISO tariff, Section III) (</w:t>
      </w:r>
      <w:r>
        <w:rPr>
          <w:sz w:val="18"/>
          <w:szCs w:val="18"/>
        </w:rPr>
        <w:t>2019</w:t>
      </w:r>
      <w:r w:rsidRPr="004C4E03">
        <w:rPr>
          <w:sz w:val="18"/>
          <w:szCs w:val="18"/>
        </w:rPr>
        <w:t xml:space="preserve">), defines the types of reserves that can meet these requirements; </w:t>
      </w:r>
      <w:hyperlink r:id="rId108" w:history="1">
        <w:r w:rsidRPr="004C4E03">
          <w:rPr>
            <w:rStyle w:val="Hyperlink"/>
            <w:color w:val="auto"/>
            <w:sz w:val="18"/>
            <w:szCs w:val="18"/>
          </w:rPr>
          <w:t>http://www.iso-ne.com/regulatory/tariff/sect_3/index.html</w:t>
        </w:r>
      </w:hyperlink>
      <w:r w:rsidRPr="004C4E03">
        <w:rPr>
          <w:sz w:val="18"/>
          <w:szCs w:val="18"/>
        </w:rPr>
        <w:t>.</w:t>
      </w:r>
    </w:p>
  </w:footnote>
  <w:footnote w:id="123">
    <w:p w14:paraId="7D7E6CFA" w14:textId="77777777" w:rsidR="00E231DA" w:rsidRPr="00805C72" w:rsidRDefault="00E231DA" w:rsidP="00805C72">
      <w:pPr>
        <w:pStyle w:val="FootnoteText"/>
      </w:pPr>
      <w:r w:rsidRPr="00B968A2">
        <w:rPr>
          <w:rStyle w:val="FootnoteReference"/>
        </w:rPr>
        <w:footnoteRef/>
      </w:r>
      <w:r w:rsidRPr="00B968A2">
        <w:t xml:space="preserve"> </w:t>
      </w:r>
      <w:r w:rsidRPr="00B968A2">
        <w:rPr>
          <w:i/>
        </w:rPr>
        <w:t>Cutout</w:t>
      </w:r>
      <w:r w:rsidRPr="00B968A2">
        <w:t xml:space="preserve"> is when wind units must reduce to 0 MW during very high wind conditions to protect the physical integrity of the wind generating unit</w:t>
      </w:r>
      <w:r w:rsidRPr="00E071FE">
        <w:t xml:space="preserve"> and prevent damage to its blades or other components.</w:t>
      </w:r>
    </w:p>
  </w:footnote>
  <w:footnote w:id="124">
    <w:p w14:paraId="7627A409" w14:textId="77777777" w:rsidR="00E231DA" w:rsidRPr="00F33E18" w:rsidRDefault="00E231DA" w:rsidP="004C7089">
      <w:pPr>
        <w:spacing w:after="80" w:line="240" w:lineRule="auto"/>
        <w:rPr>
          <w:sz w:val="18"/>
          <w:szCs w:val="18"/>
        </w:rPr>
      </w:pPr>
      <w:r w:rsidRPr="00F33E18">
        <w:rPr>
          <w:rStyle w:val="FootnoteReference"/>
          <w:sz w:val="18"/>
          <w:szCs w:val="18"/>
        </w:rPr>
        <w:footnoteRef/>
      </w:r>
      <w:r w:rsidRPr="00F33E18">
        <w:rPr>
          <w:sz w:val="18"/>
          <w:szCs w:val="18"/>
        </w:rPr>
        <w:t xml:space="preserve"> The ISO provides monthly updates on the status of active generation interconnection requests,</w:t>
      </w:r>
      <w:r w:rsidRPr="00F33E18">
        <w:rPr>
          <w:i/>
          <w:sz w:val="18"/>
          <w:szCs w:val="18"/>
        </w:rPr>
        <w:t xml:space="preserve"> NEPOOL Participant Committee COO Report for Monthly Updates </w:t>
      </w:r>
      <w:r>
        <w:rPr>
          <w:sz w:val="18"/>
          <w:szCs w:val="18"/>
        </w:rPr>
        <w:t>(Monthly COO Report). For example, s</w:t>
      </w:r>
      <w:r w:rsidRPr="00F33E18">
        <w:rPr>
          <w:sz w:val="18"/>
          <w:szCs w:val="18"/>
        </w:rPr>
        <w:t>ee the April 201</w:t>
      </w:r>
      <w:r>
        <w:rPr>
          <w:sz w:val="18"/>
          <w:szCs w:val="18"/>
        </w:rPr>
        <w:t>9</w:t>
      </w:r>
      <w:r w:rsidRPr="00F33E18">
        <w:rPr>
          <w:sz w:val="18"/>
          <w:szCs w:val="18"/>
        </w:rPr>
        <w:t xml:space="preserve"> monthly COO </w:t>
      </w:r>
      <w:r w:rsidRPr="004C4E03">
        <w:rPr>
          <w:sz w:val="18"/>
          <w:szCs w:val="18"/>
        </w:rPr>
        <w:t xml:space="preserve">Report </w:t>
      </w:r>
      <w:r>
        <w:rPr>
          <w:sz w:val="18"/>
          <w:szCs w:val="18"/>
        </w:rPr>
        <w:t>at</w:t>
      </w:r>
      <w:r w:rsidRPr="00010CCA">
        <w:t xml:space="preserve"> </w:t>
      </w:r>
      <w:hyperlink r:id="rId109" w:history="1">
        <w:r w:rsidRPr="001C5DC7">
          <w:rPr>
            <w:rStyle w:val="Hyperlink"/>
            <w:sz w:val="18"/>
            <w:szCs w:val="18"/>
          </w:rPr>
          <w:t>https://www.iso-ne.com/static-assets/documents/2019/04/april-2019-coo-report.pdf</w:t>
        </w:r>
      </w:hyperlink>
      <w:r>
        <w:rPr>
          <w:sz w:val="18"/>
          <w:szCs w:val="18"/>
        </w:rPr>
        <w:t>.</w:t>
      </w:r>
    </w:p>
  </w:footnote>
  <w:footnote w:id="125">
    <w:p w14:paraId="69CCD8CA" w14:textId="77777777" w:rsidR="00E231DA" w:rsidRPr="00F33E18" w:rsidRDefault="00E231DA" w:rsidP="004C7089">
      <w:pPr>
        <w:pStyle w:val="FoonoteText"/>
        <w:spacing w:after="80" w:line="240" w:lineRule="auto"/>
        <w:rPr>
          <w:sz w:val="18"/>
          <w:szCs w:val="18"/>
        </w:rPr>
      </w:pPr>
      <w:r w:rsidRPr="004C4E03">
        <w:rPr>
          <w:rStyle w:val="FootnoteReference"/>
          <w:sz w:val="18"/>
          <w:szCs w:val="18"/>
        </w:rPr>
        <w:footnoteRef/>
      </w:r>
      <w:r w:rsidRPr="004C4E03">
        <w:rPr>
          <w:sz w:val="18"/>
          <w:szCs w:val="18"/>
        </w:rPr>
        <w:t xml:space="preserve"> </w:t>
      </w:r>
      <w:r>
        <w:rPr>
          <w:rStyle w:val="Hyperlink"/>
          <w:sz w:val="18"/>
          <w:szCs w:val="18"/>
        </w:rPr>
        <w:t>I</w:t>
      </w:r>
      <w:r w:rsidRPr="004C4E03">
        <w:rPr>
          <w:sz w:val="18"/>
          <w:szCs w:val="18"/>
        </w:rPr>
        <w:t>nformation on the queue is available at</w:t>
      </w:r>
      <w:r>
        <w:rPr>
          <w:sz w:val="18"/>
          <w:szCs w:val="18"/>
        </w:rPr>
        <w:t xml:space="preserve"> the ISO’s “Interconnection Request Queue,” webpage (2019), </w:t>
      </w:r>
      <w:hyperlink r:id="rId110" w:history="1">
        <w:r w:rsidRPr="004C4E03">
          <w:rPr>
            <w:rStyle w:val="Hyperlink"/>
            <w:sz w:val="18"/>
            <w:szCs w:val="18"/>
          </w:rPr>
          <w:t>http://www.iso-ne.com/system-planning/transmission-planning/interconnection-request-queue</w:t>
        </w:r>
      </w:hyperlink>
      <w:r w:rsidRPr="004C4E03">
        <w:rPr>
          <w:sz w:val="18"/>
          <w:szCs w:val="18"/>
        </w:rPr>
        <w:t xml:space="preserve">. The projects proposed but </w:t>
      </w:r>
      <w:r>
        <w:rPr>
          <w:sz w:val="18"/>
          <w:szCs w:val="18"/>
        </w:rPr>
        <w:t>withdrawn from the queue most often</w:t>
      </w:r>
      <w:r w:rsidRPr="004C4E03">
        <w:rPr>
          <w:sz w:val="18"/>
          <w:szCs w:val="18"/>
        </w:rPr>
        <w:t xml:space="preserve"> faced</w:t>
      </w:r>
      <w:r w:rsidRPr="00F33E18">
        <w:rPr>
          <w:sz w:val="18"/>
          <w:szCs w:val="18"/>
        </w:rPr>
        <w:t xml:space="preserve"> problems associated with financing, licensing, </w:t>
      </w:r>
      <w:r>
        <w:rPr>
          <w:sz w:val="18"/>
          <w:szCs w:val="18"/>
        </w:rPr>
        <w:t xml:space="preserve">or </w:t>
      </w:r>
      <w:r w:rsidRPr="00F33E18">
        <w:rPr>
          <w:sz w:val="18"/>
          <w:szCs w:val="18"/>
        </w:rPr>
        <w:t>insufficient market incentives</w:t>
      </w:r>
      <w:r>
        <w:rPr>
          <w:sz w:val="18"/>
          <w:szCs w:val="18"/>
        </w:rPr>
        <w:t xml:space="preserve">. </w:t>
      </w:r>
    </w:p>
  </w:footnote>
  <w:footnote w:id="126">
    <w:p w14:paraId="72A5B065" w14:textId="77777777" w:rsidR="00E231DA" w:rsidRDefault="00E231DA" w:rsidP="004C7089">
      <w:pPr>
        <w:pStyle w:val="FootnoteText"/>
      </w:pPr>
      <w:r>
        <w:rPr>
          <w:rStyle w:val="FootnoteReference"/>
        </w:rPr>
        <w:footnoteRef/>
      </w:r>
      <w:r>
        <w:t xml:space="preserve"> ISO New England, “Interconnection Requests that Are Being Considered in the Maine Resource </w:t>
      </w:r>
      <w:r w:rsidRPr="00DF16D2">
        <w:t>Integration Study</w:t>
      </w:r>
      <w:r w:rsidRPr="00CA0EA9">
        <w:t>,</w:t>
      </w:r>
      <w:r>
        <w:t>”</w:t>
      </w:r>
      <w:r w:rsidRPr="00CA0EA9">
        <w:t xml:space="preserve"> PAC memorandum</w:t>
      </w:r>
      <w:r>
        <w:t xml:space="preserve"> (January 23, 2017),</w:t>
      </w:r>
      <w:r w:rsidRPr="00CA0EA9">
        <w:t xml:space="preserve"> </w:t>
      </w:r>
      <w:hyperlink r:id="rId111" w:history="1">
        <w:r w:rsidRPr="00CA0EA9">
          <w:rPr>
            <w:rStyle w:val="Hyperlink"/>
          </w:rPr>
          <w:t>https://www.iso-ne.com/static-assets/documents/2017/01/2017_01_23_memo_pac_mri.pdf</w:t>
        </w:r>
      </w:hyperlink>
      <w:r>
        <w:t>.</w:t>
      </w:r>
    </w:p>
  </w:footnote>
  <w:footnote w:id="127">
    <w:p w14:paraId="596D0BED" w14:textId="77777777" w:rsidR="00E231DA" w:rsidRDefault="00E231DA" w:rsidP="004C7089">
      <w:pPr>
        <w:pStyle w:val="FootnoteText"/>
      </w:pPr>
      <w:r w:rsidRPr="0019786C">
        <w:rPr>
          <w:rStyle w:val="FootnoteReference"/>
        </w:rPr>
        <w:footnoteRef/>
      </w:r>
      <w:r w:rsidRPr="0019786C">
        <w:t xml:space="preserve"> ISO New England, </w:t>
      </w:r>
      <w:r w:rsidRPr="0019786C">
        <w:rPr>
          <w:i/>
        </w:rPr>
        <w:t>2016/2017 Maine Resource Integration Study</w:t>
      </w:r>
      <w:r w:rsidRPr="0019786C">
        <w:t xml:space="preserve"> (March 12, 2018), </w:t>
      </w:r>
      <w:hyperlink r:id="rId112" w:history="1">
        <w:r w:rsidRPr="0019786C">
          <w:rPr>
            <w:color w:val="000000"/>
          </w:rPr>
          <w:t>https://smd.iso-ne.com/operations-services/ceii/pac/2018/03/final_maine_resource_integration_study_report.pdf</w:t>
        </w:r>
      </w:hyperlink>
      <w:r w:rsidRPr="0019786C">
        <w:t>.</w:t>
      </w:r>
    </w:p>
  </w:footnote>
  <w:footnote w:id="128">
    <w:p w14:paraId="476F590A" w14:textId="77777777" w:rsidR="00E231DA" w:rsidRDefault="00E231DA" w:rsidP="004C7089">
      <w:pPr>
        <w:pStyle w:val="FootnoteText"/>
      </w:pPr>
      <w:r>
        <w:rPr>
          <w:rStyle w:val="FootnoteReference"/>
        </w:rPr>
        <w:footnoteRef/>
      </w:r>
      <w:r>
        <w:t xml:space="preserve"> FERC, </w:t>
      </w:r>
      <w:r w:rsidRPr="002E528F">
        <w:rPr>
          <w:i/>
        </w:rPr>
        <w:t>Order Accepting Tariff Revisions</w:t>
      </w:r>
      <w:r>
        <w:rPr>
          <w:i/>
        </w:rPr>
        <w:t xml:space="preserve"> </w:t>
      </w:r>
      <w:r>
        <w:t xml:space="preserve">(for Interconnection Queue Clustering), Docket No. ER17-2421-000 (October 31, 2017), </w:t>
      </w:r>
      <w:hyperlink r:id="rId113" w:history="1">
        <w:r w:rsidRPr="00C95B78">
          <w:rPr>
            <w:rStyle w:val="Hyperlink"/>
          </w:rPr>
          <w:t>https://www.iso-ne.com/static-assets/documents/2017/11/er17-2421-000_order_accept_interconnection_queue_clustering.pdf</w:t>
        </w:r>
      </w:hyperlink>
      <w:r>
        <w:t xml:space="preserve">. </w:t>
      </w:r>
    </w:p>
  </w:footnote>
  <w:footnote w:id="129">
    <w:p w14:paraId="15B7BB96" w14:textId="0957484E" w:rsidR="00E231DA" w:rsidRPr="00D35FD9" w:rsidRDefault="00E231DA" w:rsidP="00E70725">
      <w:pPr>
        <w:pStyle w:val="FootnoteText"/>
        <w:rPr>
          <w:i/>
        </w:rPr>
      </w:pPr>
      <w:r w:rsidRPr="00C93137">
        <w:rPr>
          <w:rStyle w:val="FootnoteReference"/>
        </w:rPr>
        <w:footnoteRef/>
      </w:r>
      <w:r w:rsidRPr="00C93137">
        <w:t xml:space="preserve"> OATT, Schedule 22, </w:t>
      </w:r>
      <w:r w:rsidRPr="00C93137">
        <w:rPr>
          <w:i/>
        </w:rPr>
        <w:t>Large Generator Interconnection Procedures</w:t>
      </w:r>
      <w:r>
        <w:rPr>
          <w:i/>
        </w:rPr>
        <w:t xml:space="preserve"> </w:t>
      </w:r>
      <w:r>
        <w:t>(January 29, 2019)</w:t>
      </w:r>
      <w:r w:rsidRPr="00C93137">
        <w:t xml:space="preserve">, </w:t>
      </w:r>
      <w:hyperlink r:id="rId114" w:history="1">
        <w:r w:rsidRPr="00C93137">
          <w:rPr>
            <w:rStyle w:val="Hyperlink"/>
          </w:rPr>
          <w:t>https://www.iso-ne.com/static-assets/documents/regulatory/tariff/sect_2/sch22/sch_22_lgip.pdf</w:t>
        </w:r>
      </w:hyperlink>
      <w:r w:rsidRPr="00C93137">
        <w:t xml:space="preserve"> ; Schedule 23, </w:t>
      </w:r>
      <w:r w:rsidRPr="00C93137">
        <w:rPr>
          <w:i/>
        </w:rPr>
        <w:t>Small Generator Interconnection Procedures</w:t>
      </w:r>
      <w:r>
        <w:rPr>
          <w:i/>
        </w:rPr>
        <w:t xml:space="preserve"> </w:t>
      </w:r>
      <w:r>
        <w:t>(January 29, 2019)</w:t>
      </w:r>
      <w:r w:rsidRPr="00C93137">
        <w:t xml:space="preserve">, </w:t>
      </w:r>
      <w:hyperlink r:id="rId115" w:history="1">
        <w:r w:rsidRPr="00E85649">
          <w:rPr>
            <w:rStyle w:val="Hyperlink"/>
          </w:rPr>
          <w:t>https://www.iso-ne.com/static-assets/documents/regulatory/tariff/sect_2/sch22/sch_22_lgip.pdf</w:t>
        </w:r>
      </w:hyperlink>
      <w:r w:rsidRPr="00F614B3">
        <w:t>; and Schedule 25</w:t>
      </w:r>
      <w:r w:rsidRPr="00C93137">
        <w:t xml:space="preserve">, </w:t>
      </w:r>
      <w:r w:rsidRPr="00C93137">
        <w:rPr>
          <w:i/>
        </w:rPr>
        <w:t>Elective Transmission Upgrade Interconnection Procedures</w:t>
      </w:r>
      <w:r>
        <w:rPr>
          <w:i/>
        </w:rPr>
        <w:t xml:space="preserve"> </w:t>
      </w:r>
      <w:r>
        <w:t>(January 29, 2019)</w:t>
      </w:r>
      <w:r w:rsidRPr="00C93137">
        <w:t xml:space="preserve">, </w:t>
      </w:r>
      <w:hyperlink r:id="rId116" w:history="1">
        <w:r w:rsidRPr="00D35FD9">
          <w:rPr>
            <w:rStyle w:val="Hyperlink"/>
          </w:rPr>
          <w:t>https://www.iso-ne.com/static-assets/documents/2015/02/sch_25.pdf</w:t>
        </w:r>
      </w:hyperlink>
      <w:r w:rsidRPr="00D35FD9">
        <w:t>.</w:t>
      </w:r>
    </w:p>
  </w:footnote>
  <w:footnote w:id="130">
    <w:p w14:paraId="44A432FF" w14:textId="77777777" w:rsidR="00E231DA" w:rsidRPr="00D35FD9" w:rsidRDefault="00E231DA">
      <w:pPr>
        <w:pStyle w:val="FootnoteText"/>
      </w:pPr>
      <w:r w:rsidRPr="00D35FD9">
        <w:rPr>
          <w:rStyle w:val="FootnoteReference"/>
        </w:rPr>
        <w:footnoteRef/>
      </w:r>
      <w:r w:rsidRPr="00D35FD9">
        <w:t xml:space="preserve"> </w:t>
      </w:r>
      <w:r w:rsidRPr="00D725C0">
        <w:t xml:space="preserve">HVDC </w:t>
      </w:r>
      <w:r>
        <w:t>devices</w:t>
      </w:r>
      <w:r w:rsidRPr="00D725C0">
        <w:t xml:space="preserve"> use a combination of solid-state switches and computerized automation that enables nearly instantaneous customized control of real or reactive power flows—far faster than traditional electromechanical switches</w:t>
      </w:r>
      <w:r>
        <w:t xml:space="preserve">. </w:t>
      </w:r>
      <w:r w:rsidRPr="00D35FD9">
        <w:t xml:space="preserve">ISO New England, </w:t>
      </w:r>
      <w:r w:rsidRPr="00FF264B">
        <w:rPr>
          <w:i/>
        </w:rPr>
        <w:t>Second Maine Resource Integration Study: Scope</w:t>
      </w:r>
      <w:r w:rsidRPr="00D35FD9">
        <w:t xml:space="preserve">, PAC presentation (September 27, 2018), </w:t>
      </w:r>
      <w:hyperlink r:id="rId117" w:history="1">
        <w:r w:rsidRPr="00D35FD9">
          <w:rPr>
            <w:rStyle w:val="Hyperlink"/>
          </w:rPr>
          <w:t>https://www.iso-ne.com/static-assets/documents/2018/09/a12_second_maine_resource_integration_study_scope_rev1.pdf</w:t>
        </w:r>
      </w:hyperlink>
      <w:r w:rsidRPr="00D35FD9">
        <w:t>.</w:t>
      </w:r>
    </w:p>
  </w:footnote>
  <w:footnote w:id="131">
    <w:p w14:paraId="6A4541BE" w14:textId="5AB7E3AA" w:rsidR="00E231DA" w:rsidRPr="00D35FD9" w:rsidRDefault="00E231DA">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final rule, Docket No. RM17-8-000; Order</w:t>
      </w:r>
      <w:r>
        <w:t> </w:t>
      </w:r>
      <w:r w:rsidRPr="00D35FD9">
        <w:t>No. 845</w:t>
      </w:r>
      <w:r w:rsidRPr="00D35FD9">
        <w:rPr>
          <w:i/>
        </w:rPr>
        <w:t xml:space="preserve"> </w:t>
      </w:r>
      <w:r w:rsidRPr="00D35FD9">
        <w:t xml:space="preserve">(April 19, 2018), </w:t>
      </w:r>
      <w:hyperlink r:id="rId118" w:history="1">
        <w:r w:rsidRPr="00D35FD9">
          <w:rPr>
            <w:rStyle w:val="Hyperlink"/>
          </w:rPr>
          <w:t>https://www.iso-ne.com/static-assets/documents/2018/04/a03_tc_2018_04_24_order_845.pdf</w:t>
        </w:r>
      </w:hyperlink>
      <w:r w:rsidRPr="00D35FD9">
        <w:t xml:space="preserve"> or </w:t>
      </w:r>
      <w:hyperlink r:id="rId119" w:history="1">
        <w:r w:rsidRPr="00D35FD9">
          <w:rPr>
            <w:rStyle w:val="Hyperlink"/>
          </w:rPr>
          <w:t>https://www.ferc.gov/whats-new/comm-meet/2018/041918/E-2.pdf</w:t>
        </w:r>
      </w:hyperlink>
      <w:r w:rsidRPr="00D35FD9">
        <w:t>.</w:t>
      </w:r>
    </w:p>
  </w:footnote>
  <w:footnote w:id="132">
    <w:p w14:paraId="7DF7FF72" w14:textId="77777777" w:rsidR="00E231DA" w:rsidRDefault="00E231DA">
      <w:pPr>
        <w:pStyle w:val="FootnoteText"/>
      </w:pPr>
      <w:r w:rsidRPr="00D35FD9">
        <w:rPr>
          <w:rStyle w:val="FootnoteReference"/>
        </w:rPr>
        <w:footnoteRef/>
      </w:r>
      <w:r w:rsidRPr="00D35FD9">
        <w:t xml:space="preserve"> FERC, </w:t>
      </w:r>
      <w:r w:rsidRPr="00D35FD9">
        <w:rPr>
          <w:i/>
        </w:rPr>
        <w:t>Reform of Generator Interconnection Procedures and Agreements</w:t>
      </w:r>
      <w:r w:rsidRPr="00D35FD9">
        <w:t xml:space="preserve">, order on rehearing and clarification, Docket No. RM17-8-001, Order No. 845-A (February 21, 2019), </w:t>
      </w:r>
      <w:hyperlink r:id="rId120" w:history="1">
        <w:r w:rsidRPr="00D35FD9">
          <w:rPr>
            <w:rStyle w:val="Hyperlink"/>
          </w:rPr>
          <w:t>https://www.ferc.gov/whats-new/comm-meet/2019/022119/E-1.pdf</w:t>
        </w:r>
      </w:hyperlink>
      <w:r w:rsidRPr="00D35FD9">
        <w:t>.</w:t>
      </w:r>
    </w:p>
  </w:footnote>
  <w:footnote w:id="133">
    <w:p w14:paraId="2E0FA80F" w14:textId="77777777" w:rsidR="00E231DA" w:rsidRDefault="00E231DA">
      <w:pPr>
        <w:pStyle w:val="FootnoteText"/>
      </w:pPr>
      <w:r w:rsidRPr="00D35FD9">
        <w:rPr>
          <w:rStyle w:val="FootnoteReference"/>
        </w:rPr>
        <w:footnoteRef/>
      </w:r>
      <w:r w:rsidRPr="00D35FD9">
        <w:t xml:space="preserve"> ISO Ne</w:t>
      </w:r>
      <w:r>
        <w:t>w</w:t>
      </w:r>
      <w:r w:rsidRPr="00D35FD9">
        <w:t xml:space="preserve"> England, </w:t>
      </w:r>
      <w:r w:rsidRPr="00FF264B">
        <w:rPr>
          <w:i/>
        </w:rPr>
        <w:t>Revisions to the Large Generator Interconnection Procedures and Agreement in Schedule 22 of Section II to the ISO New England Inc. Transmission, Markets and Services Tariff in Compliance with FERC Order Nos. 845 and 845-A</w:t>
      </w:r>
      <w:r w:rsidRPr="00D35FD9">
        <w:t>;</w:t>
      </w:r>
      <w:r w:rsidRPr="00FF264B">
        <w:rPr>
          <w:i/>
        </w:rPr>
        <w:t xml:space="preserve"> Docket No. ER19-___-000</w:t>
      </w:r>
      <w:r w:rsidRPr="00D35FD9">
        <w:t xml:space="preserve">, FERC filing (May 22, 2019), </w:t>
      </w:r>
      <w:hyperlink r:id="rId121" w:history="1">
        <w:r w:rsidRPr="00D35FD9">
          <w:rPr>
            <w:rStyle w:val="Hyperlink"/>
          </w:rPr>
          <w:t>https://www.iso-ne.com/static-assets/documents/2019/05/order_845_compliance_filing.pdf</w:t>
        </w:r>
      </w:hyperlink>
      <w:r>
        <w:t>.</w:t>
      </w:r>
    </w:p>
  </w:footnote>
  <w:footnote w:id="134">
    <w:p w14:paraId="29AF13CE" w14:textId="77777777" w:rsidR="00E231DA" w:rsidRPr="00D87A2A" w:rsidRDefault="00E231DA"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F</w:t>
      </w:r>
      <w:r>
        <w:rPr>
          <w:sz w:val="18"/>
          <w:szCs w:val="18"/>
        </w:rPr>
        <w:t>or f</w:t>
      </w:r>
      <w:r w:rsidRPr="00D87A2A">
        <w:rPr>
          <w:sz w:val="18"/>
          <w:szCs w:val="18"/>
        </w:rPr>
        <w:t>urther details about individual transmission projects</w:t>
      </w:r>
      <w:r>
        <w:rPr>
          <w:sz w:val="18"/>
          <w:szCs w:val="18"/>
        </w:rPr>
        <w:t>,</w:t>
      </w:r>
      <w:r w:rsidRPr="00D87A2A">
        <w:rPr>
          <w:sz w:val="18"/>
          <w:szCs w:val="18"/>
        </w:rPr>
        <w:t xml:space="preserve"> </w:t>
      </w:r>
      <w:r>
        <w:rPr>
          <w:sz w:val="18"/>
          <w:szCs w:val="18"/>
        </w:rPr>
        <w:t xml:space="preserve">refer to the latest </w:t>
      </w:r>
      <w:r w:rsidRPr="005C581B">
        <w:rPr>
          <w:i/>
          <w:sz w:val="18"/>
          <w:szCs w:val="18"/>
        </w:rPr>
        <w:t>RSP Project List</w:t>
      </w:r>
      <w:r>
        <w:rPr>
          <w:sz w:val="18"/>
          <w:szCs w:val="18"/>
        </w:rPr>
        <w:t xml:space="preserve"> or </w:t>
      </w:r>
      <w:r w:rsidRPr="00667A44">
        <w:rPr>
          <w:i/>
          <w:sz w:val="18"/>
          <w:szCs w:val="18"/>
        </w:rPr>
        <w:t>Asset Condition List</w:t>
      </w:r>
      <w:r>
        <w:rPr>
          <w:sz w:val="18"/>
          <w:szCs w:val="18"/>
        </w:rPr>
        <w:t xml:space="preserve"> available at </w:t>
      </w:r>
      <w:hyperlink r:id="rId122" w:history="1">
        <w:r w:rsidRPr="00145A98">
          <w:rPr>
            <w:rStyle w:val="Hyperlink"/>
            <w:sz w:val="18"/>
            <w:szCs w:val="18"/>
          </w:rPr>
          <w:t>https://www.iso-ne.com/system-planning/system-plans-studies/rsp</w:t>
        </w:r>
      </w:hyperlink>
      <w:r>
        <w:rPr>
          <w:sz w:val="18"/>
          <w:szCs w:val="18"/>
        </w:rPr>
        <w:t xml:space="preserve">. </w:t>
      </w:r>
    </w:p>
  </w:footnote>
  <w:footnote w:id="135">
    <w:p w14:paraId="3C977CD5" w14:textId="5B42C54E" w:rsidR="00E231DA" w:rsidRPr="00D87A2A" w:rsidRDefault="00E231DA" w:rsidP="00B969ED">
      <w:pPr>
        <w:pStyle w:val="FootnoteText"/>
        <w:rPr>
          <w:szCs w:val="18"/>
        </w:rPr>
      </w:pPr>
      <w:r w:rsidRPr="00D87A2A">
        <w:rPr>
          <w:rStyle w:val="FootnoteReference"/>
          <w:sz w:val="18"/>
          <w:szCs w:val="18"/>
        </w:rPr>
        <w:footnoteRef/>
      </w:r>
      <w:r w:rsidRPr="00D87A2A">
        <w:rPr>
          <w:szCs w:val="18"/>
        </w:rPr>
        <w:t xml:space="preserve"> Past RSPs </w:t>
      </w:r>
      <w:r>
        <w:rPr>
          <w:szCs w:val="18"/>
        </w:rPr>
        <w:t xml:space="preserve">and other </w:t>
      </w:r>
      <w:r w:rsidRPr="00A26F52">
        <w:rPr>
          <w:szCs w:val="18"/>
        </w:rPr>
        <w:t>PAC</w:t>
      </w:r>
      <w:r w:rsidRPr="00D87A2A">
        <w:rPr>
          <w:szCs w:val="18"/>
        </w:rPr>
        <w:t xml:space="preserve"> materials and reports</w:t>
      </w:r>
      <w:r>
        <w:rPr>
          <w:szCs w:val="18"/>
        </w:rPr>
        <w:t xml:space="preserve"> </w:t>
      </w:r>
      <w:r w:rsidRPr="00D87A2A">
        <w:rPr>
          <w:szCs w:val="18"/>
        </w:rPr>
        <w:t xml:space="preserve">are available at </w:t>
      </w:r>
      <w:hyperlink r:id="rId123" w:history="1">
        <w:r w:rsidRPr="00B16211">
          <w:rPr>
            <w:rStyle w:val="Hyperlink"/>
            <w:szCs w:val="18"/>
          </w:rPr>
          <w:t>https://www.iso-ne.com/system-planning/system-plans-studies/rsp</w:t>
        </w:r>
      </w:hyperlink>
      <w:r>
        <w:rPr>
          <w:rStyle w:val="Hyperlink"/>
          <w:szCs w:val="18"/>
        </w:rPr>
        <w:t xml:space="preserve"> and </w:t>
      </w:r>
      <w:hyperlink r:id="rId124" w:history="1">
        <w:r w:rsidRPr="00932112">
          <w:rPr>
            <w:rStyle w:val="Hyperlink"/>
          </w:rPr>
          <w:t>https://www.iso-ne.com/committees/planning/planning-advisory/</w:t>
        </w:r>
      </w:hyperlink>
      <w:r>
        <w:rPr>
          <w:szCs w:val="18"/>
        </w:rPr>
        <w:t>.</w:t>
      </w:r>
    </w:p>
  </w:footnote>
  <w:footnote w:id="136">
    <w:p w14:paraId="1A9CDDA9" w14:textId="77777777" w:rsidR="00E231DA" w:rsidRPr="00D64F3A" w:rsidRDefault="00E231DA" w:rsidP="00B969ED">
      <w:pPr>
        <w:spacing w:after="80" w:line="240" w:lineRule="auto"/>
        <w:rPr>
          <w:sz w:val="18"/>
          <w:szCs w:val="18"/>
        </w:rPr>
      </w:pPr>
      <w:r w:rsidRPr="00D64F3A">
        <w:rPr>
          <w:rStyle w:val="FootnoteReference"/>
          <w:sz w:val="18"/>
          <w:szCs w:val="18"/>
        </w:rPr>
        <w:footnoteRef/>
      </w:r>
      <w:r w:rsidRPr="00D64F3A">
        <w:rPr>
          <w:sz w:val="18"/>
          <w:szCs w:val="18"/>
        </w:rPr>
        <w:t xml:space="preserve"> </w:t>
      </w:r>
      <w:r>
        <w:rPr>
          <w:sz w:val="18"/>
          <w:szCs w:val="18"/>
        </w:rPr>
        <w:t xml:space="preserve">The latest versions of the </w:t>
      </w:r>
      <w:r w:rsidRPr="00D64F3A">
        <w:rPr>
          <w:sz w:val="18"/>
          <w:szCs w:val="18"/>
        </w:rPr>
        <w:t xml:space="preserve">ISO New England, </w:t>
      </w:r>
      <w:r w:rsidRPr="00D64F3A">
        <w:rPr>
          <w:i/>
          <w:sz w:val="18"/>
          <w:szCs w:val="18"/>
        </w:rPr>
        <w:t>Transmission Planning Process Guide</w:t>
      </w:r>
      <w:r w:rsidRPr="00D64F3A">
        <w:rPr>
          <w:sz w:val="18"/>
          <w:szCs w:val="18"/>
        </w:rPr>
        <w:t xml:space="preserve"> and </w:t>
      </w:r>
      <w:r w:rsidRPr="00D64F3A">
        <w:rPr>
          <w:i/>
          <w:sz w:val="18"/>
          <w:szCs w:val="18"/>
        </w:rPr>
        <w:t xml:space="preserve">Transmission Planning Technical </w:t>
      </w:r>
      <w:r w:rsidRPr="00B803CA">
        <w:rPr>
          <w:i/>
          <w:sz w:val="18"/>
          <w:szCs w:val="18"/>
        </w:rPr>
        <w:t>Guide</w:t>
      </w:r>
      <w:r w:rsidRPr="00B803CA">
        <w:rPr>
          <w:sz w:val="18"/>
          <w:szCs w:val="18"/>
        </w:rPr>
        <w:t xml:space="preserve"> are available at</w:t>
      </w:r>
      <w:r w:rsidRPr="00D64F3A">
        <w:rPr>
          <w:sz w:val="18"/>
          <w:szCs w:val="18"/>
        </w:rPr>
        <w:t xml:space="preserve"> </w:t>
      </w:r>
      <w:hyperlink r:id="rId125" w:history="1">
        <w:r>
          <w:rPr>
            <w:rStyle w:val="Hyperlink"/>
            <w:color w:val="auto"/>
            <w:sz w:val="18"/>
            <w:szCs w:val="18"/>
          </w:rPr>
          <w:t>https://www.iso-ne.com/system-planning/transmission-planning/transmission-planning-guides</w:t>
        </w:r>
      </w:hyperlink>
      <w:r w:rsidRPr="00D64F3A">
        <w:rPr>
          <w:i/>
          <w:sz w:val="18"/>
          <w:szCs w:val="18"/>
        </w:rPr>
        <w:t>.</w:t>
      </w:r>
    </w:p>
  </w:footnote>
  <w:footnote w:id="137">
    <w:p w14:paraId="0EF04D8D" w14:textId="77777777" w:rsidR="00E231DA" w:rsidRPr="00D87A2A" w:rsidRDefault="00E231DA" w:rsidP="00B969ED">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One exception is that Aroostook and Washington Counties in Maine </w:t>
      </w:r>
      <w:r>
        <w:rPr>
          <w:sz w:val="18"/>
          <w:szCs w:val="18"/>
        </w:rPr>
        <w:t xml:space="preserve">receive electricity service </w:t>
      </w:r>
      <w:r w:rsidRPr="00D87A2A">
        <w:rPr>
          <w:sz w:val="18"/>
          <w:szCs w:val="18"/>
        </w:rPr>
        <w:t>from New Brunswick.</w:t>
      </w:r>
    </w:p>
  </w:footnote>
  <w:footnote w:id="138">
    <w:p w14:paraId="33DBD3B2" w14:textId="77777777" w:rsidR="00E231DA" w:rsidRDefault="00E231DA" w:rsidP="00B969ED">
      <w:pPr>
        <w:pStyle w:val="FootnoteText"/>
      </w:pPr>
      <w:r w:rsidRPr="00713A01">
        <w:rPr>
          <w:rStyle w:val="FootnoteReference"/>
        </w:rPr>
        <w:footnoteRef/>
      </w:r>
      <w:r w:rsidRPr="00713A01">
        <w:t xml:space="preserve"> Information on </w:t>
      </w:r>
      <w:r>
        <w:t>p</w:t>
      </w:r>
      <w:r w:rsidRPr="00713A01">
        <w:t xml:space="preserve">ublic </w:t>
      </w:r>
      <w:r>
        <w:t>p</w:t>
      </w:r>
      <w:r w:rsidRPr="00713A01">
        <w:t xml:space="preserve">olicy </w:t>
      </w:r>
      <w:r w:rsidRPr="00536920">
        <w:t>t</w:t>
      </w:r>
      <w:r w:rsidRPr="00713A01">
        <w:t xml:space="preserve">ransmission </w:t>
      </w:r>
      <w:r w:rsidRPr="00536920">
        <w:t>u</w:t>
      </w:r>
      <w:r w:rsidRPr="00713A01">
        <w:t xml:space="preserve">pgrades is available at </w:t>
      </w:r>
      <w:hyperlink r:id="rId126" w:history="1">
        <w:r w:rsidRPr="00713A01">
          <w:rPr>
            <w:rStyle w:val="Hyperlink"/>
          </w:rPr>
          <w:t>https://www.iso-ne.com/system-planning/system-plans-studies/public-policy-transmission-upgrades</w:t>
        </w:r>
      </w:hyperlink>
      <w:r>
        <w:rPr>
          <w:rStyle w:val="Hyperlink"/>
        </w:rPr>
        <w:t>.</w:t>
      </w:r>
      <w:r>
        <w:t xml:space="preserve"> </w:t>
      </w:r>
    </w:p>
  </w:footnote>
  <w:footnote w:id="139">
    <w:p w14:paraId="1355135B" w14:textId="273AAAC3" w:rsidR="00E231DA" w:rsidRDefault="00E231DA" w:rsidP="00B969ED">
      <w:pPr>
        <w:pStyle w:val="FootnoteText"/>
      </w:pPr>
      <w:r>
        <w:rPr>
          <w:rStyle w:val="FootnoteReference"/>
        </w:rPr>
        <w:footnoteRef/>
      </w:r>
      <w:r>
        <w:t xml:space="preserve"> For a study at peak load levels, a </w:t>
      </w:r>
      <w:r w:rsidRPr="00097A69">
        <w:rPr>
          <w:i/>
        </w:rPr>
        <w:t>time-sensitive need</w:t>
      </w:r>
      <w:r>
        <w:t xml:space="preserve"> is a reliability-criteria violation that needs to be solved in three years or less of the </w:t>
      </w:r>
      <w:r w:rsidRPr="00713A01">
        <w:t>completion of the relevant needs assessment (</w:t>
      </w:r>
      <w:r>
        <w:t xml:space="preserve">i.e., the </w:t>
      </w:r>
      <w:r w:rsidRPr="00713A01">
        <w:t>posting of the final needs assessment report)</w:t>
      </w:r>
      <w:r>
        <w:t xml:space="preserve">. </w:t>
      </w:r>
      <w:r w:rsidRPr="006553C8">
        <w:t>Any needs identified for a study at off-peak load levels</w:t>
      </w:r>
      <w:r w:rsidRPr="002F579C">
        <w:t xml:space="preserve"> also </w:t>
      </w:r>
      <w:r w:rsidRPr="006553C8">
        <w:t>are considered time</w:t>
      </w:r>
      <w:r>
        <w:t xml:space="preserve"> </w:t>
      </w:r>
      <w:r w:rsidRPr="006553C8">
        <w:t xml:space="preserve">sensitive because the static load level studied </w:t>
      </w:r>
      <w:r w:rsidRPr="002F579C">
        <w:t>can occur</w:t>
      </w:r>
      <w:r w:rsidRPr="006553C8">
        <w:t xml:space="preserve"> under current-day system conditions.</w:t>
      </w:r>
      <w:r w:rsidRPr="002F579C">
        <w:t xml:space="preserve"> </w:t>
      </w:r>
      <w:r w:rsidRPr="006553C8">
        <w:t>More information concerning the time-sensitive needs deter</w:t>
      </w:r>
      <w:r w:rsidRPr="00097A69">
        <w:t xml:space="preserve">mination is available from the January 18, 2018, PAC presentation </w:t>
      </w:r>
      <w:hyperlink r:id="rId127" w:history="1">
        <w:r w:rsidRPr="00097A69">
          <w:rPr>
            <w:rStyle w:val="Hyperlink"/>
          </w:rPr>
          <w:t>https://www.iso-ne.com/static-assets/documents/2018/01/a4_critical_load_level_and_need_by_date_determination_for_steady_state_peak_load_needs.zip</w:t>
        </w:r>
      </w:hyperlink>
      <w:r w:rsidRPr="00097A69">
        <w:t xml:space="preserve">. Developing solutions for time-sensitive needs follows the solutions study process, as detailed in the OATT, Attachment K, Section 4.2. A </w:t>
      </w:r>
      <w:r w:rsidRPr="00097A69">
        <w:rPr>
          <w:i/>
        </w:rPr>
        <w:t>non-time-sensitive need</w:t>
      </w:r>
      <w:r w:rsidRPr="00097A69">
        <w:t xml:space="preserve"> is a criteria violation that can be solved beyond three years from the completion of the relevant needs assessment. T</w:t>
      </w:r>
      <w:r>
        <w:t xml:space="preserve">hese solutions follow the competitive solution process, as detailed in Attachment K, Section 4.3. Because load growth has flattened, as discussed in </w:t>
      </w:r>
      <w:r>
        <w:fldChar w:fldCharType="begin"/>
      </w:r>
      <w:r>
        <w:instrText xml:space="preserve"> REF _Ref418357222 \r \h </w:instrText>
      </w:r>
      <w:r>
        <w:fldChar w:fldCharType="separate"/>
      </w:r>
      <w:r>
        <w:t>Section 3</w:t>
      </w:r>
      <w:r>
        <w:fldChar w:fldCharType="end"/>
      </w:r>
      <w:r>
        <w:t xml:space="preserve">, with </w:t>
      </w:r>
      <w:r w:rsidRPr="00006A94">
        <w:t xml:space="preserve">system load in year one </w:t>
      </w:r>
      <w:r>
        <w:t xml:space="preserve">of the planning horizon now being very close to the load in </w:t>
      </w:r>
      <w:r w:rsidRPr="00006A94">
        <w:t>year 10, the passage of time, which historically corresponded to load growth, has become less of a driver for new reliability issues on the transmission system.</w:t>
      </w:r>
    </w:p>
  </w:footnote>
  <w:footnote w:id="140">
    <w:p w14:paraId="41D44CAC" w14:textId="77777777" w:rsidR="00E231DA" w:rsidRDefault="00E231DA" w:rsidP="00B969ED">
      <w:pPr>
        <w:pStyle w:val="FootnoteText"/>
      </w:pPr>
      <w:r>
        <w:rPr>
          <w:rStyle w:val="FootnoteReference"/>
        </w:rPr>
        <w:footnoteRef/>
      </w:r>
      <w:r>
        <w:t xml:space="preserve"> FERC, </w:t>
      </w:r>
      <w:r>
        <w:rPr>
          <w:i/>
        </w:rPr>
        <w:t xml:space="preserve">Audit of ISO New England, Inc.’s Compliance with its Transmission, Markets, and Services Tariff; and Commission Accounting, Reporting, and Record Retention Requirements, </w:t>
      </w:r>
      <w:r>
        <w:t xml:space="preserve">final audit report (April 18, 2018), </w:t>
      </w:r>
      <w:hyperlink r:id="rId128" w:history="1">
        <w:r w:rsidRPr="00300BDA">
          <w:rPr>
            <w:rStyle w:val="Hyperlink"/>
          </w:rPr>
          <w:t>https://www.iso-ne.com/static-assets/documents/2018/04/pa16-6-000_4-18-18_final_audit_report.pdf</w:t>
        </w:r>
      </w:hyperlink>
      <w:r>
        <w:t xml:space="preserve">. </w:t>
      </w:r>
    </w:p>
  </w:footnote>
  <w:footnote w:id="141">
    <w:p w14:paraId="088E2852" w14:textId="77777777" w:rsidR="00E231DA" w:rsidRDefault="00E231DA">
      <w:pPr>
        <w:pStyle w:val="FootnoteText"/>
      </w:pPr>
      <w:r w:rsidRPr="00407D7F">
        <w:rPr>
          <w:rStyle w:val="FootnoteReference"/>
        </w:rPr>
        <w:footnoteRef/>
      </w:r>
      <w:r w:rsidRPr="00407D7F">
        <w:t xml:space="preserve"> </w:t>
      </w:r>
      <w:r w:rsidRPr="009B4AAC">
        <w:t>S</w:t>
      </w:r>
      <w:r w:rsidRPr="005658C2">
        <w:t xml:space="preserve">VCs </w:t>
      </w:r>
      <w:r w:rsidRPr="00407D7F">
        <w:t xml:space="preserve">are </w:t>
      </w:r>
      <w:r w:rsidRPr="005658C2">
        <w:t>flexible alternating-current transmission system (</w:t>
      </w:r>
      <w:r w:rsidRPr="00407D7F">
        <w:t>FACTS</w:t>
      </w:r>
      <w:r w:rsidRPr="005658C2">
        <w:t>)</w:t>
      </w:r>
      <w:r w:rsidRPr="00407D7F">
        <w:t xml:space="preserve"> devices </w:t>
      </w:r>
      <w:r w:rsidRPr="009B4AAC">
        <w:t>that provide dynamic voltage support, which can help regulate voltages and improve the stability performance of the system.</w:t>
      </w:r>
    </w:p>
  </w:footnote>
  <w:footnote w:id="142">
    <w:p w14:paraId="50AD905A" w14:textId="77777777" w:rsidR="00E231DA" w:rsidRDefault="00E231DA" w:rsidP="00B969ED">
      <w:pPr>
        <w:pStyle w:val="FootnoteText"/>
      </w:pPr>
      <w:r>
        <w:rPr>
          <w:rStyle w:val="FootnoteReference"/>
        </w:rPr>
        <w:footnoteRef/>
      </w:r>
      <w:r>
        <w:t xml:space="preserve"> </w:t>
      </w:r>
      <w:r w:rsidRPr="001E0028">
        <w:rPr>
          <w:szCs w:val="18"/>
        </w:rPr>
        <w:t>The Bunker Hill substation rebuild (</w:t>
      </w:r>
      <w:r w:rsidRPr="001E5D27">
        <w:rPr>
          <w:i/>
          <w:szCs w:val="18"/>
        </w:rPr>
        <w:t>RSP Project List</w:t>
      </w:r>
      <w:r w:rsidRPr="001E0028">
        <w:rPr>
          <w:szCs w:val="18"/>
        </w:rPr>
        <w:t xml:space="preserve"> #1571) and looping the 1990 (Frost Bridge</w:t>
      </w:r>
      <w:r>
        <w:rPr>
          <w:szCs w:val="18"/>
        </w:rPr>
        <w:t>–</w:t>
      </w:r>
      <w:r w:rsidRPr="001E0028">
        <w:rPr>
          <w:szCs w:val="18"/>
        </w:rPr>
        <w:t>Baldwin</w:t>
      </w:r>
      <w:r>
        <w:rPr>
          <w:szCs w:val="18"/>
        </w:rPr>
        <w:t>–</w:t>
      </w:r>
      <w:r w:rsidRPr="001E0028">
        <w:rPr>
          <w:szCs w:val="18"/>
        </w:rPr>
        <w:t>Stevenson) line into Bunker Hill (</w:t>
      </w:r>
      <w:r w:rsidRPr="001E5D27">
        <w:rPr>
          <w:i/>
          <w:szCs w:val="18"/>
        </w:rPr>
        <w:t>RSP Project List</w:t>
      </w:r>
      <w:r w:rsidRPr="001E0028">
        <w:rPr>
          <w:szCs w:val="18"/>
        </w:rPr>
        <w:t xml:space="preserve"> #1569) are no longer necessary due to </w:t>
      </w:r>
      <w:r>
        <w:rPr>
          <w:szCs w:val="18"/>
        </w:rPr>
        <w:t xml:space="preserve">the </w:t>
      </w:r>
      <w:r w:rsidRPr="001E0028">
        <w:rPr>
          <w:szCs w:val="18"/>
        </w:rPr>
        <w:t>Towantic interconnection substation being functionally similar</w:t>
      </w:r>
      <w:r>
        <w:rPr>
          <w:szCs w:val="18"/>
        </w:rPr>
        <w:t>. T</w:t>
      </w:r>
      <w:r w:rsidRPr="001E0028">
        <w:rPr>
          <w:szCs w:val="18"/>
        </w:rPr>
        <w:t xml:space="preserve">he </w:t>
      </w:r>
      <w:r>
        <w:rPr>
          <w:szCs w:val="18"/>
        </w:rPr>
        <w:t>s</w:t>
      </w:r>
      <w:r w:rsidRPr="001E0028">
        <w:rPr>
          <w:szCs w:val="18"/>
        </w:rPr>
        <w:t>eparation of the 3827 (Beseck–East Devon)/1610 (Southington</w:t>
      </w:r>
      <w:r>
        <w:rPr>
          <w:szCs w:val="18"/>
        </w:rPr>
        <w:t>–</w:t>
      </w:r>
      <w:r w:rsidRPr="001E0028">
        <w:rPr>
          <w:szCs w:val="18"/>
        </w:rPr>
        <w:t>Mix Ave.</w:t>
      </w:r>
      <w:r>
        <w:rPr>
          <w:szCs w:val="18"/>
        </w:rPr>
        <w:t>–</w:t>
      </w:r>
      <w:r w:rsidRPr="001E0028">
        <w:rPr>
          <w:szCs w:val="18"/>
        </w:rPr>
        <w:t>June St.) double</w:t>
      </w:r>
      <w:r>
        <w:rPr>
          <w:szCs w:val="18"/>
        </w:rPr>
        <w:t>-</w:t>
      </w:r>
      <w:r w:rsidRPr="001E0028">
        <w:rPr>
          <w:szCs w:val="18"/>
        </w:rPr>
        <w:t>circuit tower (</w:t>
      </w:r>
      <w:r w:rsidRPr="001E5D27">
        <w:rPr>
          <w:i/>
          <w:szCs w:val="18"/>
        </w:rPr>
        <w:t>RSP Project List</w:t>
      </w:r>
      <w:r w:rsidRPr="001E0028">
        <w:rPr>
          <w:szCs w:val="18"/>
        </w:rPr>
        <w:t xml:space="preserve"> #1579)</w:t>
      </w:r>
      <w:r>
        <w:rPr>
          <w:szCs w:val="18"/>
        </w:rPr>
        <w:t>,</w:t>
      </w:r>
      <w:r w:rsidRPr="001E0028">
        <w:rPr>
          <w:szCs w:val="18"/>
        </w:rPr>
        <w:t xml:space="preserve"> previously recommended to alleviate overloads on </w:t>
      </w:r>
      <w:r>
        <w:rPr>
          <w:szCs w:val="18"/>
        </w:rPr>
        <w:t xml:space="preserve">the </w:t>
      </w:r>
      <w:r w:rsidRPr="001E0028">
        <w:rPr>
          <w:szCs w:val="18"/>
        </w:rPr>
        <w:t>88003A/89003B lines</w:t>
      </w:r>
      <w:r>
        <w:rPr>
          <w:szCs w:val="18"/>
        </w:rPr>
        <w:t xml:space="preserve">, are </w:t>
      </w:r>
      <w:r w:rsidRPr="001E0028">
        <w:rPr>
          <w:szCs w:val="18"/>
        </w:rPr>
        <w:t xml:space="preserve">no longer necessary with </w:t>
      </w:r>
      <w:r>
        <w:rPr>
          <w:szCs w:val="18"/>
        </w:rPr>
        <w:t xml:space="preserve">the </w:t>
      </w:r>
      <w:r w:rsidRPr="001E0028">
        <w:rPr>
          <w:szCs w:val="18"/>
        </w:rPr>
        <w:t>additional generation in the SWCT area</w:t>
      </w:r>
      <w:r>
        <w:rPr>
          <w:szCs w:val="18"/>
        </w:rPr>
        <w:t>.</w:t>
      </w:r>
    </w:p>
  </w:footnote>
  <w:footnote w:id="143">
    <w:p w14:paraId="2D87C03C" w14:textId="77777777" w:rsidR="00E231DA" w:rsidRPr="0048054B" w:rsidRDefault="00E231DA" w:rsidP="00B969ED">
      <w:pPr>
        <w:pStyle w:val="FootnoteText"/>
        <w:rPr>
          <w:szCs w:val="18"/>
        </w:rPr>
      </w:pPr>
      <w:r w:rsidRPr="0048054B">
        <w:rPr>
          <w:rStyle w:val="FootnoteReference"/>
          <w:sz w:val="18"/>
          <w:szCs w:val="18"/>
        </w:rPr>
        <w:footnoteRef/>
      </w:r>
      <w:r>
        <w:rPr>
          <w:szCs w:val="18"/>
        </w:rPr>
        <w:t xml:space="preserve"> ISO New England Planning Procedure No. 3, </w:t>
      </w:r>
      <w:r w:rsidRPr="0048054B">
        <w:rPr>
          <w:i/>
          <w:szCs w:val="18"/>
        </w:rPr>
        <w:t>Reliability Standards for the New England Area Pool Transmission Facilities</w:t>
      </w:r>
      <w:r w:rsidRPr="0048054B">
        <w:rPr>
          <w:szCs w:val="18"/>
        </w:rPr>
        <w:t xml:space="preserve"> (</w:t>
      </w:r>
      <w:r>
        <w:rPr>
          <w:szCs w:val="18"/>
        </w:rPr>
        <w:t>September 15</w:t>
      </w:r>
      <w:r w:rsidRPr="0048054B">
        <w:rPr>
          <w:szCs w:val="18"/>
        </w:rPr>
        <w:t>, 2017</w:t>
      </w:r>
      <w:r>
        <w:rPr>
          <w:szCs w:val="18"/>
        </w:rPr>
        <w:t>),</w:t>
      </w:r>
      <w:r w:rsidRPr="0048054B">
        <w:rPr>
          <w:szCs w:val="18"/>
        </w:rPr>
        <w:t xml:space="preserve"> </w:t>
      </w:r>
      <w:hyperlink r:id="rId129" w:history="1">
        <w:r w:rsidRPr="00562AD4">
          <w:rPr>
            <w:rStyle w:val="Hyperlink"/>
          </w:rPr>
          <w:t>https://www.iso-ne.com/static-assets/documents/2017/10/pp3_r8.pdf</w:t>
        </w:r>
      </w:hyperlink>
      <w:r>
        <w:rPr>
          <w:rStyle w:val="Hyperlink"/>
        </w:rPr>
        <w:t>.</w:t>
      </w:r>
    </w:p>
  </w:footnote>
  <w:footnote w:id="144">
    <w:p w14:paraId="4BE69B15" w14:textId="77777777" w:rsidR="00E231DA" w:rsidRDefault="00E231DA" w:rsidP="00B969ED">
      <w:pPr>
        <w:pStyle w:val="FootnoteText"/>
      </w:pPr>
      <w:r w:rsidRPr="0048054B">
        <w:rPr>
          <w:rStyle w:val="FootnoteReference"/>
        </w:rPr>
        <w:footnoteRef/>
      </w:r>
      <w:r w:rsidRPr="0048054B">
        <w:t xml:space="preserve"> </w:t>
      </w:r>
      <w:r>
        <w:t xml:space="preserve">ISO New England, </w:t>
      </w:r>
      <w:r w:rsidRPr="0083271D">
        <w:rPr>
          <w:i/>
        </w:rPr>
        <w:t>Creation of Needs Assessment Dispatches Revision 1</w:t>
      </w:r>
      <w:r>
        <w:t xml:space="preserve">, presentation (September 6, 2017), </w:t>
      </w:r>
      <w:hyperlink r:id="rId130" w:history="1">
        <w:r w:rsidRPr="001134DF">
          <w:rPr>
            <w:rStyle w:val="Hyperlink"/>
          </w:rPr>
          <w:t>https://www.iso-ne.com/static-assets/documents/2017/09/a6_creation_of_needs_assessment_dispatches.pdf</w:t>
        </w:r>
      </w:hyperlink>
      <w:r>
        <w:rPr>
          <w:rStyle w:val="Hyperlink"/>
        </w:rPr>
        <w:t xml:space="preserve">. </w:t>
      </w:r>
    </w:p>
  </w:footnote>
  <w:footnote w:id="145">
    <w:p w14:paraId="68D853EF" w14:textId="77777777" w:rsidR="00E231DA" w:rsidRDefault="00E231DA" w:rsidP="00B969ED">
      <w:pPr>
        <w:pStyle w:val="FootnoteText"/>
      </w:pPr>
      <w:r w:rsidRPr="00F1085B">
        <w:rPr>
          <w:rStyle w:val="FootnoteReference"/>
        </w:rPr>
        <w:footnoteRef/>
      </w:r>
      <w:r w:rsidRPr="00F1085B">
        <w:t xml:space="preserve"> </w:t>
      </w:r>
      <w:r>
        <w:t>ISO New England,</w:t>
      </w:r>
      <w:r>
        <w:rPr>
          <w:i/>
          <w:szCs w:val="18"/>
        </w:rPr>
        <w:t xml:space="preserve"> </w:t>
      </w:r>
      <w:r w:rsidRPr="00AA64DC">
        <w:rPr>
          <w:szCs w:val="18"/>
        </w:rPr>
        <w:t>“</w:t>
      </w:r>
      <w:r w:rsidRPr="00AA64DC">
        <w:t>Updates to System Studies,”</w:t>
      </w:r>
      <w:r>
        <w:rPr>
          <w:i/>
        </w:rPr>
        <w:t xml:space="preserve"> </w:t>
      </w:r>
      <w:r w:rsidRPr="0077102C">
        <w:t>m</w:t>
      </w:r>
      <w:r w:rsidRPr="00AA64DC">
        <w:t>emorandum</w:t>
      </w:r>
      <w:r w:rsidRPr="00F1085B">
        <w:rPr>
          <w:i/>
        </w:rPr>
        <w:t xml:space="preserve"> </w:t>
      </w:r>
      <w:r w:rsidRPr="00F1085B">
        <w:t>(February 24, 2017</w:t>
      </w:r>
      <w:r>
        <w:t>),</w:t>
      </w:r>
      <w:r w:rsidRPr="00F1085B">
        <w:t xml:space="preserve"> </w:t>
      </w:r>
      <w:hyperlink r:id="rId131" w:history="1">
        <w:r w:rsidRPr="00F1085B">
          <w:rPr>
            <w:rStyle w:val="Hyperlink"/>
          </w:rPr>
          <w:t>https://www.iso-ne.com/static-assets/documents/2017/02/updates_to_system_study_memo.pdf</w:t>
        </w:r>
      </w:hyperlink>
      <w:r>
        <w:rPr>
          <w:rStyle w:val="Hyperlink"/>
        </w:rPr>
        <w:t xml:space="preserve">, and </w:t>
      </w:r>
      <w:r w:rsidRPr="00723361">
        <w:rPr>
          <w:i/>
        </w:rPr>
        <w:t>Updates to System Studies</w:t>
      </w:r>
      <w:r>
        <w:rPr>
          <w:i/>
        </w:rPr>
        <w:t>—</w:t>
      </w:r>
      <w:r w:rsidRPr="00723361">
        <w:rPr>
          <w:i/>
        </w:rPr>
        <w:t>Incorporating Changes in Criteria and Assumptions into Ongoing Assessments</w:t>
      </w:r>
      <w:r>
        <w:rPr>
          <w:i/>
        </w:rPr>
        <w:t xml:space="preserve">, </w:t>
      </w:r>
      <w:r>
        <w:t>presentation</w:t>
      </w:r>
      <w:r>
        <w:rPr>
          <w:i/>
        </w:rPr>
        <w:t xml:space="preserve"> </w:t>
      </w:r>
      <w:r w:rsidRPr="00F46AB5">
        <w:t>(</w:t>
      </w:r>
      <w:r w:rsidRPr="00B36327">
        <w:t xml:space="preserve">March </w:t>
      </w:r>
      <w:r>
        <w:t xml:space="preserve">22, </w:t>
      </w:r>
      <w:r w:rsidRPr="00B36327">
        <w:t>2017</w:t>
      </w:r>
      <w:r>
        <w:t xml:space="preserve">), </w:t>
      </w:r>
      <w:hyperlink r:id="rId132" w:history="1">
        <w:r w:rsidRPr="00D81C94">
          <w:rPr>
            <w:rStyle w:val="Hyperlink"/>
          </w:rPr>
          <w:t>https://www.iso-ne.com/static-assets/documents/2017/03/a4_updates_to_system_studies.pdf</w:t>
        </w:r>
      </w:hyperlink>
      <w:r>
        <w:t>.</w:t>
      </w:r>
    </w:p>
  </w:footnote>
  <w:footnote w:id="146">
    <w:p w14:paraId="4E18F9D3" w14:textId="77777777" w:rsidR="00E231DA" w:rsidRPr="00CF18B7" w:rsidRDefault="00E231DA" w:rsidP="00B969ED">
      <w:pPr>
        <w:pStyle w:val="FootnoteText"/>
      </w:pPr>
      <w:r w:rsidRPr="00CF18B7">
        <w:rPr>
          <w:rStyle w:val="FootnoteReference"/>
        </w:rPr>
        <w:footnoteRef/>
      </w:r>
      <w:r w:rsidRPr="00CF18B7">
        <w:t xml:space="preserve"> Transmission planning studies also reflect PV forecasts for energy-only resources and FCM resources under 5 MW. Studies also model larger PV plants.</w:t>
      </w:r>
    </w:p>
  </w:footnote>
  <w:footnote w:id="147">
    <w:p w14:paraId="2F34F31D" w14:textId="7750A86B" w:rsidR="00E231DA" w:rsidRPr="00CF18B7" w:rsidRDefault="00E231DA" w:rsidP="00B969ED">
      <w:pPr>
        <w:pStyle w:val="FootnoteText"/>
      </w:pPr>
      <w:r w:rsidRPr="00CF18B7">
        <w:rPr>
          <w:rStyle w:val="FootnoteReference"/>
        </w:rPr>
        <w:footnoteRef/>
      </w:r>
      <w:r w:rsidRPr="00CF18B7">
        <w:t xml:space="preserve"> ISO New England, </w:t>
      </w:r>
      <w:r w:rsidRPr="00CF18B7">
        <w:rPr>
          <w:i/>
        </w:rPr>
        <w:t>Updating Needs Assessments to Reflect Latest Forecasts</w:t>
      </w:r>
      <w:r w:rsidRPr="00CF18B7">
        <w:t xml:space="preserve">, presentation (April 26, 2018), </w:t>
      </w:r>
      <w:hyperlink r:id="rId133" w:history="1">
        <w:r w:rsidRPr="00CF18B7">
          <w:rPr>
            <w:rStyle w:val="Hyperlink"/>
          </w:rPr>
          <w:t>https://www.iso-ne.com/static-assets/documents/2018/04/a5_upda</w:t>
        </w:r>
        <w:r w:rsidRPr="003039EF">
          <w:rPr>
            <w:rStyle w:val="Hyperlink"/>
          </w:rPr>
          <w:t>ting</w:t>
        </w:r>
        <w:r w:rsidRPr="00CF18B7">
          <w:rPr>
            <w:rStyle w:val="Hyperlink"/>
          </w:rPr>
          <w:t>_needs_assessment_to_reflect_latest_forecasts.pdf</w:t>
        </w:r>
      </w:hyperlink>
      <w:r w:rsidRPr="00CF18B7">
        <w:rPr>
          <w:rStyle w:val="Hyperlink"/>
        </w:rPr>
        <w:t>.</w:t>
      </w:r>
    </w:p>
  </w:footnote>
  <w:footnote w:id="148">
    <w:p w14:paraId="1D5F62C0" w14:textId="0EED75FE" w:rsidR="00E231DA" w:rsidRDefault="00E231DA" w:rsidP="00B969ED">
      <w:pPr>
        <w:pStyle w:val="FootnoteText"/>
      </w:pPr>
      <w:r w:rsidRPr="00CF18B7">
        <w:rPr>
          <w:rStyle w:val="FootnoteReference"/>
        </w:rPr>
        <w:footnoteRef/>
      </w:r>
      <w:r w:rsidRPr="00CF18B7">
        <w:t xml:space="preserve"> ISO New England, </w:t>
      </w:r>
      <w:r w:rsidRPr="00CF18B7">
        <w:rPr>
          <w:i/>
        </w:rPr>
        <w:t>Updating Needs Assessments to Reflect Latest Assumptions</w:t>
      </w:r>
      <w:r w:rsidRPr="00CF18B7">
        <w:t xml:space="preserve">, presentation (March 21, 2019), </w:t>
      </w:r>
      <w:hyperlink r:id="rId134" w:history="1">
        <w:r w:rsidRPr="00CF18B7">
          <w:rPr>
            <w:rStyle w:val="Hyperlink"/>
          </w:rPr>
          <w:t>https://www.iso-ne.com/static-assets/documents/2019/03/a6_updating_needs_assessment_to_reflect_latest_assumptions.pdf</w:t>
        </w:r>
      </w:hyperlink>
      <w:r w:rsidRPr="00CF18B7">
        <w:rPr>
          <w:rStyle w:val="Hyperlink"/>
        </w:rPr>
        <w:t xml:space="preserve"> (</w:t>
      </w:r>
      <w:r w:rsidRPr="00CF18B7">
        <w:rPr>
          <w:rStyle w:val="Hyperlink"/>
          <w:i/>
        </w:rPr>
        <w:t xml:space="preserve">Updating Needs Assessments </w:t>
      </w:r>
      <w:r w:rsidRPr="00CF18B7">
        <w:rPr>
          <w:rStyle w:val="Hyperlink"/>
        </w:rPr>
        <w:t>presentation).</w:t>
      </w:r>
    </w:p>
  </w:footnote>
  <w:footnote w:id="149">
    <w:p w14:paraId="6F5C109A" w14:textId="77777777" w:rsidR="00E231DA" w:rsidRDefault="00E231DA" w:rsidP="00851352">
      <w:pPr>
        <w:pStyle w:val="FootnoteText"/>
      </w:pPr>
      <w:r w:rsidRPr="00D309CF">
        <w:rPr>
          <w:rStyle w:val="FootnoteReference"/>
        </w:rPr>
        <w:footnoteRef/>
      </w:r>
      <w:r w:rsidRPr="00D309CF">
        <w:t xml:space="preserve"> </w:t>
      </w:r>
      <w:r>
        <w:t xml:space="preserve">ISO New England, </w:t>
      </w:r>
      <w:r w:rsidRPr="00DD0085">
        <w:t>“</w:t>
      </w:r>
      <w:r w:rsidRPr="002F579C">
        <w:rPr>
          <w:szCs w:val="18"/>
        </w:rPr>
        <w:t>Southwest Connecticut Key Study Area</w:t>
      </w:r>
      <w:r w:rsidRPr="00D309CF">
        <w:rPr>
          <w:i/>
          <w:szCs w:val="18"/>
        </w:rPr>
        <w:t>,</w:t>
      </w:r>
      <w:r>
        <w:rPr>
          <w:i/>
          <w:szCs w:val="18"/>
        </w:rPr>
        <w:t>”</w:t>
      </w:r>
      <w:r w:rsidRPr="00D309CF">
        <w:t xml:space="preserve"> </w:t>
      </w:r>
      <w:r w:rsidRPr="006763C5">
        <w:t>web</w:t>
      </w:r>
      <w:r>
        <w:t>page</w:t>
      </w:r>
      <w:r w:rsidRPr="006763C5">
        <w:t xml:space="preserve"> (201</w:t>
      </w:r>
      <w:r>
        <w:t>9</w:t>
      </w:r>
      <w:r w:rsidRPr="006763C5">
        <w:t xml:space="preserve">), </w:t>
      </w:r>
      <w:hyperlink r:id="rId135" w:history="1">
        <w:r w:rsidRPr="00D309CF">
          <w:rPr>
            <w:rStyle w:val="Hyperlink"/>
            <w:szCs w:val="18"/>
          </w:rPr>
          <w:t>https://www.iso-ne.com/system-planning/key-study-areas/swct</w:t>
        </w:r>
      </w:hyperlink>
      <w:r w:rsidRPr="00D309CF">
        <w:rPr>
          <w:rStyle w:val="Hyperlink"/>
          <w:szCs w:val="18"/>
        </w:rPr>
        <w:t>.</w:t>
      </w:r>
    </w:p>
  </w:footnote>
  <w:footnote w:id="150">
    <w:p w14:paraId="39F5CE45" w14:textId="77777777" w:rsidR="00E231DA" w:rsidRDefault="00E231DA" w:rsidP="001A2830">
      <w:pPr>
        <w:pStyle w:val="FootnoteText"/>
      </w:pPr>
      <w:r>
        <w:rPr>
          <w:rStyle w:val="FootnoteReference"/>
        </w:rPr>
        <w:footnoteRef/>
      </w:r>
      <w:r>
        <w:t xml:space="preserve"> New resources include </w:t>
      </w:r>
      <w:r w:rsidRPr="007D7B1A">
        <w:t>Towantic</w:t>
      </w:r>
      <w:r>
        <w:t xml:space="preserve"> </w:t>
      </w:r>
      <w:r w:rsidRPr="007D7B1A">
        <w:t>(</w:t>
      </w:r>
      <w:r>
        <w:t>7</w:t>
      </w:r>
      <w:r w:rsidRPr="007D7B1A">
        <w:t>25 MW</w:t>
      </w:r>
      <w:r>
        <w:t>)</w:t>
      </w:r>
      <w:r w:rsidRPr="007D7B1A">
        <w:t xml:space="preserve"> </w:t>
      </w:r>
      <w:r>
        <w:t xml:space="preserve">and </w:t>
      </w:r>
      <w:r w:rsidRPr="007D7B1A">
        <w:t>Wallingford</w:t>
      </w:r>
      <w:r>
        <w:t xml:space="preserve"> (</w:t>
      </w:r>
      <w:r w:rsidRPr="007D7B1A">
        <w:t>90 MW</w:t>
      </w:r>
      <w:r>
        <w:t xml:space="preserve">), which received </w:t>
      </w:r>
      <w:r w:rsidRPr="007D7B1A">
        <w:t>CSO</w:t>
      </w:r>
      <w:r>
        <w:t>s in FCA 9, and</w:t>
      </w:r>
      <w:r w:rsidRPr="007D7B1A">
        <w:t xml:space="preserve"> Bridgeport Harbor (</w:t>
      </w:r>
      <w:r>
        <w:t>484 MW</w:t>
      </w:r>
      <w:r w:rsidRPr="007D7B1A">
        <w:t>)</w:t>
      </w:r>
      <w:r>
        <w:t xml:space="preserve">, which </w:t>
      </w:r>
      <w:r w:rsidRPr="007D7B1A">
        <w:t xml:space="preserve">received a CSO </w:t>
      </w:r>
      <w:r>
        <w:t>in FCA 10</w:t>
      </w:r>
      <w:r w:rsidRPr="007D7B1A">
        <w:t>.</w:t>
      </w:r>
    </w:p>
  </w:footnote>
  <w:footnote w:id="151">
    <w:p w14:paraId="25F6FD51" w14:textId="77777777" w:rsidR="00E231DA" w:rsidRDefault="00E231DA">
      <w:pPr>
        <w:pStyle w:val="FootnoteText"/>
      </w:pPr>
      <w:r>
        <w:rPr>
          <w:rStyle w:val="FootnoteReference"/>
        </w:rPr>
        <w:footnoteRef/>
      </w:r>
      <w:r>
        <w:t xml:space="preserve"> ISO New England, </w:t>
      </w:r>
      <w:r w:rsidRPr="009E2C9D">
        <w:rPr>
          <w:i/>
          <w:szCs w:val="18"/>
        </w:rPr>
        <w:t>Southwest Connecticut</w:t>
      </w:r>
      <w:r w:rsidRPr="009E2C9D">
        <w:rPr>
          <w:i/>
        </w:rPr>
        <w:t xml:space="preserve"> 2025 Update</w:t>
      </w:r>
      <w:r>
        <w:t xml:space="preserve"> (March 2017), </w:t>
      </w:r>
      <w:hyperlink r:id="rId136" w:history="1">
        <w:r w:rsidRPr="006650A3">
          <w:rPr>
            <w:rStyle w:val="Hyperlink"/>
          </w:rPr>
          <w:t>https://smd.iso-ne.com/operations-services/ceii/pac/2017/03/swct_2025_update_final.pdf</w:t>
        </w:r>
      </w:hyperlink>
      <w:r>
        <w:t>.</w:t>
      </w:r>
    </w:p>
  </w:footnote>
  <w:footnote w:id="152">
    <w:p w14:paraId="0F60D483" w14:textId="77777777" w:rsidR="00E231DA" w:rsidRDefault="00E231DA" w:rsidP="00B969ED">
      <w:pPr>
        <w:pStyle w:val="FootnoteText"/>
      </w:pPr>
      <w:r>
        <w:rPr>
          <w:rStyle w:val="FootnoteReference"/>
        </w:rPr>
        <w:footnoteRef/>
      </w:r>
      <w:r>
        <w:t xml:space="preserve"> ISO New England, </w:t>
      </w:r>
      <w:r w:rsidRPr="00DD0085">
        <w:t>”</w:t>
      </w:r>
      <w:r w:rsidRPr="002F579C">
        <w:t>Notice of Initiation of 2027 Southwest Connecticut Needs Assessment,”</w:t>
      </w:r>
      <w:r>
        <w:t xml:space="preserve"> </w:t>
      </w:r>
      <w:r w:rsidRPr="00A725DF">
        <w:t>(June 30, 2017)</w:t>
      </w:r>
      <w:r>
        <w:t>,</w:t>
      </w:r>
      <w:hyperlink r:id="rId137" w:history="1">
        <w:r w:rsidRPr="00E22DB8">
          <w:rPr>
            <w:rStyle w:val="Hyperlink"/>
          </w:rPr>
          <w:t xml:space="preserve"> https://www.iso-ne.com/static-assets/documents/2017/06/2027_swct_needs_assessment_study_initiation_pac_notice.pdf</w:t>
        </w:r>
      </w:hyperlink>
      <w:r>
        <w:t>.</w:t>
      </w:r>
    </w:p>
  </w:footnote>
  <w:footnote w:id="153">
    <w:p w14:paraId="10C54F07" w14:textId="77777777" w:rsidR="00E231DA" w:rsidRDefault="00E231DA" w:rsidP="00B969ED">
      <w:pPr>
        <w:pStyle w:val="FootnoteText"/>
      </w:pPr>
      <w:r>
        <w:rPr>
          <w:rStyle w:val="FootnoteReference"/>
        </w:rPr>
        <w:footnoteRef/>
      </w:r>
      <w:r>
        <w:t xml:space="preserve"> ISO New England, </w:t>
      </w:r>
      <w:r w:rsidRPr="00B21562">
        <w:rPr>
          <w:i/>
        </w:rPr>
        <w:t xml:space="preserve">Southwest Connecticut (SWCT) 2027 Needs Assessment </w:t>
      </w:r>
      <w:r w:rsidRPr="00A725DF">
        <w:t>(July 2018)</w:t>
      </w:r>
      <w:r>
        <w:t xml:space="preserve">, </w:t>
      </w:r>
      <w:hyperlink r:id="rId138" w:history="1">
        <w:r w:rsidRPr="00D32820">
          <w:rPr>
            <w:rStyle w:val="Hyperlink"/>
          </w:rPr>
          <w:t>https://smd.iso-ne.com/operations-services/ceii/pac/2018/07/final_ceii_swct_2027_na.pdf</w:t>
        </w:r>
      </w:hyperlink>
      <w:r>
        <w:t>.</w:t>
      </w:r>
    </w:p>
  </w:footnote>
  <w:footnote w:id="154">
    <w:p w14:paraId="7C75842D" w14:textId="77777777" w:rsidR="00E231DA" w:rsidRDefault="00E231DA">
      <w:pPr>
        <w:pStyle w:val="FootnoteText"/>
      </w:pPr>
      <w:r>
        <w:rPr>
          <w:rStyle w:val="FootnoteReference"/>
        </w:rPr>
        <w:footnoteRef/>
      </w:r>
      <w:r>
        <w:t xml:space="preserve"> A STATCOM is another type of flexible alternating-current transmission system device.</w:t>
      </w:r>
    </w:p>
  </w:footnote>
  <w:footnote w:id="155">
    <w:p w14:paraId="435C9ADF" w14:textId="77777777" w:rsidR="00E231DA" w:rsidRDefault="00E231DA" w:rsidP="00851352">
      <w:pPr>
        <w:pStyle w:val="FootnoteText"/>
      </w:pPr>
      <w:r>
        <w:rPr>
          <w:rStyle w:val="FootnoteReference"/>
        </w:rPr>
        <w:footnoteRef/>
      </w:r>
      <w:r>
        <w:t xml:space="preserve"> ISO New England,</w:t>
      </w:r>
      <w:r>
        <w:rPr>
          <w:i/>
          <w:szCs w:val="18"/>
        </w:rPr>
        <w:t xml:space="preserve"> </w:t>
      </w:r>
      <w:r>
        <w:rPr>
          <w:szCs w:val="18"/>
        </w:rPr>
        <w:t>“</w:t>
      </w:r>
      <w:r w:rsidRPr="002F579C">
        <w:rPr>
          <w:szCs w:val="18"/>
        </w:rPr>
        <w:t>Greater Hartford Key Study Area,</w:t>
      </w:r>
      <w:r>
        <w:rPr>
          <w:szCs w:val="18"/>
        </w:rPr>
        <w:t>”</w:t>
      </w:r>
      <w:r w:rsidRPr="00C26589">
        <w:t xml:space="preserve"> webpage</w:t>
      </w:r>
      <w:r>
        <w:t xml:space="preserve"> (2019), </w:t>
      </w:r>
      <w:hyperlink r:id="rId139" w:history="1">
        <w:r w:rsidRPr="00A9665B">
          <w:rPr>
            <w:rStyle w:val="Hyperlink"/>
          </w:rPr>
          <w:t>https://www.iso-ne.com/system-planning/key-study-areas/greater-hartford</w:t>
        </w:r>
      </w:hyperlink>
      <w:r>
        <w:rPr>
          <w:rStyle w:val="Hyperlink"/>
        </w:rPr>
        <w:t>.</w:t>
      </w:r>
      <w:r>
        <w:t xml:space="preserve"> </w:t>
      </w:r>
    </w:p>
  </w:footnote>
  <w:footnote w:id="156">
    <w:p w14:paraId="52AE45D6" w14:textId="77777777" w:rsidR="00E231DA" w:rsidRDefault="00E231DA" w:rsidP="00B969ED">
      <w:pPr>
        <w:pStyle w:val="FootnoteText"/>
      </w:pPr>
      <w:r>
        <w:rPr>
          <w:rStyle w:val="FootnoteReference"/>
        </w:rPr>
        <w:footnoteRef/>
      </w:r>
      <w:r>
        <w:t xml:space="preserve"> The new Southwest Hartford–Newington 115 kV line project was changed from a four-mile underground line to a hybrid, 1.3-mile underground line and 2.4-mile overhead line, which resulted in a cost savings of $29.8 million. See the ISO’s </w:t>
      </w:r>
      <w:r w:rsidRPr="002F579C">
        <w:rPr>
          <w:i/>
        </w:rPr>
        <w:t>GHCC Southwest Hartford to Newington 115 kV Line Project Update</w:t>
      </w:r>
      <w:r>
        <w:t xml:space="preserve">, presentation (June 13, 2018), </w:t>
      </w:r>
      <w:hyperlink r:id="rId140" w:history="1">
        <w:r w:rsidRPr="00C26589">
          <w:rPr>
            <w:rStyle w:val="Hyperlink"/>
          </w:rPr>
          <w:t>https://smd.iso-ne.com/operations-services/ceii/pac/2018/06/a3_ghcc_sw_hartford_to_newington_115kv_line_upgrade_1.pdf</w:t>
        </w:r>
      </w:hyperlink>
      <w:r>
        <w:t>.</w:t>
      </w:r>
    </w:p>
  </w:footnote>
  <w:footnote w:id="157">
    <w:p w14:paraId="02BA0102" w14:textId="77777777" w:rsidR="00E231DA" w:rsidRPr="00F23E1A" w:rsidRDefault="00E231DA" w:rsidP="00851352">
      <w:pPr>
        <w:pStyle w:val="FootnoteText"/>
      </w:pPr>
      <w:r w:rsidRPr="00F23E1A">
        <w:rPr>
          <w:rStyle w:val="FootnoteReference"/>
        </w:rPr>
        <w:footnoteRef/>
      </w:r>
      <w:r w:rsidRPr="00F23E1A">
        <w:t xml:space="preserve"> </w:t>
      </w:r>
      <w:hyperlink r:id="rId141" w:history="1">
        <w:r w:rsidRPr="00F23E1A">
          <w:rPr>
            <w:rStyle w:val="Hyperlink"/>
          </w:rPr>
          <w:t>ISO</w:t>
        </w:r>
      </w:hyperlink>
      <w:r w:rsidRPr="00F23E1A">
        <w:rPr>
          <w:rStyle w:val="Hyperlink"/>
        </w:rPr>
        <w:t xml:space="preserve"> New England, ”Western and Central Massachusetts Key Study Area,” webpage (2019), </w:t>
      </w:r>
      <w:hyperlink r:id="rId142" w:history="1">
        <w:r w:rsidRPr="00F23E1A">
          <w:rPr>
            <w:rStyle w:val="Hyperlink"/>
          </w:rPr>
          <w:t>https://www.iso-ne.com/system-planning/key-study-areas//western-and-central-massachusetts</w:t>
        </w:r>
      </w:hyperlink>
      <w:r w:rsidRPr="00F23E1A">
        <w:rPr>
          <w:rStyle w:val="Hyperlink"/>
        </w:rPr>
        <w:t xml:space="preserve">. </w:t>
      </w:r>
    </w:p>
  </w:footnote>
  <w:footnote w:id="158">
    <w:p w14:paraId="34C54A2C" w14:textId="77777777" w:rsidR="00E231DA" w:rsidRPr="00F23E1A" w:rsidRDefault="00E231DA" w:rsidP="00B969ED">
      <w:pPr>
        <w:pStyle w:val="FootnoteText"/>
      </w:pPr>
      <w:r w:rsidRPr="00F23E1A">
        <w:rPr>
          <w:rStyle w:val="FootnoteReference"/>
        </w:rPr>
        <w:footnoteRef/>
      </w:r>
      <w:r w:rsidRPr="00F23E1A">
        <w:t xml:space="preserve"> ISO New England, “Notice of Initiation of WCMA Needs Assessment,”</w:t>
      </w:r>
      <w:r w:rsidRPr="00F23E1A">
        <w:rPr>
          <w:i/>
        </w:rPr>
        <w:t xml:space="preserve"> </w:t>
      </w:r>
      <w:r w:rsidRPr="00F23E1A">
        <w:t xml:space="preserve">(June 29, 2017), </w:t>
      </w:r>
      <w:hyperlink r:id="rId143" w:history="1">
        <w:r w:rsidRPr="00F23E1A">
          <w:rPr>
            <w:rStyle w:val="Hyperlink"/>
          </w:rPr>
          <w:t>https://www.iso-ne.com/static-assets/documents/2017/06/2027_wcma_needs_assessment_study_initiation_pac_notice.pdf</w:t>
        </w:r>
      </w:hyperlink>
      <w:r w:rsidRPr="00F23E1A">
        <w:t xml:space="preserve">. </w:t>
      </w:r>
    </w:p>
  </w:footnote>
  <w:footnote w:id="159">
    <w:p w14:paraId="0FBB466B" w14:textId="274E8FAF" w:rsidR="00E231DA" w:rsidRPr="00F23E1A" w:rsidRDefault="00E231DA" w:rsidP="00B969ED">
      <w:pPr>
        <w:pStyle w:val="FootnoteText"/>
      </w:pPr>
      <w:r w:rsidRPr="00F23E1A">
        <w:rPr>
          <w:rStyle w:val="FootnoteReference"/>
        </w:rPr>
        <w:footnoteRef/>
      </w:r>
      <w:r w:rsidRPr="00F23E1A">
        <w:t xml:space="preserve"> </w:t>
      </w:r>
      <w:r w:rsidRPr="00F23E1A">
        <w:rPr>
          <w:i/>
        </w:rPr>
        <w:t xml:space="preserve">Updating Needs Assessments </w:t>
      </w:r>
      <w:r w:rsidRPr="00F23E1A">
        <w:t xml:space="preserve">presentation; see footnote </w:t>
      </w:r>
      <w:r w:rsidRPr="00F23E1A">
        <w:fldChar w:fldCharType="begin"/>
      </w:r>
      <w:r w:rsidRPr="00F23E1A">
        <w:instrText xml:space="preserve"> NOTEREF _Ref16862524 \h  \* MERGEFORMAT </w:instrText>
      </w:r>
      <w:r w:rsidRPr="00F23E1A">
        <w:fldChar w:fldCharType="separate"/>
      </w:r>
      <w:r>
        <w:t>147</w:t>
      </w:r>
      <w:r w:rsidRPr="00F23E1A">
        <w:fldChar w:fldCharType="end"/>
      </w:r>
      <w:r w:rsidRPr="00F23E1A">
        <w:t xml:space="preserve">. </w:t>
      </w:r>
    </w:p>
  </w:footnote>
  <w:footnote w:id="160">
    <w:p w14:paraId="1E89257B" w14:textId="643AA229" w:rsidR="00E231DA" w:rsidRPr="00F23E1A" w:rsidRDefault="00E231DA">
      <w:pPr>
        <w:pStyle w:val="FootnoteText"/>
      </w:pPr>
      <w:r w:rsidRPr="00F23E1A">
        <w:rPr>
          <w:rStyle w:val="FootnoteReference"/>
        </w:rPr>
        <w:footnoteRef/>
      </w:r>
      <w:r w:rsidRPr="00F23E1A">
        <w:t xml:space="preserve"> ISO New England, </w:t>
      </w:r>
      <w:r w:rsidRPr="00F23E1A">
        <w:rPr>
          <w:i/>
        </w:rPr>
        <w:t>WCMA 2028 Scope of Work</w:t>
      </w:r>
      <w:r w:rsidRPr="00F23E1A">
        <w:t xml:space="preserve">, presentation (September 27, 2018), </w:t>
      </w:r>
      <w:hyperlink r:id="rId144" w:history="1">
        <w:r w:rsidRPr="005A57BA">
          <w:rPr>
            <w:rStyle w:val="Hyperlink"/>
          </w:rPr>
          <w:t>https://www.iso-ne.com/static-assets/documents/2018/09/a11_wcma_2028_needs_assessment_scope_of_work_rev1.pdf</w:t>
        </w:r>
      </w:hyperlink>
      <w:r w:rsidRPr="00F23E1A">
        <w:t>.</w:t>
      </w:r>
    </w:p>
  </w:footnote>
  <w:footnote w:id="161">
    <w:p w14:paraId="0E6F926A" w14:textId="79953A04" w:rsidR="00E231DA" w:rsidRPr="00F23E1A" w:rsidRDefault="00E231DA" w:rsidP="00B969ED">
      <w:pPr>
        <w:pStyle w:val="FootnoteText"/>
      </w:pPr>
      <w:r w:rsidRPr="00F23E1A">
        <w:rPr>
          <w:rStyle w:val="FootnoteReference"/>
        </w:rPr>
        <w:footnoteRef/>
      </w:r>
      <w:r w:rsidRPr="00F23E1A">
        <w:t xml:space="preserve"> ISO New England, </w:t>
      </w:r>
      <w:r w:rsidRPr="00F23E1A">
        <w:rPr>
          <w:i/>
        </w:rPr>
        <w:t xml:space="preserve">Western and Central Massachusetts Area 2029 Needs Assessment—Scope of Work </w:t>
      </w:r>
      <w:r w:rsidRPr="00F23E1A">
        <w:t xml:space="preserve">(August 2019), </w:t>
      </w:r>
      <w:hyperlink r:id="rId145" w:history="1">
        <w:r w:rsidRPr="00F23E1A">
          <w:rPr>
            <w:rStyle w:val="Hyperlink"/>
          </w:rPr>
          <w:t>https://smd.iso-ne.com/operations-services/ceii/pac/2019/08/draft_ceii_wcma_2029_na_sow.pdf</w:t>
        </w:r>
      </w:hyperlink>
      <w:r w:rsidRPr="00F23E1A">
        <w:t xml:space="preserve">. </w:t>
      </w:r>
    </w:p>
  </w:footnote>
  <w:footnote w:id="162">
    <w:p w14:paraId="69509EDC" w14:textId="77777777" w:rsidR="00E231DA" w:rsidRDefault="00E231DA" w:rsidP="00851352">
      <w:pPr>
        <w:pStyle w:val="FootnoteText"/>
      </w:pPr>
      <w:r w:rsidRPr="00F23E1A">
        <w:rPr>
          <w:rStyle w:val="FootnoteReference"/>
        </w:rPr>
        <w:footnoteRef/>
      </w:r>
      <w:r w:rsidRPr="00F23E1A">
        <w:rPr>
          <w:i/>
        </w:rPr>
        <w:t xml:space="preserve"> </w:t>
      </w:r>
      <w:r w:rsidRPr="00F23E1A">
        <w:t>ISO New England,</w:t>
      </w:r>
      <w:r w:rsidRPr="00F23E1A">
        <w:rPr>
          <w:i/>
          <w:szCs w:val="18"/>
        </w:rPr>
        <w:t xml:space="preserve"> </w:t>
      </w:r>
      <w:r w:rsidRPr="00F23E1A">
        <w:rPr>
          <w:szCs w:val="18"/>
        </w:rPr>
        <w:t>“</w:t>
      </w:r>
      <w:r w:rsidRPr="00F23E1A">
        <w:t xml:space="preserve">Greater Boston Key Study Area,” webpage (2019), </w:t>
      </w:r>
      <w:hyperlink r:id="rId146" w:history="1">
        <w:r w:rsidRPr="00F23E1A">
          <w:rPr>
            <w:rStyle w:val="Hyperlink"/>
          </w:rPr>
          <w:t>https://www.iso-ne.com/system-planning/key-study-areas/greater-boston</w:t>
        </w:r>
      </w:hyperlink>
      <w:r w:rsidRPr="00F23E1A">
        <w:t>.</w:t>
      </w:r>
    </w:p>
  </w:footnote>
  <w:footnote w:id="163">
    <w:p w14:paraId="54EB3A28" w14:textId="77777777" w:rsidR="00E231DA" w:rsidRDefault="00E231DA" w:rsidP="00B969ED">
      <w:pPr>
        <w:pStyle w:val="FootnoteText"/>
      </w:pPr>
      <w:r>
        <w:rPr>
          <w:rStyle w:val="FootnoteReference"/>
        </w:rPr>
        <w:footnoteRef/>
      </w:r>
      <w:r>
        <w:t xml:space="preserve"> ISO New England,</w:t>
      </w:r>
      <w:r>
        <w:rPr>
          <w:i/>
          <w:szCs w:val="18"/>
        </w:rPr>
        <w:t xml:space="preserve"> </w:t>
      </w:r>
      <w:r w:rsidRPr="00B801B5">
        <w:rPr>
          <w:i/>
        </w:rPr>
        <w:t>Greater Boston Area Transmission Needs Assessment</w:t>
      </w:r>
      <w:r>
        <w:rPr>
          <w:i/>
        </w:rPr>
        <w:t xml:space="preserve"> </w:t>
      </w:r>
      <w:r w:rsidRPr="003E77F7">
        <w:t>(</w:t>
      </w:r>
      <w:r w:rsidRPr="006763C5">
        <w:t>July 2010)</w:t>
      </w:r>
      <w:r w:rsidRPr="003E77F7">
        <w:t>,</w:t>
      </w:r>
      <w:r>
        <w:t xml:space="preserve"> </w:t>
      </w:r>
      <w:hyperlink r:id="rId147" w:history="1">
        <w:r w:rsidRPr="00145A98">
          <w:rPr>
            <w:rStyle w:val="Hyperlink"/>
          </w:rPr>
          <w:t>https://smd.iso-ne.com/committees/comm_wkgrps/prtcpnts_comm/pac/ceii/reports/2012/boston_needs_report.ZIP</w:t>
        </w:r>
      </w:hyperlink>
      <w:r>
        <w:rPr>
          <w:rStyle w:val="Hyperlink"/>
        </w:rPr>
        <w:t>.</w:t>
      </w:r>
    </w:p>
  </w:footnote>
  <w:footnote w:id="164">
    <w:p w14:paraId="5F23015F" w14:textId="77777777" w:rsidR="00E231DA" w:rsidRDefault="00E231DA" w:rsidP="00B969ED">
      <w:pPr>
        <w:pStyle w:val="FootnoteText"/>
      </w:pPr>
      <w:r w:rsidRPr="00C75144">
        <w:rPr>
          <w:rStyle w:val="FootnoteReference"/>
        </w:rPr>
        <w:footnoteRef/>
      </w:r>
      <w:r w:rsidRPr="00C75144">
        <w:t xml:space="preserve"> The </w:t>
      </w:r>
      <w:r w:rsidRPr="00960963">
        <w:rPr>
          <w:i/>
        </w:rPr>
        <w:t>Greater Boston Area Transmission Needs Assessment</w:t>
      </w:r>
      <w:r w:rsidRPr="00C75144">
        <w:t xml:space="preserve"> for the 2018 and 2023 </w:t>
      </w:r>
      <w:r w:rsidRPr="002F579C">
        <w:t xml:space="preserve">study horizons was originally published January 20, 2015. A summary of minor updates is available at </w:t>
      </w:r>
      <w:hyperlink r:id="rId148" w:history="1">
        <w:r w:rsidRPr="002F579C">
          <w:rPr>
            <w:rStyle w:val="Hyperlink"/>
          </w:rPr>
          <w:t>https://www.iso-ne.com/static-assets/documents/2016/07/summary_of_corrections_made_to_greater_boston_needs_assessment_report_final.pdf</w:t>
        </w:r>
      </w:hyperlink>
      <w:r w:rsidRPr="002F579C">
        <w:t xml:space="preserve">. The </w:t>
      </w:r>
      <w:r w:rsidRPr="002F579C">
        <w:rPr>
          <w:i/>
        </w:rPr>
        <w:t>Greater Boston Area Updated Transmission Needs Assessment</w:t>
      </w:r>
      <w:r w:rsidRPr="002F579C">
        <w:t xml:space="preserve"> for the 2018 and 2023 study horizons</w:t>
      </w:r>
      <w:r>
        <w:t xml:space="preserve"> (July 26, 2016) is available at </w:t>
      </w:r>
      <w:hyperlink r:id="rId149" w:history="1">
        <w:r w:rsidRPr="005A07CD">
          <w:rPr>
            <w:rStyle w:val="Hyperlink"/>
          </w:rPr>
          <w:t>https://smd.iso-ne.com/planning/ceii/reports/2010s/greater_boston_updated_needs_assessment_report_final.pdf</w:t>
        </w:r>
      </w:hyperlink>
      <w:r w:rsidRPr="005A07CD">
        <w:t>.</w:t>
      </w:r>
    </w:p>
  </w:footnote>
  <w:footnote w:id="165">
    <w:p w14:paraId="5CF8887B" w14:textId="77777777" w:rsidR="00E231DA" w:rsidRDefault="00E231DA" w:rsidP="00B969ED">
      <w:pPr>
        <w:pStyle w:val="FootnoteText"/>
      </w:pPr>
      <w:r>
        <w:rPr>
          <w:rStyle w:val="FootnoteReference"/>
        </w:rPr>
        <w:footnoteRef/>
      </w:r>
      <w:r>
        <w:t xml:space="preserve"> ISO New England,</w:t>
      </w:r>
      <w:r>
        <w:rPr>
          <w:i/>
          <w:szCs w:val="18"/>
        </w:rPr>
        <w:t xml:space="preserve"> </w:t>
      </w:r>
      <w:r w:rsidRPr="006B0994">
        <w:rPr>
          <w:i/>
        </w:rPr>
        <w:t xml:space="preserve">Greater Boston Preferred Solution, </w:t>
      </w:r>
      <w:r>
        <w:t xml:space="preserve">presentation </w:t>
      </w:r>
      <w:r w:rsidRPr="001E5D27">
        <w:t xml:space="preserve">(February </w:t>
      </w:r>
      <w:r>
        <w:t xml:space="preserve">18, </w:t>
      </w:r>
      <w:r w:rsidRPr="001E5D27">
        <w:t>2015</w:t>
      </w:r>
      <w:r w:rsidRPr="005A07CD">
        <w:t xml:space="preserve">), </w:t>
      </w:r>
      <w:hyperlink r:id="rId150" w:history="1">
        <w:r w:rsidRPr="005A07CD">
          <w:rPr>
            <w:rStyle w:val="Hyperlink"/>
          </w:rPr>
          <w:t>https://www.iso-ne.com/static-assets/documents/2015/02/a2_isone_greate</w:t>
        </w:r>
        <w:r w:rsidRPr="0098732D">
          <w:rPr>
            <w:rStyle w:val="Hyperlink"/>
          </w:rPr>
          <w:t>r_boston_preferred_solut</w:t>
        </w:r>
        <w:r w:rsidRPr="005A07CD">
          <w:rPr>
            <w:rStyle w:val="Hyperlink"/>
          </w:rPr>
          <w:t>ion_non_ceii.pdf</w:t>
        </w:r>
      </w:hyperlink>
      <w:r w:rsidRPr="005A07CD">
        <w:rPr>
          <w:rStyle w:val="Hyperlink"/>
        </w:rPr>
        <w:t>, and</w:t>
      </w:r>
      <w:r w:rsidRPr="005A07CD">
        <w:t xml:space="preserve"> </w:t>
      </w:r>
      <w:r w:rsidRPr="002F579C">
        <w:rPr>
          <w:i/>
        </w:rPr>
        <w:t>Greater Boston Area Transmission Solutions Study</w:t>
      </w:r>
      <w:r w:rsidRPr="005A07CD">
        <w:t xml:space="preserve"> (August </w:t>
      </w:r>
      <w:r w:rsidRPr="002F579C">
        <w:t xml:space="preserve">12, </w:t>
      </w:r>
      <w:r w:rsidRPr="005A07CD">
        <w:t xml:space="preserve">2015), </w:t>
      </w:r>
      <w:hyperlink r:id="rId151" w:history="1">
        <w:r w:rsidRPr="005A07CD">
          <w:rPr>
            <w:rStyle w:val="Hyperlink"/>
          </w:rPr>
          <w:t>https://smd.iso-ne.com/operations-services/ceii/pac/2015/08/final_greater_boston_transmission_solution_study_reports.zip</w:t>
        </w:r>
      </w:hyperlink>
      <w:r w:rsidRPr="005A07CD">
        <w:t>.</w:t>
      </w:r>
    </w:p>
  </w:footnote>
  <w:footnote w:id="166">
    <w:p w14:paraId="4598B0E6" w14:textId="77777777" w:rsidR="00E231DA" w:rsidRPr="00182F59" w:rsidRDefault="00E231DA" w:rsidP="00B969ED">
      <w:pPr>
        <w:pStyle w:val="FootnoteText"/>
      </w:pPr>
      <w:r w:rsidRPr="00670C67">
        <w:rPr>
          <w:rStyle w:val="FootnoteReference"/>
        </w:rPr>
        <w:footnoteRef/>
      </w:r>
      <w:r w:rsidRPr="00670C67">
        <w:t xml:space="preserve"> ISO New England, “Notice of Initiation of 2028 Boston Area Needs Assessment,” (September 14, 2018), </w:t>
      </w:r>
      <w:hyperlink r:id="rId152" w:history="1">
        <w:r w:rsidRPr="00182F59">
          <w:rPr>
            <w:rStyle w:val="Hyperlink"/>
          </w:rPr>
          <w:t>https://www.iso-ne.com/static-assets/documents/2018/09/notice_of_initiation_of_boston</w:t>
        </w:r>
        <w:r w:rsidRPr="00BB0D3D">
          <w:rPr>
            <w:rStyle w:val="Hyperlink"/>
          </w:rPr>
          <w:t>_2028_needs_assessment_study.pdf</w:t>
        </w:r>
      </w:hyperlink>
      <w:r w:rsidRPr="00182F59">
        <w:t xml:space="preserve">. </w:t>
      </w:r>
    </w:p>
  </w:footnote>
  <w:footnote w:id="167">
    <w:p w14:paraId="0DC735B5" w14:textId="4DDE562B" w:rsidR="00E231DA" w:rsidRDefault="00E231DA" w:rsidP="00B969ED">
      <w:pPr>
        <w:pStyle w:val="FootnoteText"/>
      </w:pPr>
      <w:r w:rsidRPr="003039EF">
        <w:rPr>
          <w:rStyle w:val="FootnoteReference"/>
        </w:rPr>
        <w:footnoteRef/>
      </w:r>
      <w:r w:rsidRPr="003039EF">
        <w:t xml:space="preserve"> </w:t>
      </w:r>
      <w:r w:rsidRPr="003039EF">
        <w:rPr>
          <w:i/>
        </w:rPr>
        <w:t>Updating Needs Assessments</w:t>
      </w:r>
      <w:r w:rsidRPr="003039EF">
        <w:t xml:space="preserve"> presentation; see footnote</w:t>
      </w:r>
      <w:r w:rsidRPr="009F3091">
        <w:t xml:space="preserve"> </w:t>
      </w:r>
      <w:r w:rsidRPr="009F3091">
        <w:fldChar w:fldCharType="begin"/>
      </w:r>
      <w:r w:rsidRPr="009F3091">
        <w:instrText xml:space="preserve"> NOTEREF _Ref16862524 \h </w:instrText>
      </w:r>
      <w:r>
        <w:instrText xml:space="preserve"> \* MERGEFORMAT </w:instrText>
      </w:r>
      <w:r w:rsidRPr="009F3091">
        <w:fldChar w:fldCharType="separate"/>
      </w:r>
      <w:r>
        <w:t>147</w:t>
      </w:r>
      <w:r w:rsidRPr="009F3091">
        <w:fldChar w:fldCharType="end"/>
      </w:r>
      <w:r w:rsidRPr="003039EF">
        <w:t>.</w:t>
      </w:r>
    </w:p>
  </w:footnote>
  <w:footnote w:id="168">
    <w:p w14:paraId="2E64258A" w14:textId="77777777" w:rsidR="00E231DA" w:rsidRDefault="00E231DA" w:rsidP="00B969ED">
      <w:pPr>
        <w:pStyle w:val="FootnoteText"/>
      </w:pPr>
      <w:r w:rsidRPr="00BB3C43">
        <w:rPr>
          <w:rStyle w:val="FootnoteReference"/>
        </w:rPr>
        <w:footnoteRef/>
      </w:r>
      <w:r>
        <w:t xml:space="preserve"> </w:t>
      </w:r>
      <w:r w:rsidRPr="00BB3C43">
        <w:t xml:space="preserve">ISO New England, </w:t>
      </w:r>
      <w:r w:rsidRPr="00BB3C43">
        <w:rPr>
          <w:i/>
        </w:rPr>
        <w:t xml:space="preserve">Final Boston 2028 Needs Assessment </w:t>
      </w:r>
      <w:r w:rsidRPr="00BB3C43">
        <w:t xml:space="preserve">(June 10, 2019), </w:t>
      </w:r>
      <w:hyperlink r:id="rId153" w:history="1">
        <w:r w:rsidRPr="00BB3C43">
          <w:rPr>
            <w:rStyle w:val="Hyperlink"/>
          </w:rPr>
          <w:t>https://smd.iso-ne.com/operations-services/ceii/pac/2019/06/ceii_boston_2028_na.pdf</w:t>
        </w:r>
      </w:hyperlink>
      <w:r w:rsidRPr="00BB3C43">
        <w:t xml:space="preserve">. The report and its appendices are posted under the Greater Boston Key Study Area, webpage (2019), </w:t>
      </w:r>
      <w:hyperlink r:id="rId154" w:history="1">
        <w:r w:rsidRPr="00BB3C43">
          <w:rPr>
            <w:rStyle w:val="Hyperlink"/>
          </w:rPr>
          <w:t>https://www.iso-ne.com/system-planning/key-study-areas/greater-boston/</w:t>
        </w:r>
      </w:hyperlink>
      <w:r w:rsidRPr="00BB3C43">
        <w:t>.</w:t>
      </w:r>
    </w:p>
  </w:footnote>
  <w:footnote w:id="169">
    <w:p w14:paraId="5300EF3B" w14:textId="77777777" w:rsidR="00E231DA" w:rsidRDefault="00E231DA" w:rsidP="00183B2D">
      <w:pPr>
        <w:pStyle w:val="FootnoteText"/>
      </w:pPr>
      <w:r>
        <w:rPr>
          <w:rStyle w:val="FootnoteReference"/>
        </w:rPr>
        <w:footnoteRef/>
      </w:r>
      <w:r>
        <w:t xml:space="preserve"> The r</w:t>
      </w:r>
      <w:r w:rsidRPr="006C7935">
        <w:t xml:space="preserve">etirement of the </w:t>
      </w:r>
      <w:r>
        <w:t>Mystic 8 and 9 resources would</w:t>
      </w:r>
      <w:r w:rsidRPr="006C7935">
        <w:t xml:space="preserve"> delay</w:t>
      </w:r>
      <w:r>
        <w:t xml:space="preserve"> or</w:t>
      </w:r>
      <w:r w:rsidRPr="006C7935">
        <w:t xml:space="preserve"> inhibit </w:t>
      </w:r>
      <w:r>
        <w:t xml:space="preserve">the </w:t>
      </w:r>
      <w:r w:rsidRPr="006C7935">
        <w:t>Boston 345 kV cable and load restoration without replacement of their dynamic reactive capability</w:t>
      </w:r>
      <w:r>
        <w:t>.</w:t>
      </w:r>
      <w:r w:rsidRPr="00017B38">
        <w:t xml:space="preserve"> </w:t>
      </w:r>
      <w:r w:rsidRPr="0088078B">
        <w:t>Due to the confidentiality of the system restoration plan under the ISO</w:t>
      </w:r>
      <w:r>
        <w:t xml:space="preserve">’s </w:t>
      </w:r>
      <w:r w:rsidRPr="0088078B">
        <w:t xml:space="preserve">Information Policy, the ISO </w:t>
      </w:r>
      <w:r>
        <w:t xml:space="preserve">can </w:t>
      </w:r>
      <w:r w:rsidRPr="0088078B">
        <w:t xml:space="preserve">only </w:t>
      </w:r>
      <w:r>
        <w:t>r</w:t>
      </w:r>
      <w:r w:rsidRPr="0088078B">
        <w:t>eport the size and location of the needed reactive device.</w:t>
      </w:r>
    </w:p>
  </w:footnote>
  <w:footnote w:id="170">
    <w:p w14:paraId="65E68AF0" w14:textId="77777777" w:rsidR="00E231DA" w:rsidRPr="00670C67" w:rsidRDefault="00E231DA" w:rsidP="00851352">
      <w:pPr>
        <w:pStyle w:val="FootnoteText"/>
      </w:pPr>
      <w:r w:rsidRPr="00670C67">
        <w:rPr>
          <w:rStyle w:val="FootnoteReference"/>
        </w:rPr>
        <w:footnoteRef/>
      </w:r>
      <w:r w:rsidRPr="00670C67">
        <w:t xml:space="preserve"> ISO New England,</w:t>
      </w:r>
      <w:r w:rsidRPr="00670C67">
        <w:rPr>
          <w:i/>
          <w:szCs w:val="18"/>
        </w:rPr>
        <w:t xml:space="preserve"> </w:t>
      </w:r>
      <w:r w:rsidRPr="00C444E6">
        <w:rPr>
          <w:i/>
          <w:szCs w:val="18"/>
        </w:rPr>
        <w:t>“</w:t>
      </w:r>
      <w:r w:rsidRPr="00C444E6">
        <w:t>Southeastern Massachusetts and Rhode Island Key Study Area</w:t>
      </w:r>
      <w:r w:rsidRPr="00670C67">
        <w:t>,</w:t>
      </w:r>
      <w:r w:rsidRPr="00C444E6">
        <w:t>”</w:t>
      </w:r>
      <w:r w:rsidRPr="00670C67">
        <w:t xml:space="preserve"> webpage (201</w:t>
      </w:r>
      <w:r w:rsidRPr="00C444E6">
        <w:t>9</w:t>
      </w:r>
      <w:r w:rsidRPr="00670C67">
        <w:t xml:space="preserve">), </w:t>
      </w:r>
      <w:hyperlink r:id="rId155" w:history="1">
        <w:r w:rsidRPr="00670C67">
          <w:rPr>
            <w:rStyle w:val="Hyperlink"/>
          </w:rPr>
          <w:t>https://www.iso-ne.com/system-planning/key-study-areas/sema-ri</w:t>
        </w:r>
      </w:hyperlink>
      <w:r w:rsidRPr="00670C67">
        <w:t>.</w:t>
      </w:r>
    </w:p>
  </w:footnote>
  <w:footnote w:id="171">
    <w:p w14:paraId="586D1797" w14:textId="77777777" w:rsidR="00E231DA" w:rsidRPr="0098732D" w:rsidRDefault="00E231D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Area Needs Assessment (N-1)</w:t>
      </w:r>
      <w:r>
        <w:t>, presentation</w:t>
      </w:r>
      <w:r w:rsidRPr="0098732D">
        <w:rPr>
          <w:i/>
        </w:rPr>
        <w:t xml:space="preserve"> </w:t>
      </w:r>
      <w:r w:rsidRPr="0098732D">
        <w:t xml:space="preserve">(October </w:t>
      </w:r>
      <w:r w:rsidRPr="00C444E6">
        <w:t xml:space="preserve">17, </w:t>
      </w:r>
      <w:r w:rsidRPr="0098732D">
        <w:t xml:space="preserve">2012), </w:t>
      </w:r>
      <w:hyperlink r:id="rId156" w:history="1">
        <w:r w:rsidRPr="0098732D">
          <w:rPr>
            <w:rStyle w:val="Hyperlink"/>
          </w:rPr>
          <w:t>https://smd.iso-ne.com/committees/comm_wkgrps/prtcpnts_comm/pac/ceii/mtrls/2012/oct172012/sema_ri.pdf</w:t>
        </w:r>
      </w:hyperlink>
      <w:r w:rsidRPr="0098732D">
        <w:rPr>
          <w:rStyle w:val="Hyperlink"/>
        </w:rPr>
        <w:t xml:space="preserve">; </w:t>
      </w:r>
      <w:r w:rsidRPr="0098732D">
        <w:rPr>
          <w:i/>
        </w:rPr>
        <w:t>Southeastern Massachusetts and Rhode Island (SEMA/RI) Area Needs Assessment (N-1)</w:t>
      </w:r>
      <w:r>
        <w:t>, presentation</w:t>
      </w:r>
      <w:r w:rsidRPr="0098732D">
        <w:rPr>
          <w:i/>
        </w:rPr>
        <w:t xml:space="preserve"> </w:t>
      </w:r>
      <w:r w:rsidRPr="0098732D">
        <w:t xml:space="preserve">(February </w:t>
      </w:r>
      <w:r w:rsidRPr="00C444E6">
        <w:t xml:space="preserve">19, </w:t>
      </w:r>
      <w:r w:rsidRPr="0098732D">
        <w:t>2014)</w:t>
      </w:r>
      <w:r w:rsidRPr="0098732D">
        <w:rPr>
          <w:i/>
        </w:rPr>
        <w:t>,</w:t>
      </w:r>
      <w:r w:rsidRPr="0098732D">
        <w:t xml:space="preserve"> </w:t>
      </w:r>
      <w:hyperlink r:id="rId157" w:history="1">
        <w:r w:rsidRPr="0098732D">
          <w:rPr>
            <w:rStyle w:val="Hyperlink"/>
          </w:rPr>
          <w:t>https://smd.iso-ne.com/committees/comm_wkgrps/prtcpnts_comm/pac/ceii/mtrls/2014/feb192014/a8_sema_ri_needs_assessment.pdf</w:t>
        </w:r>
      </w:hyperlink>
      <w:r w:rsidRPr="0098732D">
        <w:rPr>
          <w:rStyle w:val="Hyperlink"/>
        </w:rPr>
        <w:t>; and</w:t>
      </w:r>
      <w:r w:rsidRPr="0098732D">
        <w:t xml:space="preserve"> </w:t>
      </w:r>
      <w:r w:rsidRPr="0098732D">
        <w:rPr>
          <w:i/>
        </w:rPr>
        <w:t>Southeastern Massachusetts and Rhode Island Area Needs Assessment (N-1-1)</w:t>
      </w:r>
      <w:r>
        <w:t>, presentation</w:t>
      </w:r>
      <w:r w:rsidRPr="0098732D">
        <w:rPr>
          <w:i/>
        </w:rPr>
        <w:t xml:space="preserve"> </w:t>
      </w:r>
      <w:r w:rsidRPr="0098732D">
        <w:t xml:space="preserve">(July </w:t>
      </w:r>
      <w:r w:rsidRPr="00C444E6">
        <w:t xml:space="preserve">15, </w:t>
      </w:r>
      <w:r w:rsidRPr="0098732D">
        <w:t>2014),</w:t>
      </w:r>
      <w:r w:rsidRPr="0098732D">
        <w:rPr>
          <w:i/>
        </w:rPr>
        <w:t xml:space="preserve"> </w:t>
      </w:r>
      <w:hyperlink r:id="rId158" w:history="1">
        <w:r w:rsidRPr="0098732D">
          <w:rPr>
            <w:rStyle w:val="Hyperlink"/>
          </w:rPr>
          <w:t>https://smd.iso-ne.com/committees/comm_wkgrps/prtcpnts_comm/pac/ceii/mtrls/2014/jul152014/a5_sema_ri_area_needs_2_n_1_1_rev1.pdf</w:t>
        </w:r>
      </w:hyperlink>
      <w:r w:rsidRPr="0098732D">
        <w:t>.</w:t>
      </w:r>
    </w:p>
  </w:footnote>
  <w:footnote w:id="172">
    <w:p w14:paraId="6C2EE61A" w14:textId="77777777" w:rsidR="00E231DA" w:rsidRPr="003A1975" w:rsidRDefault="00E231D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Needs Assessment</w:t>
      </w:r>
      <w:r w:rsidRPr="00C444E6">
        <w:rPr>
          <w:i/>
        </w:rPr>
        <w:t>, Revision 2</w:t>
      </w:r>
      <w:r>
        <w:t>, presentation</w:t>
      </w:r>
      <w:r w:rsidRPr="0098732D">
        <w:rPr>
          <w:i/>
        </w:rPr>
        <w:t xml:space="preserve"> </w:t>
      </w:r>
      <w:r w:rsidRPr="0098732D">
        <w:t xml:space="preserve">(March </w:t>
      </w:r>
      <w:r w:rsidRPr="00C444E6">
        <w:t xml:space="preserve">22, </w:t>
      </w:r>
      <w:r w:rsidRPr="0098732D">
        <w:t xml:space="preserve">2016), </w:t>
      </w:r>
      <w:hyperlink r:id="rId159" w:history="1">
        <w:r w:rsidRPr="0098732D">
          <w:rPr>
            <w:rStyle w:val="Hyperlink"/>
          </w:rPr>
          <w:t>https://smd.iso-ne.com/operations-services/ceii/pac/2016/05/final_sema_ri_2026_needs_assessment_presentation_rev2.pdf</w:t>
        </w:r>
      </w:hyperlink>
      <w:r w:rsidRPr="0098732D">
        <w:rPr>
          <w:rStyle w:val="Hyperlink"/>
        </w:rPr>
        <w:t xml:space="preserve">, and </w:t>
      </w:r>
      <w:r w:rsidRPr="0098732D">
        <w:rPr>
          <w:i/>
        </w:rPr>
        <w:t xml:space="preserve">Southeastern Massachusetts and Rhode Island Area 2026 Needs Assessment </w:t>
      </w:r>
      <w:r w:rsidRPr="0098732D">
        <w:t xml:space="preserve">(May 2016), </w:t>
      </w:r>
      <w:hyperlink r:id="rId160" w:history="1">
        <w:r w:rsidRPr="0098732D">
          <w:rPr>
            <w:rStyle w:val="Hyperlink"/>
          </w:rPr>
          <w:t>https://smd.iso-ne.com/operations-services/ceii/pac/2016/05/final_sema_ri_needs_assessment_report.pdf</w:t>
        </w:r>
      </w:hyperlink>
      <w:r w:rsidRPr="0098732D">
        <w:t>.</w:t>
      </w:r>
    </w:p>
  </w:footnote>
  <w:footnote w:id="173">
    <w:p w14:paraId="5E3E6303" w14:textId="77777777" w:rsidR="00E231DA" w:rsidRPr="003A1975" w:rsidRDefault="00E231DA" w:rsidP="00B969ED">
      <w:pPr>
        <w:pStyle w:val="FootnoteText"/>
      </w:pPr>
      <w:r w:rsidRPr="0098732D">
        <w:rPr>
          <w:rStyle w:val="FootnoteReference"/>
        </w:rPr>
        <w:footnoteRef/>
      </w:r>
      <w:r w:rsidRPr="0098732D">
        <w:t xml:space="preserve"> ISO New England,</w:t>
      </w:r>
      <w:r w:rsidRPr="0098732D">
        <w:rPr>
          <w:i/>
          <w:szCs w:val="18"/>
        </w:rPr>
        <w:t xml:space="preserve"> </w:t>
      </w:r>
      <w:r w:rsidRPr="0098732D">
        <w:rPr>
          <w:i/>
        </w:rPr>
        <w:t>Southeastern Massachusetts and Rhode Island 2026 Preliminary Preferred Solution</w:t>
      </w:r>
      <w:r w:rsidRPr="00C444E6">
        <w:t>, presentation</w:t>
      </w:r>
      <w:r w:rsidRPr="0098732D">
        <w:rPr>
          <w:i/>
        </w:rPr>
        <w:t xml:space="preserve"> </w:t>
      </w:r>
      <w:r w:rsidRPr="0098732D">
        <w:t>(December 2016</w:t>
      </w:r>
      <w:r w:rsidRPr="0098732D">
        <w:rPr>
          <w:i/>
        </w:rPr>
        <w:t>),</w:t>
      </w:r>
      <w:r w:rsidRPr="0098732D">
        <w:t xml:space="preserve"> </w:t>
      </w:r>
      <w:hyperlink r:id="rId161" w:history="1">
        <w:r w:rsidRPr="0098732D">
          <w:rPr>
            <w:rStyle w:val="Hyperlink"/>
          </w:rPr>
          <w:t>https://smd.iso-ne.com/operations-services/ceii/pac/2016/12/a3_sema_ri_2026_preliminary_preferred_solutions.pdf</w:t>
        </w:r>
      </w:hyperlink>
      <w:r w:rsidRPr="0098732D">
        <w:rPr>
          <w:rStyle w:val="Hyperlink"/>
        </w:rPr>
        <w:t>, and</w:t>
      </w:r>
      <w:r w:rsidRPr="0098732D">
        <w:t xml:space="preserve"> </w:t>
      </w:r>
      <w:r w:rsidRPr="000E6ED0">
        <w:rPr>
          <w:i/>
        </w:rPr>
        <w:t>Southeastern Massachusetts and Rhode Island Area 2026 Solutions Study, Revision 1</w:t>
      </w:r>
      <w:r w:rsidRPr="0098732D">
        <w:t xml:space="preserve"> (March 2017), </w:t>
      </w:r>
      <w:hyperlink r:id="rId162" w:history="1">
        <w:r w:rsidRPr="0098732D">
          <w:rPr>
            <w:rStyle w:val="Hyperlink"/>
          </w:rPr>
          <w:t>https://smd.iso-ne.com/operations-services/ceii/pac/2017/02/final_sema_ri_2026_solutions_study_report_rev1.pdf</w:t>
        </w:r>
      </w:hyperlink>
      <w:r w:rsidRPr="0098732D">
        <w:t>.</w:t>
      </w:r>
    </w:p>
  </w:footnote>
  <w:footnote w:id="174">
    <w:p w14:paraId="1A6955C4" w14:textId="77777777" w:rsidR="00E231DA" w:rsidRPr="00D77790" w:rsidRDefault="00E231DA" w:rsidP="00B969ED">
      <w:pPr>
        <w:pStyle w:val="FootnoteText"/>
      </w:pPr>
      <w:r w:rsidRPr="00D77790">
        <w:rPr>
          <w:rStyle w:val="FootnoteReference"/>
        </w:rPr>
        <w:footnoteRef/>
      </w:r>
      <w:r w:rsidRPr="00D77790">
        <w:t xml:space="preserve"> National Grid,</w:t>
      </w:r>
      <w:r w:rsidRPr="00D77790">
        <w:rPr>
          <w:i/>
          <w:szCs w:val="18"/>
        </w:rPr>
        <w:t xml:space="preserve"> </w:t>
      </w:r>
      <w:r w:rsidRPr="00D77790">
        <w:rPr>
          <w:i/>
        </w:rPr>
        <w:t>Newport RI (Aquidneck Island) Transmission Area Improvements</w:t>
      </w:r>
      <w:r w:rsidRPr="00C444E6">
        <w:rPr>
          <w:i/>
        </w:rPr>
        <w:t>—</w:t>
      </w:r>
      <w:r w:rsidRPr="00D77790">
        <w:rPr>
          <w:i/>
        </w:rPr>
        <w:t>Needs and Preferred Solution</w:t>
      </w:r>
      <w:r w:rsidRPr="00C444E6">
        <w:t xml:space="preserve">, </w:t>
      </w:r>
      <w:r w:rsidRPr="00D77790">
        <w:t xml:space="preserve">PAC </w:t>
      </w:r>
      <w:r w:rsidRPr="00C444E6">
        <w:t>presentation</w:t>
      </w:r>
      <w:r w:rsidRPr="00D77790">
        <w:rPr>
          <w:i/>
        </w:rPr>
        <w:t xml:space="preserve"> </w:t>
      </w:r>
      <w:r w:rsidRPr="00D77790">
        <w:t xml:space="preserve">(April 2015), </w:t>
      </w:r>
      <w:hyperlink r:id="rId163" w:history="1">
        <w:r w:rsidRPr="00D77790">
          <w:rPr>
            <w:rStyle w:val="Hyperlink"/>
          </w:rPr>
          <w:t>https://smd.iso-ne.com/planning/ceii/reports/2010s/archive/a7_newport_aquidneck_island_transmission_area_improvements_presentation.pdf</w:t>
        </w:r>
      </w:hyperlink>
      <w:r w:rsidRPr="00D77790">
        <w:t>.</w:t>
      </w:r>
    </w:p>
  </w:footnote>
  <w:footnote w:id="175">
    <w:p w14:paraId="560BF45A" w14:textId="77777777" w:rsidR="00E231DA" w:rsidRPr="003A1975" w:rsidRDefault="00E231DA" w:rsidP="00B969ED">
      <w:pPr>
        <w:pStyle w:val="FootnoteText"/>
      </w:pPr>
      <w:r w:rsidRPr="00D77790">
        <w:rPr>
          <w:rStyle w:val="FootnoteReference"/>
        </w:rPr>
        <w:footnoteRef/>
      </w:r>
      <w:r w:rsidRPr="00D77790">
        <w:t xml:space="preserve"> ISO New England, </w:t>
      </w:r>
      <w:r w:rsidRPr="00C444E6">
        <w:t>“Notice of Initiation of Southeastern Massachusetts and Rhode Island (SEMA-RI) Needs Assessment,”</w:t>
      </w:r>
      <w:r w:rsidRPr="00D77790">
        <w:rPr>
          <w:i/>
        </w:rPr>
        <w:t xml:space="preserve"> </w:t>
      </w:r>
      <w:r w:rsidRPr="00D77790">
        <w:t xml:space="preserve">(June 29, 2017), </w:t>
      </w:r>
      <w:hyperlink r:id="rId164" w:history="1">
        <w:r w:rsidRPr="00D77790">
          <w:rPr>
            <w:rStyle w:val="Hyperlink"/>
          </w:rPr>
          <w:t>https://www.iso-ne.com/static-assets/documents/2017/06/2027_sema_ri_needs_assessment_study_initiation_pac_notice.pdf</w:t>
        </w:r>
      </w:hyperlink>
      <w:r w:rsidRPr="00D77790">
        <w:t xml:space="preserve">. </w:t>
      </w:r>
    </w:p>
  </w:footnote>
  <w:footnote w:id="176">
    <w:p w14:paraId="23AA0AB9" w14:textId="424F3A29" w:rsidR="00E231DA" w:rsidRPr="00D77790" w:rsidRDefault="00E231DA" w:rsidP="00B969ED">
      <w:pPr>
        <w:pStyle w:val="FootnoteText"/>
      </w:pPr>
      <w:r w:rsidRPr="00D77790">
        <w:rPr>
          <w:rStyle w:val="FootnoteReference"/>
        </w:rPr>
        <w:footnoteRef/>
      </w:r>
      <w:r w:rsidRPr="00D77790">
        <w:t xml:space="preserve"> ISO New England, </w:t>
      </w:r>
      <w:r w:rsidRPr="00D77790">
        <w:rPr>
          <w:i/>
        </w:rPr>
        <w:t>Southeastern Massachusetts and Rhode Island (SEMA/RI) 2027 Needs Assessment Scope of Work,</w:t>
      </w:r>
      <w:r w:rsidRPr="00203A97">
        <w:rPr>
          <w:i/>
        </w:rPr>
        <w:t xml:space="preserve"> </w:t>
      </w:r>
      <w:r w:rsidRPr="00203A97">
        <w:t>presentation</w:t>
      </w:r>
      <w:r w:rsidRPr="00203A97">
        <w:rPr>
          <w:i/>
        </w:rPr>
        <w:t xml:space="preserve"> </w:t>
      </w:r>
      <w:r w:rsidRPr="00203A97">
        <w:t xml:space="preserve">(December 20, 2017), </w:t>
      </w:r>
      <w:hyperlink r:id="rId165" w:history="1">
        <w:r w:rsidRPr="00D77790">
          <w:rPr>
            <w:rStyle w:val="Hyperlink"/>
          </w:rPr>
          <w:t>https://www.iso-ne.com/static-assets/documents/2017/12/a_11_sema_ri_2027_needs_assessment_scope_of_work.pdf</w:t>
        </w:r>
      </w:hyperlink>
      <w:r w:rsidRPr="00D77790">
        <w:rPr>
          <w:rStyle w:val="Hyperlink"/>
        </w:rPr>
        <w:t xml:space="preserve">. </w:t>
      </w:r>
      <w:r>
        <w:rPr>
          <w:rStyle w:val="Hyperlink"/>
        </w:rPr>
        <w:t xml:space="preserve">Also, the </w:t>
      </w:r>
      <w:r w:rsidRPr="00D77790">
        <w:rPr>
          <w:i/>
        </w:rPr>
        <w:t xml:space="preserve">Updating Needs </w:t>
      </w:r>
      <w:r w:rsidRPr="003039EF">
        <w:rPr>
          <w:i/>
        </w:rPr>
        <w:t xml:space="preserve">Assessments </w:t>
      </w:r>
      <w:r w:rsidRPr="003039EF">
        <w:t xml:space="preserve">presentation; see footnote </w:t>
      </w:r>
      <w:r w:rsidRPr="009F3091">
        <w:fldChar w:fldCharType="begin"/>
      </w:r>
      <w:r w:rsidRPr="009F3091">
        <w:instrText xml:space="preserve"> NOTEREF _Ref16862524 \h </w:instrText>
      </w:r>
      <w:r>
        <w:instrText xml:space="preserve"> \* MERGEFORMAT </w:instrText>
      </w:r>
      <w:r w:rsidRPr="009F3091">
        <w:fldChar w:fldCharType="separate"/>
      </w:r>
      <w:r>
        <w:t>147</w:t>
      </w:r>
      <w:r w:rsidRPr="009F3091">
        <w:fldChar w:fldCharType="end"/>
      </w:r>
      <w:r w:rsidRPr="003039EF">
        <w:t>.</w:t>
      </w:r>
      <w:r>
        <w:t xml:space="preserve"> </w:t>
      </w:r>
    </w:p>
  </w:footnote>
  <w:footnote w:id="177">
    <w:p w14:paraId="4D6A0F82" w14:textId="793620CD" w:rsidR="00E231DA" w:rsidRDefault="00E231DA" w:rsidP="0014746E">
      <w:pPr>
        <w:pStyle w:val="FootnoteText"/>
      </w:pPr>
      <w:r>
        <w:rPr>
          <w:rStyle w:val="FootnoteReference"/>
        </w:rPr>
        <w:footnoteRef/>
      </w:r>
      <w:r>
        <w:t xml:space="preserve"> ISO New England, </w:t>
      </w:r>
      <w:r w:rsidRPr="00736326">
        <w:rPr>
          <w:i/>
        </w:rPr>
        <w:t>Southeastern Massachusetts and Rhode Island 2028 Needs Assessment Scope of Work</w:t>
      </w:r>
      <w:r>
        <w:t xml:space="preserve">, (November 15, 2018), </w:t>
      </w:r>
      <w:hyperlink r:id="rId166" w:history="1">
        <w:r w:rsidRPr="00932112">
          <w:rPr>
            <w:rStyle w:val="Hyperlink"/>
          </w:rPr>
          <w:t>https://www.iso-ne.com/static-assets/documents/2018/11/a3_sema_ri_2028_needs_assessment_scope_of_work.pdf</w:t>
        </w:r>
      </w:hyperlink>
      <w:r>
        <w:t xml:space="preserve">. </w:t>
      </w:r>
    </w:p>
  </w:footnote>
  <w:footnote w:id="178">
    <w:p w14:paraId="78E1BFD2" w14:textId="77777777" w:rsidR="00E231DA" w:rsidRPr="00D77790" w:rsidRDefault="00E231DA" w:rsidP="00B969ED">
      <w:pPr>
        <w:pStyle w:val="FootnoteText"/>
      </w:pPr>
      <w:r w:rsidRPr="00D77790">
        <w:rPr>
          <w:rStyle w:val="FootnoteReference"/>
        </w:rPr>
        <w:footnoteRef/>
      </w:r>
      <w:r w:rsidRPr="00D77790">
        <w:t xml:space="preserve"> ISO New England, </w:t>
      </w:r>
      <w:r w:rsidRPr="00D77790">
        <w:rPr>
          <w:i/>
        </w:rPr>
        <w:t>Southeastern Massachusetts and Rhode Island Area 2026 Minimum Load Needs Assessment</w:t>
      </w:r>
      <w:r w:rsidRPr="00D77790">
        <w:t xml:space="preserve"> (August </w:t>
      </w:r>
      <w:r w:rsidRPr="00C444E6">
        <w:t xml:space="preserve">2, </w:t>
      </w:r>
      <w:r w:rsidRPr="00D77790">
        <w:t xml:space="preserve">2017), </w:t>
      </w:r>
      <w:hyperlink r:id="rId167" w:history="1">
        <w:r w:rsidRPr="00D77790">
          <w:rPr>
            <w:rStyle w:val="Hyperlink"/>
          </w:rPr>
          <w:t>https://smd.iso-ne.com/operations-services/ceii/pac/2017/08/ceii_final_sema_ri_min_load_needs_assessment_report.pdf</w:t>
        </w:r>
      </w:hyperlink>
      <w:r w:rsidRPr="00D77790">
        <w:t xml:space="preserve">. </w:t>
      </w:r>
    </w:p>
  </w:footnote>
  <w:footnote w:id="179">
    <w:p w14:paraId="273CAF40" w14:textId="77777777" w:rsidR="00E231DA" w:rsidRPr="004531FC" w:rsidRDefault="00E231DA" w:rsidP="00B969ED">
      <w:pPr>
        <w:pStyle w:val="FootnoteText"/>
      </w:pPr>
      <w:r w:rsidRPr="004531FC">
        <w:rPr>
          <w:rStyle w:val="FootnoteReference"/>
        </w:rPr>
        <w:footnoteRef/>
      </w:r>
      <w:r w:rsidRPr="004531FC">
        <w:t xml:space="preserve"> ISO New England, </w:t>
      </w:r>
      <w:r w:rsidRPr="00C444E6">
        <w:t>“Notice of Initiation of the 2026 Southeastern Massachusetts and Rhode Island (SEMA/RI) Minimum Load Solutions Study,”</w:t>
      </w:r>
      <w:r w:rsidRPr="004531FC">
        <w:t xml:space="preserve"> (September 13, 2017), </w:t>
      </w:r>
      <w:hyperlink r:id="rId168" w:history="1">
        <w:r w:rsidRPr="004531FC">
          <w:rPr>
            <w:rStyle w:val="Hyperlink"/>
          </w:rPr>
          <w:t>https://www.iso-ne.com/static-assets/documents/2017/09/2026_sema_ri_minimum_load_solutions_study_initiation_pac_notice.docx</w:t>
        </w:r>
      </w:hyperlink>
      <w:r w:rsidRPr="004531FC">
        <w:t xml:space="preserve">. </w:t>
      </w:r>
    </w:p>
  </w:footnote>
  <w:footnote w:id="180">
    <w:p w14:paraId="5E1BF5A0" w14:textId="77777777" w:rsidR="00E231DA" w:rsidRPr="004531FC" w:rsidRDefault="00E231DA" w:rsidP="00B969ED">
      <w:pPr>
        <w:pStyle w:val="FootnoteText"/>
      </w:pPr>
      <w:r w:rsidRPr="004531FC">
        <w:rPr>
          <w:rStyle w:val="FootnoteReference"/>
        </w:rPr>
        <w:footnoteRef/>
      </w:r>
      <w:r w:rsidRPr="004531FC">
        <w:t xml:space="preserve"> ISO New England,</w:t>
      </w:r>
      <w:r w:rsidRPr="004531FC">
        <w:rPr>
          <w:i/>
          <w:szCs w:val="18"/>
        </w:rPr>
        <w:t xml:space="preserve"> </w:t>
      </w:r>
      <w:r w:rsidRPr="00C444E6">
        <w:rPr>
          <w:i/>
          <w:szCs w:val="18"/>
        </w:rPr>
        <w:t>“</w:t>
      </w:r>
      <w:r w:rsidRPr="00C444E6">
        <w:t>Maine Key Study Area</w:t>
      </w:r>
      <w:r w:rsidRPr="004531FC">
        <w:t>,</w:t>
      </w:r>
      <w:r w:rsidRPr="00C444E6">
        <w:t>”</w:t>
      </w:r>
      <w:r w:rsidRPr="004531FC">
        <w:t xml:space="preserve"> webpage (201</w:t>
      </w:r>
      <w:r w:rsidRPr="00C444E6">
        <w:t>9</w:t>
      </w:r>
      <w:r w:rsidRPr="004531FC">
        <w:t xml:space="preserve">), </w:t>
      </w:r>
      <w:hyperlink r:id="rId169" w:history="1">
        <w:r w:rsidRPr="004531FC">
          <w:rPr>
            <w:rStyle w:val="Hyperlink"/>
          </w:rPr>
          <w:t>https://www.iso-ne.com/system-planning/key-study-areas/maine</w:t>
        </w:r>
      </w:hyperlink>
      <w:r w:rsidRPr="004531FC">
        <w:rPr>
          <w:rStyle w:val="Hyperlink"/>
        </w:rPr>
        <w:t>.</w:t>
      </w:r>
      <w:r w:rsidRPr="004531FC">
        <w:t xml:space="preserve"> </w:t>
      </w:r>
      <w:r>
        <w:t xml:space="preserve">Also, </w:t>
      </w:r>
      <w:r w:rsidRPr="004531FC">
        <w:rPr>
          <w:i/>
        </w:rPr>
        <w:t>Maine Transmission System 2023 Needs Assessment Steady State Results</w:t>
      </w:r>
      <w:r w:rsidRPr="00C444E6">
        <w:t>, presentation</w:t>
      </w:r>
      <w:r w:rsidRPr="004531FC">
        <w:rPr>
          <w:i/>
        </w:rPr>
        <w:t xml:space="preserve"> </w:t>
      </w:r>
      <w:r w:rsidRPr="004531FC">
        <w:t>(September</w:t>
      </w:r>
      <w:r w:rsidRPr="00C444E6">
        <w:t xml:space="preserve"> 17, </w:t>
      </w:r>
      <w:r w:rsidRPr="004531FC">
        <w:t xml:space="preserve">2014), </w:t>
      </w:r>
      <w:hyperlink r:id="rId170" w:history="1">
        <w:r w:rsidRPr="004531FC">
          <w:rPr>
            <w:rStyle w:val="Hyperlink"/>
          </w:rPr>
          <w:t>https://smd.iso-ne.com/operations-services/ceii/pac/2014/a3_maine_2023_needs_assessment_results.pdf</w:t>
        </w:r>
      </w:hyperlink>
      <w:r w:rsidRPr="004531FC">
        <w:rPr>
          <w:rStyle w:val="Hyperlink"/>
        </w:rPr>
        <w:t>, and</w:t>
      </w:r>
      <w:r>
        <w:rPr>
          <w:rStyle w:val="Hyperlink"/>
        </w:rPr>
        <w:t>, with TRC Engineers, LLC, et al.,</w:t>
      </w:r>
      <w:r w:rsidRPr="004531FC">
        <w:rPr>
          <w:rStyle w:val="Hyperlink"/>
        </w:rPr>
        <w:t xml:space="preserve"> </w:t>
      </w:r>
      <w:r w:rsidRPr="004531FC">
        <w:rPr>
          <w:i/>
        </w:rPr>
        <w:t xml:space="preserve">Maine Transmission System 2023 Needs Assessment and TPL-001-4 Compliance Study Report </w:t>
      </w:r>
      <w:r w:rsidRPr="004531FC">
        <w:t xml:space="preserve">(December 2014), </w:t>
      </w:r>
      <w:hyperlink r:id="rId171" w:history="1">
        <w:r w:rsidRPr="004531FC">
          <w:rPr>
            <w:rStyle w:val="Hyperlink"/>
          </w:rPr>
          <w:t>https://smd.iso-ne.com/operations-services/ceii/pac/2014/final_maine_2023_needs_assessment_tpl_001_4_compliance_report.pdf</w:t>
        </w:r>
      </w:hyperlink>
      <w:r w:rsidRPr="004531FC">
        <w:t>.</w:t>
      </w:r>
    </w:p>
  </w:footnote>
  <w:footnote w:id="181">
    <w:p w14:paraId="71AAF0FC" w14:textId="77777777" w:rsidR="00E231DA" w:rsidRPr="003A1975" w:rsidRDefault="00E231DA"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 xml:space="preserve">Final Addendum Analysis Report to the 2023 Maine Transmission System Needs Assessment </w:t>
      </w:r>
      <w:r w:rsidRPr="004531FC">
        <w:t>(April</w:t>
      </w:r>
      <w:r w:rsidRPr="00B76BF8">
        <w:t xml:space="preserve"> 28, </w:t>
      </w:r>
      <w:r w:rsidRPr="004531FC">
        <w:t xml:space="preserve">2016), </w:t>
      </w:r>
      <w:hyperlink r:id="rId172" w:history="1">
        <w:r w:rsidRPr="004531FC">
          <w:rPr>
            <w:rStyle w:val="Hyperlink"/>
          </w:rPr>
          <w:t>https://smd.iso-ne.com/operations-services/ceii/pac/2016/04/2023-final-me-addendum-report_20160428.pdf</w:t>
        </w:r>
      </w:hyperlink>
      <w:r w:rsidRPr="004531FC">
        <w:rPr>
          <w:rStyle w:val="Hyperlink"/>
        </w:rPr>
        <w:t>.</w:t>
      </w:r>
      <w:r w:rsidRPr="004531FC">
        <w:t xml:space="preserve"> </w:t>
      </w:r>
    </w:p>
  </w:footnote>
  <w:footnote w:id="182">
    <w:p w14:paraId="45EBE909" w14:textId="77777777" w:rsidR="00E231DA" w:rsidRPr="004531FC" w:rsidRDefault="00E231DA" w:rsidP="00B969ED">
      <w:pPr>
        <w:pStyle w:val="FootnoteText"/>
      </w:pPr>
      <w:r w:rsidRPr="004531FC">
        <w:rPr>
          <w:rStyle w:val="FootnoteReference"/>
        </w:rPr>
        <w:footnoteRef/>
      </w:r>
      <w:r w:rsidRPr="004531FC">
        <w:t xml:space="preserve"> ISO New England,</w:t>
      </w:r>
      <w:r w:rsidRPr="004531FC">
        <w:rPr>
          <w:i/>
          <w:szCs w:val="18"/>
        </w:rPr>
        <w:t xml:space="preserve"> </w:t>
      </w:r>
      <w:r w:rsidRPr="004531FC">
        <w:rPr>
          <w:i/>
        </w:rPr>
        <w:t>Maine 2023 Solutions Study Update</w:t>
      </w:r>
      <w:r w:rsidRPr="00B76BF8">
        <w:t>, presentation</w:t>
      </w:r>
      <w:r w:rsidRPr="004531FC">
        <w:rPr>
          <w:i/>
        </w:rPr>
        <w:t xml:space="preserve"> </w:t>
      </w:r>
      <w:r w:rsidRPr="004531FC">
        <w:t xml:space="preserve">(January </w:t>
      </w:r>
      <w:r w:rsidRPr="00B76BF8">
        <w:t xml:space="preserve">18, </w:t>
      </w:r>
      <w:r w:rsidRPr="004531FC">
        <w:t xml:space="preserve">2017), </w:t>
      </w:r>
      <w:hyperlink r:id="rId173" w:history="1">
        <w:r w:rsidRPr="004531FC">
          <w:rPr>
            <w:rStyle w:val="Hyperlink"/>
          </w:rPr>
          <w:t>https://smd.iso-ne.com/operations-services/ceii/pac/2017/01/a4_maine_2023_solution_study_update.pdf</w:t>
        </w:r>
      </w:hyperlink>
      <w:r w:rsidRPr="004531FC">
        <w:t>.</w:t>
      </w:r>
    </w:p>
  </w:footnote>
  <w:footnote w:id="183">
    <w:p w14:paraId="0657D0EB" w14:textId="77777777" w:rsidR="00E231DA" w:rsidRPr="004531FC" w:rsidRDefault="00E231DA" w:rsidP="00B969ED">
      <w:pPr>
        <w:pStyle w:val="FootnoteText"/>
      </w:pPr>
      <w:r w:rsidRPr="004531FC">
        <w:rPr>
          <w:rStyle w:val="FootnoteReference"/>
        </w:rPr>
        <w:footnoteRef/>
      </w:r>
      <w:r w:rsidRPr="004531FC">
        <w:t xml:space="preserve"> ISO New England, </w:t>
      </w:r>
      <w:r w:rsidRPr="00B76BF8">
        <w:t>“Notice of Initiation of Maine (ME) Needs Assessment,”</w:t>
      </w:r>
      <w:r w:rsidRPr="004531FC">
        <w:t xml:space="preserve"> (June 29, 2017), </w:t>
      </w:r>
      <w:hyperlink r:id="rId174" w:history="1">
        <w:r w:rsidRPr="00B76BF8">
          <w:rPr>
            <w:rStyle w:val="Hyperlink"/>
          </w:rPr>
          <w:t>https://www.iso-ne.com/static-assets/documents/2017/06/2027_me_needs_assessment_study_initiation_pac_notice.pdf</w:t>
        </w:r>
      </w:hyperlink>
      <w:r w:rsidRPr="00B76BF8">
        <w:t>.</w:t>
      </w:r>
    </w:p>
  </w:footnote>
  <w:footnote w:id="184">
    <w:p w14:paraId="71F68842" w14:textId="77777777" w:rsidR="00E231DA" w:rsidRPr="00357057" w:rsidRDefault="00E231DA" w:rsidP="00B969ED">
      <w:pPr>
        <w:pStyle w:val="FootnoteText"/>
        <w:rPr>
          <w:szCs w:val="18"/>
        </w:rPr>
      </w:pPr>
      <w:r w:rsidRPr="00B76BF8">
        <w:rPr>
          <w:rStyle w:val="FootnoteReference"/>
          <w:sz w:val="18"/>
          <w:szCs w:val="18"/>
        </w:rPr>
        <w:footnoteRef/>
      </w:r>
      <w:r w:rsidRPr="00357057">
        <w:rPr>
          <w:szCs w:val="18"/>
        </w:rPr>
        <w:t xml:space="preserve"> </w:t>
      </w:r>
      <w:r>
        <w:rPr>
          <w:szCs w:val="18"/>
        </w:rPr>
        <w:t xml:space="preserve">ISO New England, </w:t>
      </w:r>
      <w:r w:rsidRPr="00B76BF8">
        <w:rPr>
          <w:i/>
          <w:szCs w:val="18"/>
        </w:rPr>
        <w:t>Maine 2027 Needs Assessment—Scope of Work</w:t>
      </w:r>
      <w:r w:rsidRPr="00357057">
        <w:rPr>
          <w:szCs w:val="18"/>
        </w:rPr>
        <w:t xml:space="preserve"> (March 2018), </w:t>
      </w:r>
      <w:hyperlink r:id="rId175" w:history="1">
        <w:r w:rsidRPr="005658C2">
          <w:rPr>
            <w:szCs w:val="18"/>
          </w:rPr>
          <w:t>https://smd.iso-ne.com/operations-services/ceii/pac/2018/03/final_ceii_2027_maine_na_sow.pdf</w:t>
        </w:r>
      </w:hyperlink>
      <w:r w:rsidRPr="000E39C0">
        <w:rPr>
          <w:szCs w:val="18"/>
        </w:rPr>
        <w:t>.</w:t>
      </w:r>
    </w:p>
  </w:footnote>
  <w:footnote w:id="185">
    <w:p w14:paraId="19D6315B" w14:textId="141DACC0" w:rsidR="00E231DA" w:rsidRPr="007A268C" w:rsidRDefault="00E231DA" w:rsidP="00B969ED">
      <w:pPr>
        <w:pStyle w:val="FootnoteText"/>
      </w:pPr>
      <w:r w:rsidRPr="003039EF">
        <w:rPr>
          <w:rStyle w:val="FootnoteReference"/>
        </w:rPr>
        <w:footnoteRef/>
      </w:r>
      <w:r w:rsidRPr="003039EF">
        <w:t xml:space="preserve"> </w:t>
      </w:r>
      <w:r w:rsidRPr="003039EF">
        <w:rPr>
          <w:i/>
        </w:rPr>
        <w:t xml:space="preserve">Updating Needs Assessments </w:t>
      </w:r>
      <w:r w:rsidRPr="003039EF">
        <w:t xml:space="preserve">presentation; see footnote </w:t>
      </w:r>
      <w:r w:rsidRPr="004008BB">
        <w:fldChar w:fldCharType="begin"/>
      </w:r>
      <w:r w:rsidRPr="003039EF">
        <w:instrText xml:space="preserve"> NOTEREF _Ref16862524 \h </w:instrText>
      </w:r>
      <w:r w:rsidRPr="009F3091">
        <w:instrText xml:space="preserve"> \* MERGEFORMAT </w:instrText>
      </w:r>
      <w:r w:rsidRPr="004008BB">
        <w:fldChar w:fldCharType="separate"/>
      </w:r>
      <w:r>
        <w:t>147</w:t>
      </w:r>
      <w:r w:rsidRPr="004008BB">
        <w:fldChar w:fldCharType="end"/>
      </w:r>
      <w:r w:rsidRPr="003039EF">
        <w:t>.</w:t>
      </w:r>
      <w:r>
        <w:t xml:space="preserve"> </w:t>
      </w:r>
    </w:p>
  </w:footnote>
  <w:footnote w:id="186">
    <w:p w14:paraId="493040C2" w14:textId="77777777" w:rsidR="00E231DA" w:rsidRPr="00AC4FE8" w:rsidRDefault="00E231DA" w:rsidP="00BD1A3E">
      <w:pPr>
        <w:pStyle w:val="FootnoteText"/>
      </w:pPr>
      <w:r w:rsidRPr="00AC4FE8">
        <w:rPr>
          <w:rStyle w:val="FootnoteReference"/>
        </w:rPr>
        <w:footnoteRef/>
      </w:r>
      <w:r w:rsidRPr="00AC4FE8">
        <w:t xml:space="preserve"> ISO New England, </w:t>
      </w:r>
      <w:r w:rsidRPr="00AC4FE8">
        <w:rPr>
          <w:i/>
        </w:rPr>
        <w:t>Notice of Initiation of Upper Maine (ME) 2029 Needs Assessment</w:t>
      </w:r>
      <w:r>
        <w:rPr>
          <w:i/>
        </w:rPr>
        <w:t xml:space="preserve"> </w:t>
      </w:r>
      <w:r w:rsidRPr="005658C2">
        <w:t>(</w:t>
      </w:r>
      <w:r w:rsidRPr="00AC4FE8">
        <w:t>June 12, 2019</w:t>
      </w:r>
      <w:r>
        <w:t>)</w:t>
      </w:r>
      <w:r w:rsidRPr="00AC4FE8">
        <w:t xml:space="preserve">, </w:t>
      </w:r>
      <w:hyperlink r:id="rId176" w:history="1">
        <w:r w:rsidRPr="00AC4FE8">
          <w:rPr>
            <w:rStyle w:val="Hyperlink"/>
          </w:rPr>
          <w:t>https://www.iso-ne.com/static-assets/documents/2019/06/2029_upperme_needs_assessment_study_initiation_pac_notice.pdf</w:t>
        </w:r>
      </w:hyperlink>
      <w:r>
        <w:rPr>
          <w:rStyle w:val="Hyperlink"/>
        </w:rPr>
        <w:t>.</w:t>
      </w:r>
      <w:r w:rsidRPr="00AC4FE8">
        <w:t xml:space="preserve"> </w:t>
      </w:r>
    </w:p>
  </w:footnote>
  <w:footnote w:id="187">
    <w:p w14:paraId="5B311E01" w14:textId="77777777" w:rsidR="00E231DA" w:rsidRPr="003A1975" w:rsidRDefault="00E231DA" w:rsidP="00BD1A3E">
      <w:pPr>
        <w:pStyle w:val="FootnoteText"/>
      </w:pPr>
      <w:r w:rsidRPr="00AC4FE8">
        <w:rPr>
          <w:rStyle w:val="FootnoteReference"/>
        </w:rPr>
        <w:footnoteRef/>
      </w:r>
      <w:r w:rsidRPr="00AC4FE8">
        <w:t xml:space="preserve"> ISO New England, </w:t>
      </w:r>
      <w:r w:rsidRPr="00AC4FE8">
        <w:rPr>
          <w:i/>
        </w:rPr>
        <w:t>Upper Maine (ME) 2029 Needs Assessment Details</w:t>
      </w:r>
      <w:r>
        <w:rPr>
          <w:i/>
        </w:rPr>
        <w:t xml:space="preserve"> </w:t>
      </w:r>
      <w:r>
        <w:t>(</w:t>
      </w:r>
      <w:r w:rsidRPr="00AC4FE8">
        <w:t>June 19, 2019</w:t>
      </w:r>
      <w:r>
        <w:t>)</w:t>
      </w:r>
      <w:r w:rsidRPr="00AC4FE8">
        <w:t xml:space="preserve">, </w:t>
      </w:r>
      <w:hyperlink r:id="rId177" w:history="1">
        <w:r w:rsidRPr="00E37950">
          <w:rPr>
            <w:rStyle w:val="Hyperlink"/>
          </w:rPr>
          <w:t>https://www.iso-ne.com/static-assets/documents/2019/06/a5_upper_maine_2029_needs_assessment_details.pdf</w:t>
        </w:r>
      </w:hyperlink>
      <w:r w:rsidRPr="00E37950">
        <w:t>.</w:t>
      </w:r>
    </w:p>
  </w:footnote>
  <w:footnote w:id="188">
    <w:p w14:paraId="0658E9CD" w14:textId="77777777" w:rsidR="00E231DA" w:rsidRPr="007A268C" w:rsidRDefault="00E231DA" w:rsidP="00851352">
      <w:pPr>
        <w:pStyle w:val="FootnoteText"/>
      </w:pPr>
      <w:r w:rsidRPr="007A268C">
        <w:rPr>
          <w:rStyle w:val="FootnoteReference"/>
        </w:rPr>
        <w:footnoteRef/>
      </w:r>
      <w:r w:rsidRPr="007A268C">
        <w:t xml:space="preserve"> ISO New England,</w:t>
      </w:r>
      <w:r w:rsidRPr="007A268C">
        <w:rPr>
          <w:i/>
          <w:szCs w:val="18"/>
        </w:rPr>
        <w:t xml:space="preserve"> </w:t>
      </w:r>
      <w:r w:rsidRPr="00B76BF8">
        <w:rPr>
          <w:szCs w:val="18"/>
        </w:rPr>
        <w:t>“</w:t>
      </w:r>
      <w:r w:rsidRPr="00B76BF8">
        <w:t>New Hampshire and Vermont Key Study Area</w:t>
      </w:r>
      <w:r w:rsidRPr="007A268C">
        <w:t>,</w:t>
      </w:r>
      <w:r w:rsidRPr="00B76BF8">
        <w:t>”</w:t>
      </w:r>
      <w:r w:rsidRPr="007A268C">
        <w:t xml:space="preserve"> webpage (201</w:t>
      </w:r>
      <w:r w:rsidRPr="00B76BF8">
        <w:t>9</w:t>
      </w:r>
      <w:r w:rsidRPr="007A268C">
        <w:t xml:space="preserve">), </w:t>
      </w:r>
      <w:hyperlink r:id="rId178" w:history="1">
        <w:r w:rsidRPr="007A268C">
          <w:rPr>
            <w:rStyle w:val="Hyperlink"/>
          </w:rPr>
          <w:t>https://www.iso-ne.com/system-planning/key-study-areas/vt-nh</w:t>
        </w:r>
      </w:hyperlink>
      <w:r w:rsidRPr="007A268C">
        <w:t>.</w:t>
      </w:r>
    </w:p>
  </w:footnote>
  <w:footnote w:id="189">
    <w:p w14:paraId="1C0E245B" w14:textId="77777777" w:rsidR="00E231DA" w:rsidRPr="007A268C" w:rsidRDefault="00E231DA" w:rsidP="00B969ED">
      <w:pPr>
        <w:pStyle w:val="FootnoteText"/>
      </w:pPr>
      <w:r w:rsidRPr="007A268C">
        <w:rPr>
          <w:rStyle w:val="FootnoteReference"/>
        </w:rPr>
        <w:footnoteRef/>
      </w:r>
      <w:r w:rsidRPr="007A268C">
        <w:t xml:space="preserve"> ISO New England,</w:t>
      </w:r>
      <w:r w:rsidRPr="007A268C">
        <w:rPr>
          <w:i/>
          <w:szCs w:val="18"/>
        </w:rPr>
        <w:t xml:space="preserve"> </w:t>
      </w:r>
      <w:r w:rsidRPr="007A268C">
        <w:rPr>
          <w:i/>
        </w:rPr>
        <w:t>New Hampshire/Vermont 2023 Needs Assessment Update</w:t>
      </w:r>
      <w:r w:rsidRPr="00B76BF8">
        <w:t>, presentation</w:t>
      </w:r>
      <w:r w:rsidRPr="007A268C">
        <w:rPr>
          <w:i/>
        </w:rPr>
        <w:t xml:space="preserve"> </w:t>
      </w:r>
      <w:r w:rsidRPr="007A268C">
        <w:t xml:space="preserve">(March </w:t>
      </w:r>
      <w:r w:rsidRPr="00B76BF8">
        <w:t xml:space="preserve">17, </w:t>
      </w:r>
      <w:r w:rsidRPr="007A268C">
        <w:t xml:space="preserve">2014), </w:t>
      </w:r>
      <w:hyperlink r:id="rId179" w:history="1">
        <w:r w:rsidRPr="007A268C">
          <w:rPr>
            <w:rStyle w:val="Hyperlink"/>
          </w:rPr>
          <w:t>https://smd.iso-ne.com/committees/comm_wkgrps/prtcpnts_comm/pac/ceii/mtrls/2014/mar172014/a7_nh_vt_2023_needs_assessment.pdf</w:t>
        </w:r>
      </w:hyperlink>
      <w:r w:rsidRPr="007A268C">
        <w:rPr>
          <w:rStyle w:val="Hyperlink"/>
        </w:rPr>
        <w:t xml:space="preserve">, and </w:t>
      </w:r>
      <w:r w:rsidRPr="007A268C">
        <w:rPr>
          <w:i/>
        </w:rPr>
        <w:t xml:space="preserve">New Hampshire/Vermont Transmission System 2023 Needs Assessment Report </w:t>
      </w:r>
      <w:r w:rsidRPr="007A268C">
        <w:t xml:space="preserve">(August 2104), </w:t>
      </w:r>
      <w:hyperlink r:id="rId180" w:history="1">
        <w:r w:rsidRPr="007A268C">
          <w:rPr>
            <w:rStyle w:val="Hyperlink"/>
          </w:rPr>
          <w:t>https://smd.iso-ne.com/committees/comm_wkgrps/prtcpnts_comm/pac/ceii/reports/2014/final_2023_nhvt_transmission_system_needs_assessment.pdf</w:t>
        </w:r>
      </w:hyperlink>
      <w:r w:rsidRPr="007A268C">
        <w:rPr>
          <w:rStyle w:val="Hyperlink"/>
        </w:rPr>
        <w:t>.</w:t>
      </w:r>
    </w:p>
  </w:footnote>
  <w:footnote w:id="190">
    <w:p w14:paraId="65958A74" w14:textId="77777777" w:rsidR="00E231DA" w:rsidRPr="00DD1823" w:rsidRDefault="00E231DA" w:rsidP="00B969ED">
      <w:pPr>
        <w:pStyle w:val="FootnoteText"/>
      </w:pPr>
      <w:r w:rsidRPr="00DD1823">
        <w:rPr>
          <w:rStyle w:val="FootnoteReference"/>
        </w:rPr>
        <w:footnoteRef/>
      </w:r>
      <w:r w:rsidRPr="00DD1823">
        <w:t xml:space="preserve"> ISO New England, </w:t>
      </w:r>
      <w:r w:rsidRPr="00B76BF8">
        <w:t>“Notice of Initiation of New Hampshire (NH) Needs Assessment,”</w:t>
      </w:r>
      <w:r w:rsidRPr="00DD1823">
        <w:t xml:space="preserve"> (June 29, 2017), </w:t>
      </w:r>
      <w:hyperlink r:id="rId181" w:history="1">
        <w:r w:rsidRPr="00DD1823">
          <w:rPr>
            <w:rStyle w:val="Hyperlink"/>
          </w:rPr>
          <w:t>https://www.iso-ne.com/static-assets/documents/2017/06/2027_nh_needs_assessment_study_initiation_pac_notice.pdf</w:t>
        </w:r>
      </w:hyperlink>
      <w:r w:rsidRPr="00DD1823">
        <w:t xml:space="preserve">. </w:t>
      </w:r>
    </w:p>
  </w:footnote>
  <w:footnote w:id="191">
    <w:p w14:paraId="34ED6459" w14:textId="21EEC918" w:rsidR="00E231DA" w:rsidRPr="003A1975" w:rsidRDefault="00E231DA" w:rsidP="00B969ED">
      <w:pPr>
        <w:pStyle w:val="FootnoteText"/>
      </w:pPr>
      <w:r w:rsidRPr="00DD1823">
        <w:rPr>
          <w:rStyle w:val="FootnoteReference"/>
        </w:rPr>
        <w:footnoteRef/>
      </w:r>
      <w:r w:rsidRPr="00DD1823">
        <w:t xml:space="preserve"> ISO New England, </w:t>
      </w:r>
      <w:r w:rsidRPr="00DD1823">
        <w:rPr>
          <w:i/>
        </w:rPr>
        <w:t>New Hampshire (NH) 2027 Needs Assessment</w:t>
      </w:r>
      <w:r w:rsidRPr="00B76BF8">
        <w:rPr>
          <w:i/>
        </w:rPr>
        <w:t>—</w:t>
      </w:r>
      <w:r w:rsidRPr="00DD1823">
        <w:rPr>
          <w:i/>
        </w:rPr>
        <w:t>Scope of Work</w:t>
      </w:r>
      <w:r w:rsidRPr="00B76BF8">
        <w:rPr>
          <w:i/>
        </w:rPr>
        <w:t>, Revision 1</w:t>
      </w:r>
      <w:r w:rsidRPr="00DD1823">
        <w:t xml:space="preserve"> (May 2018), </w:t>
      </w:r>
      <w:hyperlink r:id="rId182" w:history="1">
        <w:r w:rsidRPr="00DD1823">
          <w:rPr>
            <w:rStyle w:val="Hyperlink"/>
          </w:rPr>
          <w:t>https://smd.iso-ne.com/operations-services/ceii/pac/2018/05/final_ceii_2027_nh_na_sow_rev1_clean.pdf</w:t>
        </w:r>
      </w:hyperlink>
      <w:r w:rsidRPr="00B76BF8">
        <w:t xml:space="preserve"> and</w:t>
      </w:r>
      <w:r w:rsidRPr="00DD1823">
        <w:t xml:space="preserve"> ISO New England, </w:t>
      </w:r>
      <w:r w:rsidRPr="00DD1823">
        <w:rPr>
          <w:i/>
        </w:rPr>
        <w:t>New Hampshire (NH) 2027 Needs Assessment</w:t>
      </w:r>
      <w:r w:rsidRPr="00B76BF8">
        <w:rPr>
          <w:i/>
        </w:rPr>
        <w:t>—</w:t>
      </w:r>
      <w:r w:rsidRPr="00DD1823">
        <w:rPr>
          <w:i/>
        </w:rPr>
        <w:t>Scope of Work</w:t>
      </w:r>
      <w:r w:rsidRPr="00DD1823">
        <w:t xml:space="preserve"> (March 2018), </w:t>
      </w:r>
      <w:hyperlink r:id="rId183" w:history="1">
        <w:r w:rsidRPr="00CB5D0D">
          <w:rPr>
            <w:rStyle w:val="Hyperlink"/>
          </w:rPr>
          <w:t>https://smd.iso-ne.com/operations-services/ceii/pac/2018/03/final_ceii_2027_nh_na_sow.pdf</w:t>
        </w:r>
      </w:hyperlink>
      <w:r w:rsidRPr="00DD1823">
        <w:t>.</w:t>
      </w:r>
    </w:p>
  </w:footnote>
  <w:footnote w:id="192">
    <w:p w14:paraId="122F8CDE" w14:textId="77777777" w:rsidR="00E231DA" w:rsidRPr="003039EF" w:rsidRDefault="00E231DA" w:rsidP="00B969ED">
      <w:pPr>
        <w:pStyle w:val="FootnoteText"/>
      </w:pPr>
      <w:r w:rsidRPr="00DD1823">
        <w:rPr>
          <w:rStyle w:val="FootnoteReference"/>
        </w:rPr>
        <w:footnoteRef/>
      </w:r>
      <w:r w:rsidRPr="00DD1823">
        <w:t xml:space="preserve"> ISO New England, </w:t>
      </w:r>
      <w:r w:rsidRPr="00B76BF8">
        <w:rPr>
          <w:i/>
        </w:rPr>
        <w:t xml:space="preserve">Final New Hampshire 2027 Needs Assessment </w:t>
      </w:r>
      <w:r w:rsidRPr="00B76BF8">
        <w:t xml:space="preserve">(November 2018), </w:t>
      </w:r>
      <w:hyperlink r:id="rId184" w:history="1">
        <w:r w:rsidRPr="003039EF">
          <w:rPr>
            <w:rStyle w:val="Hyperlink"/>
          </w:rPr>
          <w:t>https://smd.iso-ne.com/operations-services/ceii/pac/2018/11/final_ceii_new_hampshire_2027_needs_assessment.pdf</w:t>
        </w:r>
      </w:hyperlink>
      <w:r w:rsidRPr="003039EF">
        <w:t>.</w:t>
      </w:r>
    </w:p>
  </w:footnote>
  <w:footnote w:id="193">
    <w:p w14:paraId="453BCEA8" w14:textId="77777777" w:rsidR="00E231DA" w:rsidRPr="003039EF" w:rsidRDefault="00E231DA" w:rsidP="00B969ED">
      <w:pPr>
        <w:pStyle w:val="FootnoteText"/>
      </w:pPr>
      <w:r w:rsidRPr="003039EF">
        <w:rPr>
          <w:rStyle w:val="FootnoteReference"/>
        </w:rPr>
        <w:footnoteRef/>
      </w:r>
      <w:r w:rsidRPr="003039EF">
        <w:t xml:space="preserve"> ISO New England, “Notice of Initiation of 2027 NH Solutions Study,” (November 16, 2018), </w:t>
      </w:r>
      <w:hyperlink r:id="rId185" w:history="1">
        <w:r w:rsidRPr="003039EF">
          <w:rPr>
            <w:rStyle w:val="Hyperlink"/>
          </w:rPr>
          <w:t>https://www.iso-ne.com/static-assets/documents/2018/11/pac_notice_nh_2027_ss.pdf</w:t>
        </w:r>
      </w:hyperlink>
      <w:r w:rsidRPr="003039EF">
        <w:t>.</w:t>
      </w:r>
    </w:p>
  </w:footnote>
  <w:footnote w:id="194">
    <w:p w14:paraId="2273CABD" w14:textId="2B94DF04" w:rsidR="00E231DA" w:rsidRPr="003A1975" w:rsidRDefault="00E231DA" w:rsidP="00B969ED">
      <w:pPr>
        <w:pStyle w:val="FootnoteText"/>
      </w:pPr>
      <w:r w:rsidRPr="003039EF">
        <w:rPr>
          <w:rStyle w:val="FootnoteReference"/>
        </w:rPr>
        <w:footnoteRef/>
      </w:r>
      <w:r w:rsidRPr="003039EF">
        <w:t xml:space="preserve"> Refer to the </w:t>
      </w:r>
      <w:r w:rsidRPr="003039EF">
        <w:rPr>
          <w:i/>
        </w:rPr>
        <w:t xml:space="preserve">Updating Needs Assessments </w:t>
      </w:r>
      <w:r w:rsidRPr="003039EF">
        <w:t>presentation</w:t>
      </w:r>
      <w:r w:rsidRPr="009F3091">
        <w:t xml:space="preserve">; see </w:t>
      </w:r>
      <w:r w:rsidRPr="003039EF">
        <w:t>footnote</w:t>
      </w:r>
      <w:r w:rsidRPr="009F3091">
        <w:t xml:space="preserve"> </w:t>
      </w:r>
      <w:r w:rsidRPr="009F3091">
        <w:fldChar w:fldCharType="begin"/>
      </w:r>
      <w:r w:rsidRPr="009F3091">
        <w:instrText xml:space="preserve"> NOTEREF _Ref16862524 \h </w:instrText>
      </w:r>
      <w:r>
        <w:instrText xml:space="preserve"> \* MERGEFORMAT </w:instrText>
      </w:r>
      <w:r w:rsidRPr="009F3091">
        <w:fldChar w:fldCharType="separate"/>
      </w:r>
      <w:r>
        <w:t>147</w:t>
      </w:r>
      <w:r w:rsidRPr="009F3091">
        <w:fldChar w:fldCharType="end"/>
      </w:r>
      <w:r w:rsidRPr="003039EF">
        <w:t>.</w:t>
      </w:r>
    </w:p>
  </w:footnote>
  <w:footnote w:id="195">
    <w:p w14:paraId="4F3587FB" w14:textId="77777777" w:rsidR="00E231DA" w:rsidRPr="003A1975" w:rsidRDefault="00E231DA" w:rsidP="00B969ED">
      <w:pPr>
        <w:pStyle w:val="FootnoteText"/>
      </w:pPr>
      <w:r w:rsidRPr="001C46A8">
        <w:rPr>
          <w:rStyle w:val="FootnoteReference"/>
        </w:rPr>
        <w:footnoteRef/>
      </w:r>
      <w:r w:rsidRPr="001C46A8">
        <w:t xml:space="preserve"> ISO</w:t>
      </w:r>
      <w:r>
        <w:t xml:space="preserve"> New England, “Notice of Initiation of 2029 New Hampshire Needs,” (May 3, 2019), </w:t>
      </w:r>
      <w:hyperlink r:id="rId186" w:history="1">
        <w:r w:rsidRPr="001C46A8">
          <w:rPr>
            <w:rStyle w:val="Hyperlink"/>
          </w:rPr>
          <w:t>https://www.iso-ne.com/static-assets/documents/2019/05/2029_nh_needs_assessment_study_initiation_pac_notice.pdf</w:t>
        </w:r>
      </w:hyperlink>
      <w:r>
        <w:t>.</w:t>
      </w:r>
    </w:p>
  </w:footnote>
  <w:footnote w:id="196">
    <w:p w14:paraId="53AE816C" w14:textId="6304E592" w:rsidR="00E231DA" w:rsidRPr="003A1975" w:rsidRDefault="00E231DA" w:rsidP="00B969ED">
      <w:pPr>
        <w:pStyle w:val="FootnoteText"/>
      </w:pPr>
      <w:r w:rsidRPr="00FC0D73">
        <w:rPr>
          <w:rStyle w:val="FootnoteReference"/>
        </w:rPr>
        <w:footnoteRef/>
      </w:r>
      <w:r w:rsidRPr="00FC0D73">
        <w:t xml:space="preserve"> ISO New England, </w:t>
      </w:r>
      <w:r w:rsidRPr="00FC0D73">
        <w:rPr>
          <w:i/>
        </w:rPr>
        <w:t>New Hampshire (NH) 2029 Needs Assessment Details</w:t>
      </w:r>
      <w:r>
        <w:rPr>
          <w:i/>
        </w:rPr>
        <w:t>—Revision 1</w:t>
      </w:r>
      <w:r w:rsidRPr="00FC0D73">
        <w:rPr>
          <w:i/>
        </w:rPr>
        <w:t xml:space="preserve"> </w:t>
      </w:r>
      <w:r w:rsidRPr="00FC0D73">
        <w:t xml:space="preserve">(May </w:t>
      </w:r>
      <w:r>
        <w:t xml:space="preserve">21, </w:t>
      </w:r>
      <w:r w:rsidRPr="00FC0D73">
        <w:t xml:space="preserve">2019), </w:t>
      </w:r>
      <w:r w:rsidRPr="005A57BA">
        <w:t>https://www.iso-ne.com/static-assets/documents/2019/08/new_hampshire_2029_needs_assessment_details_revision_rev1_clean.pdf</w:t>
      </w:r>
      <w:r w:rsidRPr="0083756E">
        <w:t>.</w:t>
      </w:r>
    </w:p>
  </w:footnote>
  <w:footnote w:id="197">
    <w:p w14:paraId="68A7F2E2" w14:textId="77777777" w:rsidR="00E231DA" w:rsidRPr="00C6796A" w:rsidRDefault="00E231DA" w:rsidP="00851352">
      <w:pPr>
        <w:pStyle w:val="FootnoteText"/>
      </w:pPr>
      <w:r w:rsidRPr="00C6796A">
        <w:rPr>
          <w:rStyle w:val="FootnoteReference"/>
        </w:rPr>
        <w:footnoteRef/>
      </w:r>
      <w:r w:rsidRPr="00C6796A">
        <w:t xml:space="preserve"> ISO New England,</w:t>
      </w:r>
      <w:r w:rsidRPr="00C6796A">
        <w:rPr>
          <w:i/>
          <w:szCs w:val="18"/>
        </w:rPr>
        <w:t xml:space="preserve"> </w:t>
      </w:r>
      <w:r w:rsidRPr="00B76BF8">
        <w:rPr>
          <w:szCs w:val="18"/>
        </w:rPr>
        <w:t>“</w:t>
      </w:r>
      <w:r w:rsidRPr="00B76BF8">
        <w:t>Eastern Connecticut Key Study Area</w:t>
      </w:r>
      <w:r w:rsidRPr="00C6796A">
        <w:t>,</w:t>
      </w:r>
      <w:r w:rsidRPr="00B76BF8">
        <w:t>”</w:t>
      </w:r>
      <w:r w:rsidRPr="00C6796A">
        <w:t xml:space="preserve"> </w:t>
      </w:r>
      <w:r w:rsidRPr="00616FC5">
        <w:t>webpage (201</w:t>
      </w:r>
      <w:r>
        <w:t>9</w:t>
      </w:r>
      <w:r w:rsidRPr="00616FC5">
        <w:t xml:space="preserve">), </w:t>
      </w:r>
      <w:hyperlink r:id="rId187" w:history="1">
        <w:r w:rsidRPr="00C6796A">
          <w:rPr>
            <w:rStyle w:val="Hyperlink"/>
          </w:rPr>
          <w:t>https://www.iso-ne.com/system-planning/key-study-areas/eastern-connecticut</w:t>
        </w:r>
      </w:hyperlink>
      <w:r w:rsidRPr="00C6796A">
        <w:t xml:space="preserve">. </w:t>
      </w:r>
    </w:p>
  </w:footnote>
  <w:footnote w:id="198">
    <w:p w14:paraId="0E1DC276" w14:textId="77777777" w:rsidR="00E231DA" w:rsidRPr="00616FC5" w:rsidRDefault="00E231DA" w:rsidP="00B969ED">
      <w:pPr>
        <w:pStyle w:val="FootnoteText"/>
      </w:pPr>
      <w:r w:rsidRPr="00616FC5">
        <w:rPr>
          <w:rStyle w:val="FootnoteReference"/>
          <w:i/>
        </w:rPr>
        <w:footnoteRef/>
      </w:r>
      <w:r w:rsidRPr="00616FC5">
        <w:rPr>
          <w:i/>
        </w:rPr>
        <w:t xml:space="preserve"> </w:t>
      </w:r>
      <w:r w:rsidRPr="00616FC5">
        <w:t>ISO New England,</w:t>
      </w:r>
      <w:r w:rsidRPr="00616FC5">
        <w:rPr>
          <w:i/>
          <w:szCs w:val="18"/>
        </w:rPr>
        <w:t xml:space="preserve"> </w:t>
      </w:r>
      <w:r w:rsidRPr="00616FC5">
        <w:rPr>
          <w:i/>
        </w:rPr>
        <w:t xml:space="preserve">Eastern Connecticut Area Transmission 2022 Needs Assessment </w:t>
      </w:r>
      <w:r w:rsidRPr="00616FC5">
        <w:t xml:space="preserve">(June 2015), </w:t>
      </w:r>
      <w:hyperlink r:id="rId188" w:history="1">
        <w:r w:rsidRPr="00616FC5">
          <w:rPr>
            <w:rStyle w:val="Hyperlink"/>
          </w:rPr>
          <w:t>https://smd.iso-ne.com/planning/ceii/reports/2010s/final_eastern_ct_2022_needs_assessment_report.pdf</w:t>
        </w:r>
      </w:hyperlink>
      <w:r w:rsidRPr="00616FC5">
        <w:t>.</w:t>
      </w:r>
    </w:p>
  </w:footnote>
  <w:footnote w:id="199">
    <w:p w14:paraId="26B9F419" w14:textId="77777777" w:rsidR="00E231DA" w:rsidRPr="003A1975" w:rsidRDefault="00E231DA" w:rsidP="00B969ED">
      <w:pPr>
        <w:pStyle w:val="FootnoteText"/>
      </w:pPr>
      <w:r w:rsidRPr="00616FC5">
        <w:rPr>
          <w:rStyle w:val="FootnoteReference"/>
        </w:rPr>
        <w:footnoteRef/>
      </w:r>
      <w:r w:rsidRPr="00616FC5">
        <w:t xml:space="preserve"> ISO New England,</w:t>
      </w:r>
      <w:r w:rsidRPr="00616FC5">
        <w:rPr>
          <w:i/>
          <w:szCs w:val="18"/>
        </w:rPr>
        <w:t xml:space="preserve"> </w:t>
      </w:r>
      <w:r w:rsidRPr="00616FC5">
        <w:rPr>
          <w:i/>
        </w:rPr>
        <w:t>Eastern Connecticut 2022 Solutions Study Update</w:t>
      </w:r>
      <w:r w:rsidRPr="00E424AC">
        <w:t>, presentation</w:t>
      </w:r>
      <w:r w:rsidRPr="00616FC5">
        <w:rPr>
          <w:i/>
        </w:rPr>
        <w:t xml:space="preserve"> </w:t>
      </w:r>
      <w:r w:rsidRPr="00616FC5">
        <w:t xml:space="preserve">(September </w:t>
      </w:r>
      <w:r w:rsidRPr="00E424AC">
        <w:t xml:space="preserve">21, </w:t>
      </w:r>
      <w:r w:rsidRPr="00616FC5">
        <w:t xml:space="preserve">2016), </w:t>
      </w:r>
      <w:hyperlink r:id="rId189" w:history="1">
        <w:r w:rsidRPr="00616FC5">
          <w:rPr>
            <w:rStyle w:val="Hyperlink"/>
          </w:rPr>
          <w:t>https://smd.iso-ne.com/operations-services/ceii/pac/2016/09/a3_eastern_connecticut_2022_solution_study_update.pdf</w:t>
        </w:r>
      </w:hyperlink>
      <w:r w:rsidRPr="00616FC5">
        <w:t>.</w:t>
      </w:r>
    </w:p>
  </w:footnote>
  <w:footnote w:id="200">
    <w:p w14:paraId="46D624A5" w14:textId="77777777" w:rsidR="00E231DA" w:rsidRPr="00616FC5" w:rsidRDefault="00E231DA" w:rsidP="00B969ED">
      <w:pPr>
        <w:pStyle w:val="FootnoteText"/>
      </w:pPr>
      <w:r w:rsidRPr="00616FC5">
        <w:rPr>
          <w:rStyle w:val="FootnoteReference"/>
        </w:rPr>
        <w:footnoteRef/>
      </w:r>
      <w:r w:rsidRPr="00616FC5">
        <w:t xml:space="preserve"> ISO New England, </w:t>
      </w:r>
      <w:r w:rsidRPr="00E424AC">
        <w:t>“Notice of Initiation of Eastern Connecticut (ECT) Needs Assessment,”</w:t>
      </w:r>
      <w:r w:rsidRPr="00616FC5">
        <w:t xml:space="preserve"> (June 29, 2017), </w:t>
      </w:r>
      <w:hyperlink r:id="rId190" w:history="1">
        <w:r w:rsidRPr="00616FC5">
          <w:rPr>
            <w:rStyle w:val="Hyperlink"/>
          </w:rPr>
          <w:t>https://www.iso-ne.com/static-assets/documents/2017/06/2027_ect_needs_assessment_study_initiation_pac_notice.pdf</w:t>
        </w:r>
      </w:hyperlink>
      <w:r w:rsidRPr="00616FC5">
        <w:t>.</w:t>
      </w:r>
    </w:p>
  </w:footnote>
  <w:footnote w:id="201">
    <w:p w14:paraId="2048A54F" w14:textId="77777777" w:rsidR="00E231DA" w:rsidRPr="00616FC5" w:rsidRDefault="00E231DA" w:rsidP="00B969ED">
      <w:pPr>
        <w:pStyle w:val="FootnoteText"/>
      </w:pPr>
      <w:r w:rsidRPr="00616FC5">
        <w:rPr>
          <w:rStyle w:val="FootnoteReference"/>
        </w:rPr>
        <w:footnoteRef/>
      </w:r>
      <w:r w:rsidRPr="00616FC5">
        <w:t xml:space="preserve"> ISO New England, </w:t>
      </w:r>
      <w:r w:rsidRPr="00616FC5">
        <w:rPr>
          <w:i/>
        </w:rPr>
        <w:t>Eastern Connecticut 2027 Needs Assessment Scope of Work</w:t>
      </w:r>
      <w:r w:rsidRPr="00616FC5">
        <w:t xml:space="preserve"> (March 2018), </w:t>
      </w:r>
      <w:hyperlink r:id="rId191" w:history="1">
        <w:r w:rsidRPr="00616FC5">
          <w:rPr>
            <w:rStyle w:val="Hyperlink"/>
          </w:rPr>
          <w:t>https://smd.iso-ne.com/operations-services/ceii/pac/2018/03/final_ceii_2027_ect_needs_assessment_sow_clean.pdf</w:t>
        </w:r>
      </w:hyperlink>
      <w:r>
        <w:rPr>
          <w:rStyle w:val="Hyperlink"/>
        </w:rPr>
        <w:t>,</w:t>
      </w:r>
      <w:r w:rsidRPr="00E424AC">
        <w:rPr>
          <w:rStyle w:val="Hyperlink"/>
        </w:rPr>
        <w:t xml:space="preserve"> and </w:t>
      </w:r>
      <w:r w:rsidRPr="00E424AC">
        <w:rPr>
          <w:i/>
        </w:rPr>
        <w:t>Eastern Connecticut 2027 Needs Assessment</w:t>
      </w:r>
      <w:r w:rsidRPr="00E424AC">
        <w:t xml:space="preserve"> (May 2018), </w:t>
      </w:r>
      <w:hyperlink r:id="rId192" w:history="1">
        <w:r w:rsidRPr="00E424AC">
          <w:rPr>
            <w:rStyle w:val="Hyperlink"/>
          </w:rPr>
          <w:t>https://smd.iso-ne.com/operations-services/ceii/pac/2018/05/final_ceii_ect_2027_na.pdf</w:t>
        </w:r>
      </w:hyperlink>
      <w:r w:rsidRPr="00E424AC">
        <w:rPr>
          <w:rStyle w:val="Hyperlink"/>
        </w:rPr>
        <w:t>.</w:t>
      </w:r>
      <w:r w:rsidRPr="00616FC5">
        <w:t xml:space="preserve"> </w:t>
      </w:r>
    </w:p>
  </w:footnote>
  <w:footnote w:id="202">
    <w:p w14:paraId="1DFA9999" w14:textId="77777777" w:rsidR="00E231DA" w:rsidRPr="00616FC5" w:rsidRDefault="00E231DA" w:rsidP="00B969ED">
      <w:pPr>
        <w:pStyle w:val="FootnoteText"/>
      </w:pPr>
      <w:r w:rsidRPr="00616FC5">
        <w:rPr>
          <w:rStyle w:val="FootnoteReference"/>
        </w:rPr>
        <w:footnoteRef/>
      </w:r>
      <w:r w:rsidRPr="00616FC5">
        <w:t xml:space="preserve"> ISO New England, </w:t>
      </w:r>
      <w:r w:rsidRPr="00E424AC">
        <w:t>”Initiation of ECT 2027 Solutions Study,”</w:t>
      </w:r>
      <w:r w:rsidRPr="00616FC5">
        <w:rPr>
          <w:i/>
        </w:rPr>
        <w:t xml:space="preserve"> </w:t>
      </w:r>
      <w:r w:rsidRPr="00616FC5">
        <w:t xml:space="preserve">(June 1, 2018), </w:t>
      </w:r>
      <w:hyperlink r:id="rId193" w:history="1">
        <w:r w:rsidRPr="00616FC5">
          <w:rPr>
            <w:rStyle w:val="Hyperlink"/>
          </w:rPr>
          <w:t>https://www.iso-ne.com/static-assets/documents/2018/06/pac_notice_ect_2027_ss.pdf</w:t>
        </w:r>
      </w:hyperlink>
      <w:r w:rsidRPr="00616FC5">
        <w:t xml:space="preserve">. </w:t>
      </w:r>
    </w:p>
  </w:footnote>
  <w:footnote w:id="203">
    <w:p w14:paraId="31E34A84" w14:textId="694556DF" w:rsidR="00E231DA" w:rsidRDefault="00E231DA">
      <w:pPr>
        <w:pStyle w:val="FootnoteText"/>
      </w:pPr>
      <w:r>
        <w:rPr>
          <w:rStyle w:val="FootnoteReference"/>
        </w:rPr>
        <w:footnoteRef/>
      </w:r>
      <w:r>
        <w:t xml:space="preserve"> ISO New England, “Eastern Connecticut (ECT) 2029 Needs Assessment Details—Revision 1”, (April 2019), </w:t>
      </w:r>
      <w:hyperlink r:id="rId194" w:history="1">
        <w:r w:rsidRPr="00E57CB1">
          <w:rPr>
            <w:rStyle w:val="Hyperlink"/>
          </w:rPr>
          <w:t>https://www.iso-ne.com/static-assets/documents/2019/05/eastern_connecticut_2029_needs_assessment_details_rev1_clean.pdf</w:t>
        </w:r>
      </w:hyperlink>
      <w:r>
        <w:t>.</w:t>
      </w:r>
    </w:p>
  </w:footnote>
  <w:footnote w:id="204">
    <w:p w14:paraId="77AE6BD0" w14:textId="77777777" w:rsidR="00E231DA" w:rsidRDefault="00E231DA" w:rsidP="00B969ED">
      <w:pPr>
        <w:pStyle w:val="FootnoteText"/>
      </w:pPr>
      <w:r w:rsidRPr="00616FC5">
        <w:rPr>
          <w:rStyle w:val="FootnoteReference"/>
        </w:rPr>
        <w:footnoteRef/>
      </w:r>
      <w:r w:rsidRPr="00616FC5">
        <w:t xml:space="preserve"> The data are based on the June 2019 </w:t>
      </w:r>
      <w:r w:rsidRPr="00616FC5">
        <w:rPr>
          <w:i/>
        </w:rPr>
        <w:t>Regional System Plan Project List</w:t>
      </w:r>
      <w:r w:rsidRPr="00616FC5">
        <w:t>.</w:t>
      </w:r>
      <w:r>
        <w:t xml:space="preserve"> </w:t>
      </w:r>
    </w:p>
  </w:footnote>
  <w:footnote w:id="205">
    <w:p w14:paraId="796AFDCD" w14:textId="4B165835" w:rsidR="00E231DA" w:rsidRPr="003013B8" w:rsidRDefault="00E231DA" w:rsidP="003013B8">
      <w:pPr>
        <w:pStyle w:val="FootnoteText"/>
      </w:pPr>
      <w:r w:rsidRPr="003013B8">
        <w:rPr>
          <w:rStyle w:val="FootnoteReference"/>
        </w:rPr>
        <w:footnoteRef/>
      </w:r>
      <w:r w:rsidRPr="003013B8">
        <w:t xml:space="preserve"> Unlike traditional generators that run at the same frequency as the power system (i.e., synchronously), inverter-based technologies, such as wind, photovoltaics, and HVDC facilities, use power electronics to control the generator, </w:t>
      </w:r>
      <w:r w:rsidRPr="009F3091">
        <w:t xml:space="preserve">converting between AC frequencies and between AC and DC frequencies (i.e., </w:t>
      </w:r>
      <w:r w:rsidRPr="003013B8">
        <w:t>asynchronously with the AC power system</w:t>
      </w:r>
      <w:r w:rsidRPr="009F3091">
        <w:t>)</w:t>
      </w:r>
      <w:r w:rsidRPr="003013B8">
        <w:t>.</w:t>
      </w:r>
    </w:p>
  </w:footnote>
  <w:footnote w:id="206">
    <w:p w14:paraId="18978967" w14:textId="77777777" w:rsidR="00E231DA" w:rsidRPr="00616FC5" w:rsidRDefault="00E231DA" w:rsidP="00B969ED">
      <w:pPr>
        <w:pStyle w:val="FootnoteText"/>
      </w:pPr>
      <w:r w:rsidRPr="00616FC5">
        <w:rPr>
          <w:rStyle w:val="FootnoteReference"/>
        </w:rPr>
        <w:footnoteRef/>
      </w:r>
      <w:r w:rsidRPr="00616FC5">
        <w:t xml:space="preserve"> NERC</w:t>
      </w:r>
      <w:r w:rsidRPr="00E424AC">
        <w:t xml:space="preserve">, </w:t>
      </w:r>
      <w:r w:rsidRPr="00E424AC">
        <w:rPr>
          <w:i/>
        </w:rPr>
        <w:t>Reliability Standards for the Bulk Electric Systems of North America</w:t>
      </w:r>
      <w:r w:rsidRPr="00E424AC">
        <w:t>,</w:t>
      </w:r>
      <w:r w:rsidRPr="00616FC5">
        <w:t xml:space="preserve"> Standard CIP-014-2, </w:t>
      </w:r>
      <w:r w:rsidRPr="00616FC5">
        <w:rPr>
          <w:i/>
        </w:rPr>
        <w:t>Physical Security</w:t>
      </w:r>
      <w:r w:rsidRPr="00616FC5">
        <w:t xml:space="preserve">, </w:t>
      </w:r>
      <w:r w:rsidRPr="00E424AC">
        <w:t xml:space="preserve">(updated March 8. 2019), </w:t>
      </w:r>
      <w:hyperlink r:id="rId195" w:history="1">
        <w:r w:rsidRPr="00E424AC">
          <w:rPr>
            <w:rStyle w:val="Hyperlink"/>
          </w:rPr>
          <w:t>https://www.nerc.com/pa/Stand/Reliability%20Standards%20Complete%20Set/RSCompleteSet.pdf</w:t>
        </w:r>
      </w:hyperlink>
      <w:r w:rsidRPr="00616FC5">
        <w:t>.</w:t>
      </w:r>
    </w:p>
  </w:footnote>
  <w:footnote w:id="207">
    <w:p w14:paraId="087EE580" w14:textId="77777777" w:rsidR="00E231DA" w:rsidRPr="00616FC5" w:rsidRDefault="00E231DA" w:rsidP="00851352">
      <w:pPr>
        <w:pStyle w:val="FootnoteText"/>
      </w:pPr>
      <w:r w:rsidRPr="00616FC5">
        <w:rPr>
          <w:rStyle w:val="FootnoteReference"/>
        </w:rPr>
        <w:footnoteRef/>
      </w:r>
      <w:r w:rsidRPr="00616FC5">
        <w:t xml:space="preserve"> A PAC presentation is required for all asset-condition-related work where the cost estimate is greater than or equal to $5 million.</w:t>
      </w:r>
      <w:r>
        <w:t xml:space="preserve"> </w:t>
      </w:r>
      <w:r w:rsidRPr="00616FC5">
        <w:t>ISO New England,</w:t>
      </w:r>
      <w:r w:rsidRPr="00616FC5">
        <w:rPr>
          <w:i/>
          <w:szCs w:val="18"/>
        </w:rPr>
        <w:t xml:space="preserve"> </w:t>
      </w:r>
      <w:r w:rsidRPr="00E424AC">
        <w:rPr>
          <w:szCs w:val="18"/>
        </w:rPr>
        <w:t>“</w:t>
      </w:r>
      <w:r w:rsidRPr="00E424AC">
        <w:t>New England Asset Management Key Study Area,”</w:t>
      </w:r>
      <w:r w:rsidRPr="00616FC5">
        <w:t xml:space="preserve"> webpage (</w:t>
      </w:r>
      <w:r w:rsidRPr="00E424AC">
        <w:t>2019</w:t>
      </w:r>
      <w:r w:rsidRPr="00616FC5">
        <w:t xml:space="preserve">), </w:t>
      </w:r>
      <w:hyperlink r:id="rId196" w:history="1">
        <w:r w:rsidRPr="00616FC5">
          <w:rPr>
            <w:rStyle w:val="Hyperlink"/>
          </w:rPr>
          <w:t>https://www.iso-ne.com/system-planning/key-study-areas/new-england-asset-management/?load.more=1</w:t>
        </w:r>
      </w:hyperlink>
      <w:r w:rsidRPr="00616FC5">
        <w:t>.</w:t>
      </w:r>
    </w:p>
  </w:footnote>
  <w:footnote w:id="208">
    <w:p w14:paraId="07371201" w14:textId="77777777" w:rsidR="00E231DA" w:rsidRPr="00616FC5" w:rsidRDefault="00E231DA" w:rsidP="00B969ED">
      <w:pPr>
        <w:pStyle w:val="FootnoteText"/>
      </w:pPr>
      <w:r w:rsidRPr="00616FC5">
        <w:rPr>
          <w:rStyle w:val="FootnoteReference"/>
        </w:rPr>
        <w:footnoteRef/>
      </w:r>
      <w:r w:rsidRPr="00616FC5">
        <w:t xml:space="preserve"> Projects under the status of </w:t>
      </w:r>
      <w:r w:rsidRPr="00E424AC">
        <w:t>“</w:t>
      </w:r>
      <w:r>
        <w:t>c</w:t>
      </w:r>
      <w:r w:rsidRPr="00616FC5">
        <w:t>oncept</w:t>
      </w:r>
      <w:r w:rsidRPr="00E424AC">
        <w:t>”</w:t>
      </w:r>
      <w:r w:rsidRPr="00616FC5">
        <w:t xml:space="preserve"> are not included.</w:t>
      </w:r>
    </w:p>
  </w:footnote>
  <w:footnote w:id="209">
    <w:p w14:paraId="66BA742C" w14:textId="77777777" w:rsidR="00E231DA" w:rsidRPr="00A474D0" w:rsidRDefault="00E231DA" w:rsidP="00B969ED">
      <w:pPr>
        <w:pStyle w:val="FootnoteText"/>
      </w:pPr>
      <w:r w:rsidRPr="009C73E6">
        <w:rPr>
          <w:rStyle w:val="FootnoteReference"/>
        </w:rPr>
        <w:footnoteRef/>
      </w:r>
      <w:r w:rsidRPr="009C73E6">
        <w:t xml:space="preserve"> Links to the most recent LSPs are included on the ISO’s </w:t>
      </w:r>
      <w:r w:rsidRPr="00E424AC">
        <w:rPr>
          <w:i/>
        </w:rPr>
        <w:t>RSP Project List</w:t>
      </w:r>
      <w:r w:rsidRPr="009C73E6">
        <w:t xml:space="preserve"> at </w:t>
      </w:r>
      <w:hyperlink r:id="rId197" w:history="1">
        <w:r w:rsidRPr="009C73E6">
          <w:rPr>
            <w:rStyle w:val="Hyperlink"/>
          </w:rPr>
          <w:t>https://www.iso-ne.com/system-planning/system-plans-studies/rsp</w:t>
        </w:r>
      </w:hyperlink>
      <w:r w:rsidRPr="009C73E6">
        <w:t xml:space="preserve">. Also refer to the </w:t>
      </w:r>
      <w:r w:rsidRPr="00E424AC">
        <w:t>ISO’s “</w:t>
      </w:r>
      <w:r w:rsidRPr="009C73E6">
        <w:t xml:space="preserve">Transmission Owner Planning Advisory </w:t>
      </w:r>
      <w:r w:rsidRPr="00A474D0">
        <w:t xml:space="preserve">Committee.” webpage (2019) at </w:t>
      </w:r>
      <w:hyperlink r:id="rId198" w:history="1">
        <w:r w:rsidRPr="00A474D0">
          <w:rPr>
            <w:rStyle w:val="Hyperlink"/>
          </w:rPr>
          <w:t>https://www.iso-ne.com/committees/planning/topac</w:t>
        </w:r>
      </w:hyperlink>
      <w:r w:rsidRPr="00A474D0">
        <w:t>.</w:t>
      </w:r>
    </w:p>
  </w:footnote>
  <w:footnote w:id="210">
    <w:p w14:paraId="1A07A496" w14:textId="77777777" w:rsidR="00E231DA" w:rsidRPr="00A474D0" w:rsidRDefault="00E231DA" w:rsidP="00B969ED">
      <w:pPr>
        <w:pStyle w:val="FootnoteText"/>
      </w:pPr>
      <w:r w:rsidRPr="00A474D0">
        <w:rPr>
          <w:rStyle w:val="FootnoteReference"/>
        </w:rPr>
        <w:footnoteRef/>
      </w:r>
      <w:r w:rsidRPr="00A474D0">
        <w:t xml:space="preserve"> </w:t>
      </w:r>
      <w:r w:rsidRPr="005658C2">
        <w:t xml:space="preserve">The </w:t>
      </w:r>
      <w:r w:rsidRPr="005658C2">
        <w:rPr>
          <w:i/>
        </w:rPr>
        <w:t>RSP Project List</w:t>
      </w:r>
      <w:r w:rsidRPr="005658C2">
        <w:t xml:space="preserve"> (XLS file) is available at </w:t>
      </w:r>
      <w:hyperlink r:id="rId199" w:history="1">
        <w:r w:rsidRPr="005658C2">
          <w:rPr>
            <w:rStyle w:val="Hyperlink"/>
          </w:rPr>
          <w:t>https://www.iso-ne.com/system-planning/system-plans-studies/rsp</w:t>
        </w:r>
      </w:hyperlink>
      <w:r w:rsidRPr="005658C2">
        <w:rPr>
          <w:rStyle w:val="Hyperlink"/>
        </w:rPr>
        <w:t>.</w:t>
      </w:r>
    </w:p>
  </w:footnote>
  <w:footnote w:id="211">
    <w:p w14:paraId="3241D7D9" w14:textId="77777777" w:rsidR="00E231DA" w:rsidRPr="00B85E49" w:rsidRDefault="00E231DA" w:rsidP="00B969ED">
      <w:pPr>
        <w:pStyle w:val="FoonoteText"/>
        <w:spacing w:after="80" w:line="240" w:lineRule="auto"/>
        <w:rPr>
          <w:sz w:val="18"/>
          <w:szCs w:val="18"/>
        </w:rPr>
      </w:pPr>
      <w:r w:rsidRPr="00A474D0">
        <w:rPr>
          <w:rStyle w:val="FootnoteReference"/>
          <w:rFonts w:eastAsiaTheme="majorEastAsia"/>
          <w:sz w:val="18"/>
          <w:szCs w:val="18"/>
        </w:rPr>
        <w:footnoteRef/>
      </w:r>
      <w:r w:rsidRPr="00A474D0">
        <w:rPr>
          <w:sz w:val="18"/>
          <w:szCs w:val="18"/>
        </w:rPr>
        <w:t xml:space="preserve"> PAC materials and meeting minutes are available at </w:t>
      </w:r>
      <w:hyperlink r:id="rId200" w:history="1">
        <w:r w:rsidRPr="00A474D0">
          <w:rPr>
            <w:rStyle w:val="Hyperlink"/>
            <w:color w:val="auto"/>
            <w:sz w:val="18"/>
            <w:szCs w:val="18"/>
          </w:rPr>
          <w:t>http://www.iso-ne.com/committees/comm_wkgrps/prtcpnts_comm/pac/index.html</w:t>
        </w:r>
      </w:hyperlink>
      <w:r w:rsidRPr="00A474D0">
        <w:rPr>
          <w:sz w:val="18"/>
          <w:szCs w:val="18"/>
        </w:rPr>
        <w:t>.</w:t>
      </w:r>
    </w:p>
  </w:footnote>
  <w:footnote w:id="212">
    <w:p w14:paraId="23027301" w14:textId="77777777" w:rsidR="00E231DA" w:rsidRDefault="00E231DA" w:rsidP="005678F8">
      <w:pPr>
        <w:pStyle w:val="FootnoteText"/>
      </w:pPr>
      <w:r>
        <w:t xml:space="preserve"> </w:t>
      </w:r>
      <w:r>
        <w:rPr>
          <w:rStyle w:val="FootnoteReference"/>
        </w:rPr>
        <w:footnoteRef/>
      </w:r>
      <w:r>
        <w:t xml:space="preserve"> ISO New England, “Summary of ISO-NE Reviewed TCA Applications under Schedule 12C of the Tariff,” spreadsheet (December 31, 2018), </w:t>
      </w:r>
      <w:hyperlink r:id="rId201" w:history="1">
        <w:r w:rsidRPr="005678F8">
          <w:rPr>
            <w:rStyle w:val="Hyperlink"/>
          </w:rPr>
          <w:t>https://www.iso-ne.com/static-assets/documents/2018/02/tca_application_status.pdf</w:t>
        </w:r>
      </w:hyperlink>
      <w:r>
        <w:t>.</w:t>
      </w:r>
    </w:p>
  </w:footnote>
  <w:footnote w:id="213">
    <w:p w14:paraId="3002B8AB" w14:textId="77777777" w:rsidR="00E231DA" w:rsidRPr="00776403" w:rsidRDefault="00E231DA" w:rsidP="00B969ED">
      <w:pPr>
        <w:pStyle w:val="FoonoteText"/>
        <w:spacing w:after="80" w:line="240" w:lineRule="auto"/>
        <w:rPr>
          <w:sz w:val="18"/>
          <w:szCs w:val="18"/>
        </w:rPr>
      </w:pPr>
      <w:r w:rsidRPr="009C73E6">
        <w:rPr>
          <w:rStyle w:val="FootnoteReference"/>
          <w:rFonts w:eastAsiaTheme="majorEastAsia"/>
          <w:sz w:val="18"/>
          <w:szCs w:val="18"/>
        </w:rPr>
        <w:footnoteRef/>
      </w:r>
      <w:r w:rsidRPr="009C73E6">
        <w:rPr>
          <w:sz w:val="18"/>
          <w:szCs w:val="18"/>
        </w:rPr>
        <w:t xml:space="preserve"> Regional transmission service is comprised of </w:t>
      </w:r>
      <w:r w:rsidRPr="009C73E6">
        <w:rPr>
          <w:i/>
          <w:sz w:val="18"/>
          <w:szCs w:val="18"/>
        </w:rPr>
        <w:t>regional network service</w:t>
      </w:r>
      <w:r w:rsidRPr="009C73E6">
        <w:rPr>
          <w:sz w:val="18"/>
          <w:szCs w:val="18"/>
        </w:rPr>
        <w:t xml:space="preserve"> (RNS) and </w:t>
      </w:r>
      <w:r w:rsidRPr="009C73E6">
        <w:rPr>
          <w:i/>
          <w:sz w:val="18"/>
          <w:szCs w:val="18"/>
        </w:rPr>
        <w:t xml:space="preserve">through-or-out (TOUT) service. </w:t>
      </w:r>
      <w:r w:rsidRPr="009C73E6">
        <w:rPr>
          <w:sz w:val="18"/>
          <w:szCs w:val="18"/>
        </w:rPr>
        <w:t>RNS is the transmission service the ISO provides over the PTFs, described in the OATT, Part II.B, that network</w:t>
      </w:r>
      <w:r w:rsidRPr="00776403">
        <w:rPr>
          <w:sz w:val="18"/>
          <w:szCs w:val="18"/>
        </w:rPr>
        <w:t xml:space="preserve"> customers use to serve load within the New England Control Area. The ISO’s TOUT service over the PTFs allows a real-time market transaction to be exported out of or “wheeled through” the New England area, including services used for network resources or regional network load not physically interconnected with a PTF. </w:t>
      </w:r>
    </w:p>
  </w:footnote>
  <w:footnote w:id="214">
    <w:p w14:paraId="737340A6" w14:textId="702E09AD" w:rsidR="00E231DA" w:rsidRPr="008D5D5B" w:rsidRDefault="00E231DA" w:rsidP="00B969ED">
      <w:pPr>
        <w:pStyle w:val="FootnoteText"/>
        <w:rPr>
          <w:szCs w:val="18"/>
        </w:rPr>
      </w:pPr>
      <w:r w:rsidRPr="00D1131C">
        <w:rPr>
          <w:rStyle w:val="FootnoteReference"/>
          <w:sz w:val="18"/>
          <w:szCs w:val="18"/>
        </w:rPr>
        <w:footnoteRef/>
      </w:r>
      <w:r w:rsidRPr="00D1131C">
        <w:rPr>
          <w:szCs w:val="18"/>
        </w:rPr>
        <w:t xml:space="preserve"> NCPC is a payment to a supply resource that responded to the ISO’s dispatch instructions but did not fully recover its start-up and operating costs in either the Day-Ahead </w:t>
      </w:r>
      <w:r>
        <w:rPr>
          <w:szCs w:val="18"/>
        </w:rPr>
        <w:t xml:space="preserve">Energy Market </w:t>
      </w:r>
      <w:r w:rsidRPr="00D1131C">
        <w:rPr>
          <w:szCs w:val="18"/>
        </w:rPr>
        <w:t>or Real-Time Energy Market.</w:t>
      </w:r>
    </w:p>
  </w:footnote>
  <w:footnote w:id="215">
    <w:p w14:paraId="278419EA" w14:textId="77777777" w:rsidR="00E231DA" w:rsidRDefault="00E231DA">
      <w:pPr>
        <w:pStyle w:val="FootnoteText"/>
      </w:pPr>
      <w:r>
        <w:rPr>
          <w:rStyle w:val="FootnoteReference"/>
        </w:rPr>
        <w:footnoteRef/>
      </w:r>
      <w:r>
        <w:t xml:space="preserve"> </w:t>
      </w:r>
      <w:r w:rsidRPr="00700BF3">
        <w:t>The New York</w:t>
      </w:r>
      <w:r>
        <w:t xml:space="preserve"> </w:t>
      </w:r>
      <w:r w:rsidRPr="00700BF3">
        <w:t xml:space="preserve">North </w:t>
      </w:r>
      <w:r>
        <w:t>i</w:t>
      </w:r>
      <w:r w:rsidRPr="00700BF3">
        <w:t>nterface consists of seven AC ties to upstate NY; it excludes the two ties from New England to Long Island.</w:t>
      </w:r>
    </w:p>
  </w:footnote>
  <w:footnote w:id="216">
    <w:p w14:paraId="11E2F85B" w14:textId="77777777" w:rsidR="00E231DA" w:rsidRDefault="00E231DA">
      <w:pPr>
        <w:pStyle w:val="FootnoteText"/>
      </w:pPr>
      <w:r w:rsidRPr="00E2185A">
        <w:rPr>
          <w:rStyle w:val="FootnoteReference"/>
        </w:rPr>
        <w:footnoteRef/>
      </w:r>
      <w:r w:rsidRPr="00E2185A">
        <w:t xml:space="preserve"> See the ISO’s “Energy, Load, and Demand Report,” webpage, 2018 Flows and Limits on 36 Thermal and Stability Interfaces (2019), </w:t>
      </w:r>
      <w:hyperlink r:id="rId202" w:history="1">
        <w:r w:rsidRPr="00E2185A">
          <w:rPr>
            <w:rStyle w:val="Hyperlink"/>
          </w:rPr>
          <w:t>https://www.iso-ne.com/isoexpress/web/reports/load-and-demand/-/tree/historical-hourly-flows-and-limits</w:t>
        </w:r>
      </w:hyperlink>
      <w:r w:rsidRPr="00E2185A">
        <w:t>.</w:t>
      </w:r>
    </w:p>
  </w:footnote>
  <w:footnote w:id="217">
    <w:p w14:paraId="4B5E8670" w14:textId="77777777" w:rsidR="00E231DA" w:rsidRPr="00776403" w:rsidRDefault="00E231DA" w:rsidP="001E6E4E">
      <w:pPr>
        <w:pStyle w:val="CommentText"/>
        <w:spacing w:after="80"/>
        <w:rPr>
          <w:sz w:val="18"/>
          <w:szCs w:val="18"/>
        </w:rPr>
      </w:pPr>
      <w:r w:rsidRPr="001E6E4E">
        <w:rPr>
          <w:rStyle w:val="FootnoteReference"/>
          <w:sz w:val="18"/>
          <w:szCs w:val="18"/>
        </w:rPr>
        <w:footnoteRef/>
      </w:r>
      <w:r w:rsidRPr="001E6E4E">
        <w:rPr>
          <w:sz w:val="18"/>
          <w:szCs w:val="18"/>
        </w:rPr>
        <w:t xml:space="preserve"> ISO New England,</w:t>
      </w:r>
      <w:r w:rsidRPr="001E6E4E">
        <w:rPr>
          <w:i/>
          <w:sz w:val="18"/>
          <w:szCs w:val="18"/>
        </w:rPr>
        <w:t xml:space="preserve"> </w:t>
      </w:r>
      <w:r w:rsidRPr="001E6E4E">
        <w:rPr>
          <w:sz w:val="18"/>
          <w:szCs w:val="18"/>
        </w:rPr>
        <w:t xml:space="preserve">“Real-Time and Historical Data for Informed Market Decisions,” webpage, Grid Reports section (2019), </w:t>
      </w:r>
      <w:hyperlink r:id="rId203" w:history="1">
        <w:r w:rsidRPr="001E6E4E">
          <w:rPr>
            <w:rStyle w:val="Hyperlink"/>
            <w:sz w:val="18"/>
            <w:szCs w:val="18"/>
          </w:rPr>
          <w:t>https://www.iso-ne.com/markets-operations/iso-express</w:t>
        </w:r>
      </w:hyperlink>
      <w:r w:rsidRPr="001E6E4E">
        <w:rPr>
          <w:sz w:val="18"/>
          <w:szCs w:val="18"/>
        </w:rPr>
        <w:t>.</w:t>
      </w:r>
    </w:p>
  </w:footnote>
  <w:footnote w:id="218">
    <w:p w14:paraId="04584631" w14:textId="6C964F51" w:rsidR="00E231DA" w:rsidRDefault="00E231DA" w:rsidP="00200127">
      <w:pPr>
        <w:pStyle w:val="FootnoteText"/>
      </w:pPr>
      <w:r>
        <w:rPr>
          <w:rStyle w:val="FootnoteReference"/>
        </w:rPr>
        <w:footnoteRef/>
      </w:r>
      <w:r>
        <w:t xml:space="preserve"> </w:t>
      </w:r>
      <w:r w:rsidRPr="00203A97">
        <w:t xml:space="preserve">ISO New England, </w:t>
      </w:r>
      <w:r w:rsidRPr="00203A97">
        <w:rPr>
          <w:i/>
        </w:rPr>
        <w:t>2016/2017 Maine Resource Integration Study</w:t>
      </w:r>
      <w:r w:rsidRPr="00203A97">
        <w:t xml:space="preserve"> (March 12, 2018), </w:t>
      </w:r>
      <w:hyperlink r:id="rId204" w:history="1">
        <w:r w:rsidRPr="00203A97">
          <w:rPr>
            <w:rStyle w:val="Hyperlink"/>
          </w:rPr>
          <w:t>https://smd.iso-ne.com/operations-services/ceii/pac/2018/03/final_maine_resource_integration_study_report.pdf</w:t>
        </w:r>
      </w:hyperlink>
      <w:r w:rsidRPr="00203A97">
        <w:t>.</w:t>
      </w:r>
      <w:r>
        <w:t xml:space="preserve"> Also see Section </w:t>
      </w:r>
      <w:r>
        <w:fldChar w:fldCharType="begin"/>
      </w:r>
      <w:r>
        <w:instrText xml:space="preserve"> REF _Ref11870792 \r \h </w:instrText>
      </w:r>
      <w:r>
        <w:fldChar w:fldCharType="separate"/>
      </w:r>
      <w:r>
        <w:t>4.5.3.2</w:t>
      </w:r>
      <w:r>
        <w:fldChar w:fldCharType="end"/>
      </w:r>
      <w:r>
        <w:t>.</w:t>
      </w:r>
    </w:p>
  </w:footnote>
  <w:footnote w:id="219">
    <w:p w14:paraId="49896E90" w14:textId="77777777" w:rsidR="00E231DA" w:rsidRDefault="00E231DA" w:rsidP="00B969ED">
      <w:pPr>
        <w:pStyle w:val="FootnoteText"/>
      </w:pPr>
      <w:r w:rsidRPr="009D3664">
        <w:rPr>
          <w:rStyle w:val="FootnoteReference"/>
        </w:rPr>
        <w:footnoteRef/>
      </w:r>
      <w:r w:rsidRPr="009D3664">
        <w:t xml:space="preserve"> </w:t>
      </w:r>
      <w:r w:rsidRPr="00203A97">
        <w:t>ISO New England,</w:t>
      </w:r>
      <w:r>
        <w:t xml:space="preserve"> </w:t>
      </w:r>
      <w:r w:rsidRPr="005658C2">
        <w:rPr>
          <w:i/>
        </w:rPr>
        <w:t>Second Maine Resource Integration Study: Scope</w:t>
      </w:r>
      <w:r>
        <w:t xml:space="preserve"> (September 27, 2018), </w:t>
      </w:r>
      <w:hyperlink r:id="rId205" w:history="1">
        <w:r w:rsidRPr="00200127">
          <w:rPr>
            <w:rStyle w:val="Hyperlink"/>
          </w:rPr>
          <w:t>https://www.iso-ne.com/static-assets/documents/2018/09/a12_second_maine_resource_integration_study_scope_rev1.pdf</w:t>
        </w:r>
      </w:hyperlink>
      <w:r>
        <w:t>.</w:t>
      </w:r>
    </w:p>
  </w:footnote>
  <w:footnote w:id="220">
    <w:p w14:paraId="38635CF6" w14:textId="77777777" w:rsidR="00E231DA" w:rsidRPr="003421F9" w:rsidRDefault="00E231DA" w:rsidP="00B969ED">
      <w:pPr>
        <w:pStyle w:val="FootnoteText"/>
      </w:pPr>
      <w:r w:rsidRPr="003421F9">
        <w:rPr>
          <w:rStyle w:val="FootnoteReference"/>
        </w:rPr>
        <w:footnoteRef/>
      </w:r>
      <w:r w:rsidRPr="003421F9">
        <w:t xml:space="preserve"> </w:t>
      </w:r>
      <w:r w:rsidRPr="003421F9">
        <w:rPr>
          <w:rFonts w:eastAsia="Times New Roman"/>
          <w:color w:val="000000"/>
        </w:rPr>
        <w:t>Interconnecting different time zones provide additional diversity. The Atlantic time zone used by the Maritime provinces is an hour later than the Eastern Time Zone use by New England.</w:t>
      </w:r>
    </w:p>
  </w:footnote>
  <w:footnote w:id="221">
    <w:p w14:paraId="56F20A41" w14:textId="6F4FE778" w:rsidR="00E231DA" w:rsidRPr="003421F9" w:rsidRDefault="00E231DA" w:rsidP="00B969ED">
      <w:pPr>
        <w:pStyle w:val="FootnoteText"/>
      </w:pPr>
      <w:r w:rsidRPr="003421F9">
        <w:rPr>
          <w:rStyle w:val="FootnoteReference"/>
        </w:rPr>
        <w:footnoteRef/>
      </w:r>
      <w:r w:rsidRPr="003421F9">
        <w:t xml:space="preserve"> See current issues, such as system security practices, at </w:t>
      </w:r>
      <w:r w:rsidRPr="00C51B49">
        <w:t xml:space="preserve">DOE’s Office of Electricity website, </w:t>
      </w:r>
      <w:hyperlink r:id="rId206" w:history="1">
        <w:r w:rsidRPr="00CE3479">
          <w:rPr>
            <w:rStyle w:val="Hyperlink"/>
          </w:rPr>
          <w:t>https://www.energy.gov/oe/office-electricity</w:t>
        </w:r>
      </w:hyperlink>
      <w:r w:rsidRPr="00CE3479">
        <w:t>.</w:t>
      </w:r>
    </w:p>
  </w:footnote>
  <w:footnote w:id="222">
    <w:p w14:paraId="1E8044FE" w14:textId="77777777" w:rsidR="00E231DA" w:rsidRPr="000474EA" w:rsidRDefault="00E231DA" w:rsidP="00B969ED">
      <w:pPr>
        <w:pStyle w:val="FootnoteText"/>
        <w:rPr>
          <w:szCs w:val="18"/>
        </w:rPr>
      </w:pPr>
      <w:r w:rsidRPr="003421F9">
        <w:rPr>
          <w:rStyle w:val="FootnoteReference"/>
          <w:sz w:val="18"/>
          <w:szCs w:val="18"/>
        </w:rPr>
        <w:footnoteRef/>
      </w:r>
      <w:r w:rsidRPr="003421F9">
        <w:rPr>
          <w:szCs w:val="18"/>
        </w:rPr>
        <w:t xml:space="preserve"> US DOE, “National Electric Transmission Congestion Study,” webpage (2019), </w:t>
      </w:r>
      <w:hyperlink r:id="rId207" w:history="1">
        <w:r w:rsidRPr="003421F9">
          <w:rPr>
            <w:rStyle w:val="Hyperlink"/>
            <w:szCs w:val="18"/>
          </w:rPr>
          <w:t>https://www.energy.gov/oe/services/electricity-policy-coordination-and-implementation/transmission-planning/national-2</w:t>
        </w:r>
      </w:hyperlink>
      <w:r w:rsidRPr="003421F9">
        <w:rPr>
          <w:szCs w:val="18"/>
        </w:rPr>
        <w:t>.</w:t>
      </w:r>
    </w:p>
  </w:footnote>
  <w:footnote w:id="223">
    <w:p w14:paraId="39E394E6" w14:textId="77777777" w:rsidR="00E231DA" w:rsidRDefault="00E231DA" w:rsidP="00B969ED">
      <w:pPr>
        <w:pStyle w:val="FootnoteText"/>
      </w:pPr>
      <w:r>
        <w:rPr>
          <w:rStyle w:val="FootnoteReference"/>
        </w:rPr>
        <w:footnoteRef/>
      </w:r>
      <w:r>
        <w:t xml:space="preserve"> EIPC, </w:t>
      </w:r>
      <w:r>
        <w:rPr>
          <w:i/>
        </w:rPr>
        <w:t xml:space="preserve">State of the Eastern Interconnection </w:t>
      </w:r>
      <w:r>
        <w:t xml:space="preserve">(October 3, 2018), </w:t>
      </w:r>
      <w:hyperlink r:id="rId208" w:history="1">
        <w:r w:rsidRPr="00473664">
          <w:rPr>
            <w:rStyle w:val="Hyperlink"/>
          </w:rPr>
          <w:t>https://static1.squarespace.com/static/5b1032e545776e01e7058845/t/5bb502d41905f4207c241e4d/1538589397643/EIPC-State+of+the+Eastern+Interconnection+10-3-18.pdf</w:t>
        </w:r>
      </w:hyperlink>
      <w:r>
        <w:t xml:space="preserve">. Also see “Eastern Interconnection Planning Collaborative Completes Report on the State of the Eastern Interconnection, press release (October 4, 2018), </w:t>
      </w:r>
      <w:hyperlink r:id="rId209" w:history="1">
        <w:r w:rsidRPr="00473664">
          <w:rPr>
            <w:rStyle w:val="Hyperlink"/>
          </w:rPr>
          <w:t>https://static1.squarespace.com/static/5b1032e545776e01e7058845/t/5bb503b38165f55177b274f3/1538589619569/Press+Release+EIPC+Completes+State+of+Grid+Report+FINAL+10-4-18.pdf</w:t>
        </w:r>
      </w:hyperlink>
      <w:r>
        <w:t>.</w:t>
      </w:r>
    </w:p>
  </w:footnote>
  <w:footnote w:id="224">
    <w:p w14:paraId="6AD4001D" w14:textId="77777777" w:rsidR="00E231DA" w:rsidRDefault="00E231DA" w:rsidP="00B969ED">
      <w:pPr>
        <w:pStyle w:val="FootnoteText"/>
      </w:pPr>
      <w:r>
        <w:rPr>
          <w:rStyle w:val="FootnoteReference"/>
        </w:rPr>
        <w:footnoteRef/>
      </w:r>
      <w:r>
        <w:t xml:space="preserve"> EIPC Roll-Up Reports are available at </w:t>
      </w:r>
      <w:hyperlink r:id="rId210" w:history="1">
        <w:r w:rsidRPr="00481336">
          <w:rPr>
            <w:rStyle w:val="Hyperlink"/>
          </w:rPr>
          <w:t>https://www.eipconline.com/eipcstudydocuments</w:t>
        </w:r>
      </w:hyperlink>
      <w:r>
        <w:t>.</w:t>
      </w:r>
    </w:p>
  </w:footnote>
  <w:footnote w:id="225">
    <w:p w14:paraId="62153A17" w14:textId="77777777" w:rsidR="00E231DA" w:rsidRPr="00356FAA" w:rsidRDefault="00E231DA" w:rsidP="00B969ED">
      <w:pPr>
        <w:pStyle w:val="FootnoteText"/>
        <w:rPr>
          <w:szCs w:val="18"/>
        </w:rPr>
      </w:pPr>
      <w:r w:rsidRPr="000474EA">
        <w:rPr>
          <w:rStyle w:val="FootnoteReference"/>
          <w:sz w:val="18"/>
          <w:szCs w:val="18"/>
        </w:rPr>
        <w:footnoteRef/>
      </w:r>
      <w:r w:rsidRPr="000474EA">
        <w:rPr>
          <w:szCs w:val="18"/>
        </w:rPr>
        <w:t xml:space="preserve"> The final reports from EIPC’s work undertaken with the support of DOE is available at </w:t>
      </w:r>
      <w:hyperlink r:id="rId211" w:history="1">
        <w:r w:rsidRPr="005658C2">
          <w:rPr>
            <w:szCs w:val="18"/>
          </w:rPr>
          <w:t>https://www.eipconline.com/</w:t>
        </w:r>
      </w:hyperlink>
      <w:r w:rsidRPr="00356FAA">
        <w:rPr>
          <w:szCs w:val="18"/>
        </w:rPr>
        <w:t>.</w:t>
      </w:r>
    </w:p>
  </w:footnote>
  <w:footnote w:id="226">
    <w:p w14:paraId="63627160" w14:textId="77777777" w:rsidR="00E231DA" w:rsidRPr="00356FAA" w:rsidRDefault="00E231DA" w:rsidP="00B969ED">
      <w:pPr>
        <w:pStyle w:val="FootnoteText"/>
        <w:rPr>
          <w:szCs w:val="18"/>
        </w:rPr>
      </w:pPr>
      <w:r w:rsidRPr="00356FAA">
        <w:rPr>
          <w:rStyle w:val="FootnoteReference"/>
          <w:sz w:val="18"/>
          <w:szCs w:val="18"/>
        </w:rPr>
        <w:footnoteRef/>
      </w:r>
      <w:r w:rsidRPr="00356FAA">
        <w:rPr>
          <w:szCs w:val="18"/>
        </w:rPr>
        <w:t xml:space="preserve"> The National Council on Electricity Policy has subsumed the activities of the Eastern Interconnection States Planning Council (EISPC); see </w:t>
      </w:r>
      <w:hyperlink r:id="rId212" w:history="1">
        <w:r w:rsidRPr="005658C2">
          <w:rPr>
            <w:rStyle w:val="Hyperlink"/>
            <w:color w:val="auto"/>
            <w:szCs w:val="18"/>
          </w:rPr>
          <w:t>http://electricitypolicy.org/eispc/</w:t>
        </w:r>
      </w:hyperlink>
      <w:r w:rsidRPr="00356FAA">
        <w:rPr>
          <w:szCs w:val="18"/>
        </w:rPr>
        <w:t>.</w:t>
      </w:r>
    </w:p>
  </w:footnote>
  <w:footnote w:id="227">
    <w:p w14:paraId="52A454BA" w14:textId="77777777" w:rsidR="00E231DA" w:rsidRPr="000474EA" w:rsidRDefault="00E231DA" w:rsidP="00B969ED">
      <w:pPr>
        <w:pStyle w:val="FootnoteText"/>
        <w:rPr>
          <w:szCs w:val="18"/>
        </w:rPr>
      </w:pPr>
      <w:r w:rsidRPr="00356FAA">
        <w:rPr>
          <w:rStyle w:val="FootnoteReference"/>
          <w:sz w:val="18"/>
          <w:szCs w:val="18"/>
        </w:rPr>
        <w:footnoteRef/>
      </w:r>
      <w:r w:rsidRPr="00356FAA">
        <w:rPr>
          <w:szCs w:val="18"/>
        </w:rPr>
        <w:t xml:space="preserve"> DOE, </w:t>
      </w:r>
      <w:r w:rsidRPr="00356FAA">
        <w:rPr>
          <w:i/>
          <w:szCs w:val="18"/>
        </w:rPr>
        <w:t xml:space="preserve">Annual US Transmission Data Review </w:t>
      </w:r>
      <w:r w:rsidRPr="00356FAA">
        <w:rPr>
          <w:szCs w:val="18"/>
        </w:rPr>
        <w:t>(March 2018),</w:t>
      </w:r>
      <w:r w:rsidRPr="00356FAA">
        <w:rPr>
          <w:i/>
          <w:szCs w:val="18"/>
        </w:rPr>
        <w:t xml:space="preserve"> </w:t>
      </w:r>
      <w:hyperlink w:history="1"/>
      <w:hyperlink r:id="rId213" w:history="1">
        <w:r w:rsidRPr="005658C2">
          <w:rPr>
            <w:szCs w:val="18"/>
          </w:rPr>
          <w:t>https://www.energy.gov/sites/prod/files/2018/03/f49/2018%20Transmission%20Data%20Review%20FINAL.pdf</w:t>
        </w:r>
      </w:hyperlink>
      <w:r w:rsidRPr="00356FAA">
        <w:rPr>
          <w:szCs w:val="18"/>
        </w:rPr>
        <w:t>. NREL, “Eastern Renewable G</w:t>
      </w:r>
      <w:r w:rsidRPr="0034799D">
        <w:rPr>
          <w:szCs w:val="18"/>
        </w:rPr>
        <w:t xml:space="preserve">eneration Integration Study,” webpage (n.d.), </w:t>
      </w:r>
      <w:hyperlink r:id="rId214" w:history="1">
        <w:r w:rsidRPr="0034799D">
          <w:rPr>
            <w:rStyle w:val="Hyperlink"/>
            <w:szCs w:val="18"/>
          </w:rPr>
          <w:t>https://www.nrel.gov/grid/ergis.html</w:t>
        </w:r>
      </w:hyperlink>
      <w:r w:rsidRPr="0034799D">
        <w:rPr>
          <w:szCs w:val="18"/>
        </w:rPr>
        <w:t>.</w:t>
      </w:r>
    </w:p>
  </w:footnote>
  <w:footnote w:id="228">
    <w:p w14:paraId="05535025" w14:textId="77777777" w:rsidR="00E231DA" w:rsidRPr="00B31DBE" w:rsidRDefault="00E231DA" w:rsidP="00B969ED">
      <w:pPr>
        <w:pStyle w:val="FootnoteText"/>
        <w:rPr>
          <w:szCs w:val="18"/>
        </w:rPr>
      </w:pPr>
      <w:r w:rsidRPr="002039A9">
        <w:rPr>
          <w:rStyle w:val="FootnoteReference"/>
          <w:sz w:val="18"/>
          <w:szCs w:val="18"/>
        </w:rPr>
        <w:footnoteRef/>
      </w:r>
      <w:r w:rsidRPr="00B31DBE">
        <w:rPr>
          <w:szCs w:val="18"/>
        </w:rPr>
        <w:t xml:space="preserve"> </w:t>
      </w:r>
      <w:r>
        <w:rPr>
          <w:szCs w:val="18"/>
        </w:rPr>
        <w:t xml:space="preserve">EIPC, </w:t>
      </w:r>
      <w:r w:rsidRPr="002039A9">
        <w:rPr>
          <w:i/>
          <w:szCs w:val="18"/>
        </w:rPr>
        <w:t>Frequency Response Task Force 2018 Final Report</w:t>
      </w:r>
      <w:r w:rsidRPr="00B31DBE">
        <w:rPr>
          <w:szCs w:val="18"/>
        </w:rPr>
        <w:t xml:space="preserve"> (February 27, 2019</w:t>
      </w:r>
      <w:r>
        <w:rPr>
          <w:szCs w:val="18"/>
        </w:rPr>
        <w:t>)</w:t>
      </w:r>
      <w:r w:rsidRPr="00B31DBE">
        <w:rPr>
          <w:szCs w:val="18"/>
        </w:rPr>
        <w:t xml:space="preserve">, </w:t>
      </w:r>
      <w:hyperlink r:id="rId215" w:history="1">
        <w:r w:rsidRPr="00B31DBE">
          <w:rPr>
            <w:rStyle w:val="Hyperlink"/>
            <w:szCs w:val="18"/>
          </w:rPr>
          <w:t>https://static1.squarespace.com/static/5b1032e545776e01e7058845/t/5ca541769b747a55f8444c03/1554334072121/EIPC_FRTF_2018_Final_Report_Public_Version_EC_Approved_2019-02-27.pdf</w:t>
        </w:r>
      </w:hyperlink>
      <w:r w:rsidRPr="00B31DBE">
        <w:rPr>
          <w:szCs w:val="18"/>
        </w:rPr>
        <w:t>.</w:t>
      </w:r>
    </w:p>
  </w:footnote>
  <w:footnote w:id="229">
    <w:p w14:paraId="6836567C" w14:textId="77777777" w:rsidR="00E231DA" w:rsidRPr="00356FAA" w:rsidRDefault="00E231DA" w:rsidP="00B969ED">
      <w:pPr>
        <w:pStyle w:val="FootnoteText"/>
        <w:rPr>
          <w:szCs w:val="18"/>
        </w:rPr>
      </w:pPr>
      <w:r w:rsidRPr="00586687">
        <w:rPr>
          <w:rStyle w:val="FootnoteReference"/>
          <w:sz w:val="18"/>
          <w:szCs w:val="18"/>
        </w:rPr>
        <w:footnoteRef/>
      </w:r>
      <w:r w:rsidRPr="00586687">
        <w:rPr>
          <w:szCs w:val="18"/>
        </w:rPr>
        <w:t xml:space="preserve"> NERC, </w:t>
      </w:r>
      <w:r w:rsidRPr="00586687">
        <w:rPr>
          <w:i/>
          <w:szCs w:val="18"/>
        </w:rPr>
        <w:t xml:space="preserve">MOD-032-1—Data for Power System Modeling and Analysis </w:t>
      </w:r>
      <w:r w:rsidRPr="00586687">
        <w:rPr>
          <w:szCs w:val="18"/>
        </w:rPr>
        <w:t xml:space="preserve">(May 1, 2014), </w:t>
      </w:r>
      <w:hyperlink r:id="rId216" w:history="1">
        <w:r w:rsidRPr="005658C2">
          <w:rPr>
            <w:szCs w:val="18"/>
          </w:rPr>
          <w:t>https://www.nerc.com/pa/Stand/Reliability%20Standards/MOD-032-1.pdf</w:t>
        </w:r>
      </w:hyperlink>
      <w:r w:rsidRPr="00356FAA">
        <w:rPr>
          <w:szCs w:val="18"/>
        </w:rPr>
        <w:t xml:space="preserve">. </w:t>
      </w:r>
    </w:p>
  </w:footnote>
  <w:footnote w:id="230">
    <w:p w14:paraId="07A0B1FC" w14:textId="77777777" w:rsidR="00E231DA" w:rsidRPr="00D83BD7" w:rsidRDefault="00E231DA" w:rsidP="00B969ED">
      <w:pPr>
        <w:pStyle w:val="FootnoteText"/>
        <w:rPr>
          <w:szCs w:val="18"/>
        </w:rPr>
      </w:pPr>
      <w:r w:rsidRPr="0089132D">
        <w:rPr>
          <w:rStyle w:val="FootnoteReference"/>
          <w:sz w:val="18"/>
          <w:szCs w:val="18"/>
        </w:rPr>
        <w:footnoteRef/>
      </w:r>
      <w:r w:rsidRPr="0089132D">
        <w:rPr>
          <w:szCs w:val="18"/>
        </w:rPr>
        <w:t xml:space="preserve"> ISO New England serves as a NERC reliability coordinator, planning coordinator, transmission operator, and transmission planner for the New England system; </w:t>
      </w:r>
      <w:r>
        <w:rPr>
          <w:szCs w:val="18"/>
        </w:rPr>
        <w:t>refer to</w:t>
      </w:r>
      <w:r w:rsidRPr="0089132D">
        <w:rPr>
          <w:szCs w:val="18"/>
        </w:rPr>
        <w:t xml:space="preserve"> NERC’s </w:t>
      </w:r>
      <w:r w:rsidRPr="0089132D">
        <w:rPr>
          <w:i/>
          <w:szCs w:val="18"/>
        </w:rPr>
        <w:t>Glossary of Terms Used in NERC Reliability Standards</w:t>
      </w:r>
      <w:r w:rsidRPr="0089132D">
        <w:rPr>
          <w:szCs w:val="18"/>
        </w:rPr>
        <w:t xml:space="preserve"> (March 8, 2019), </w:t>
      </w:r>
      <w:hyperlink r:id="rId217" w:history="1">
        <w:r w:rsidRPr="0089132D">
          <w:rPr>
            <w:rStyle w:val="Hyperlink"/>
            <w:szCs w:val="18"/>
          </w:rPr>
          <w:t>https://www.nerc.com/files/glossary_of_terms.pdf</w:t>
        </w:r>
      </w:hyperlink>
      <w:r w:rsidRPr="0089132D">
        <w:rPr>
          <w:szCs w:val="18"/>
        </w:rPr>
        <w:t>.</w:t>
      </w:r>
    </w:p>
  </w:footnote>
  <w:footnote w:id="231">
    <w:p w14:paraId="3AD8C958" w14:textId="73BBE722" w:rsidR="00E231DA" w:rsidRPr="00B31DBE" w:rsidRDefault="00E231DA" w:rsidP="00B969ED">
      <w:pPr>
        <w:spacing w:after="80" w:line="240" w:lineRule="auto"/>
        <w:rPr>
          <w:sz w:val="18"/>
          <w:szCs w:val="18"/>
        </w:rPr>
      </w:pPr>
      <w:r w:rsidRPr="00B31DBE">
        <w:rPr>
          <w:rStyle w:val="FootnoteReference"/>
          <w:sz w:val="18"/>
          <w:szCs w:val="18"/>
        </w:rPr>
        <w:footnoteRef/>
      </w:r>
      <w:r w:rsidRPr="00B31DBE">
        <w:rPr>
          <w:sz w:val="18"/>
          <w:szCs w:val="18"/>
        </w:rPr>
        <w:t xml:space="preserve"> See NERC’s “Reliability Assessment and Performance Analysis,” webpage (2019),</w:t>
      </w:r>
      <w:r w:rsidRPr="002039A9">
        <w:rPr>
          <w:sz w:val="18"/>
          <w:szCs w:val="18"/>
        </w:rPr>
        <w:t xml:space="preserve"> </w:t>
      </w:r>
      <w:hyperlink r:id="rId218" w:history="1">
        <w:r w:rsidRPr="00CE3479">
          <w:rPr>
            <w:rStyle w:val="Hyperlink"/>
            <w:sz w:val="18"/>
            <w:szCs w:val="18"/>
          </w:rPr>
          <w:t>https://www.nerc.com/pa/RAPA/ra/Pages/default.aspx</w:t>
        </w:r>
      </w:hyperlink>
      <w:r w:rsidRPr="00B31DBE">
        <w:rPr>
          <w:sz w:val="18"/>
          <w:szCs w:val="18"/>
        </w:rPr>
        <w:t>.</w:t>
      </w:r>
    </w:p>
  </w:footnote>
  <w:footnote w:id="232">
    <w:p w14:paraId="29B102AC" w14:textId="77777777" w:rsidR="00E231DA" w:rsidRPr="00B31DBE" w:rsidRDefault="00E231DA" w:rsidP="00B969ED">
      <w:pPr>
        <w:spacing w:after="80" w:line="240" w:lineRule="auto"/>
        <w:rPr>
          <w:sz w:val="18"/>
          <w:szCs w:val="18"/>
        </w:rPr>
      </w:pPr>
      <w:r w:rsidRPr="00B31DBE">
        <w:rPr>
          <w:rStyle w:val="FootnoteReference"/>
          <w:sz w:val="18"/>
          <w:szCs w:val="18"/>
        </w:rPr>
        <w:footnoteRef/>
      </w:r>
      <w:r w:rsidRPr="00B31DBE">
        <w:rPr>
          <w:sz w:val="18"/>
          <w:szCs w:val="18"/>
        </w:rPr>
        <w:t xml:space="preserve"> NERC, </w:t>
      </w:r>
      <w:r w:rsidRPr="00B31DBE">
        <w:rPr>
          <w:i/>
          <w:sz w:val="18"/>
          <w:szCs w:val="18"/>
        </w:rPr>
        <w:t>2018 Long-Term Reliability Assessment</w:t>
      </w:r>
      <w:r w:rsidRPr="00B31DBE">
        <w:rPr>
          <w:sz w:val="18"/>
          <w:szCs w:val="18"/>
        </w:rPr>
        <w:t xml:space="preserve"> (December 2018),</w:t>
      </w:r>
      <w:r w:rsidRPr="002039A9">
        <w:rPr>
          <w:sz w:val="18"/>
          <w:szCs w:val="18"/>
        </w:rPr>
        <w:t xml:space="preserve"> </w:t>
      </w:r>
      <w:hyperlink r:id="rId219" w:history="1">
        <w:r w:rsidRPr="00B31DBE">
          <w:rPr>
            <w:rStyle w:val="Hyperlink"/>
            <w:sz w:val="18"/>
            <w:szCs w:val="18"/>
          </w:rPr>
          <w:t>https://www.nerc.com/pa/RAPA/ra/Reliability%20Assessments%20DL/NERC_LTRA_2018_12202018.pdf</w:t>
        </w:r>
      </w:hyperlink>
      <w:hyperlink r:id="rId220" w:history="1"/>
      <w:r w:rsidRPr="00B31DBE">
        <w:rPr>
          <w:sz w:val="18"/>
          <w:szCs w:val="18"/>
        </w:rPr>
        <w:t>.</w:t>
      </w:r>
      <w:r>
        <w:rPr>
          <w:sz w:val="18"/>
          <w:szCs w:val="18"/>
        </w:rPr>
        <w:t xml:space="preserve"> </w:t>
      </w:r>
    </w:p>
  </w:footnote>
  <w:footnote w:id="233">
    <w:p w14:paraId="06C041D3" w14:textId="7E0D9A50" w:rsidR="00E231DA" w:rsidRPr="00DE71C5" w:rsidRDefault="00E231DA" w:rsidP="00B969ED">
      <w:pPr>
        <w:pStyle w:val="FootnoteText"/>
      </w:pPr>
      <w:r w:rsidRPr="00DE71C5">
        <w:rPr>
          <w:rStyle w:val="FootnoteReference"/>
        </w:rPr>
        <w:footnoteRef/>
      </w:r>
      <w:r w:rsidRPr="00DE71C5">
        <w:t xml:space="preserve"> The </w:t>
      </w:r>
      <w:r w:rsidRPr="00DE71C5">
        <w:rPr>
          <w:i/>
        </w:rPr>
        <w:t>Western Interconnection</w:t>
      </w:r>
      <w:r w:rsidRPr="00DE71C5">
        <w:t xml:space="preserve"> (WI) extends from western Canada south to Baja, California in Mexico, reaching eastward over the Rocky Mountains to the Great Plains. All the electric utilities in the WI are electrically tied together during normal system conditions and operate at a synchronized frequency of an average 60 Hz. </w:t>
      </w:r>
      <w:r>
        <w:t xml:space="preserve">See the DOE webpage, “Learn More about Interconnections” (n.d.), </w:t>
      </w:r>
      <w:hyperlink r:id="rId221" w:history="1">
        <w:r w:rsidRPr="00CE3479">
          <w:rPr>
            <w:rStyle w:val="Hyperlink"/>
          </w:rPr>
          <w:t>https://www.energy.gov/oe/services/electricity-policy-coordination-and-implementation/transmission-planning/recovery-act-0</w:t>
        </w:r>
      </w:hyperlink>
      <w:r w:rsidRPr="00DE71C5">
        <w:t>.</w:t>
      </w:r>
    </w:p>
  </w:footnote>
  <w:footnote w:id="234">
    <w:p w14:paraId="18A9FE1E" w14:textId="77777777" w:rsidR="00E231DA" w:rsidRDefault="00E231DA" w:rsidP="00B969ED">
      <w:pPr>
        <w:pStyle w:val="FootnoteText"/>
      </w:pPr>
      <w:r w:rsidRPr="00DE71C5">
        <w:rPr>
          <w:rStyle w:val="FootnoteReference"/>
        </w:rPr>
        <w:footnoteRef/>
      </w:r>
      <w:r w:rsidRPr="00DE71C5">
        <w:t xml:space="preserve"> </w:t>
      </w:r>
      <w:r w:rsidRPr="00DE71C5">
        <w:rPr>
          <w:rFonts w:cs="Calibri"/>
        </w:rPr>
        <w:t>The 30 GW includes both utility-scale DERs, which connect directly to the distribution bus or to the distribution bus through a dedicated, non-load-serving feeder, and retail-scale DERs, which offset residential, commercial, and industrial loads.</w:t>
      </w:r>
    </w:p>
  </w:footnote>
  <w:footnote w:id="235">
    <w:p w14:paraId="4C867CCB" w14:textId="45D4A7CD" w:rsidR="00E231DA" w:rsidRDefault="00E231DA" w:rsidP="00B969ED">
      <w:pPr>
        <w:pStyle w:val="FootnoteText"/>
      </w:pPr>
      <w:r w:rsidRPr="009073AF">
        <w:rPr>
          <w:rStyle w:val="FootnoteReference"/>
        </w:rPr>
        <w:footnoteRef/>
      </w:r>
      <w:r>
        <w:rPr>
          <w:rFonts w:cs="Calibri"/>
        </w:rPr>
        <w:t xml:space="preserve"> </w:t>
      </w:r>
      <w:r w:rsidRPr="002039A9">
        <w:rPr>
          <w:rFonts w:cs="Calibri"/>
        </w:rPr>
        <w:t>NERC</w:t>
      </w:r>
      <w:r>
        <w:rPr>
          <w:rFonts w:cs="Calibri"/>
        </w:rPr>
        <w:t xml:space="preserve"> </w:t>
      </w:r>
      <w:r w:rsidRPr="002039A9">
        <w:rPr>
          <w:rFonts w:cs="Calibri"/>
        </w:rPr>
        <w:t xml:space="preserve">LTRA 2018, p. 47, footnote 51: </w:t>
      </w:r>
      <w:r>
        <w:rPr>
          <w:rFonts w:cs="Calibri"/>
        </w:rPr>
        <w:t xml:space="preserve">(1) </w:t>
      </w:r>
      <w:r w:rsidRPr="002039A9">
        <w:rPr>
          <w:rFonts w:cs="Calibri"/>
        </w:rPr>
        <w:t>On September 28, 2003, a blackout affected more than 56 million people across Italy and areas of Switzerland. The disruption lasted for more than 48 hours as crews struggled to reconnect areas across the Italian peninsula. The reason for the blackout was</w:t>
      </w:r>
      <w:r w:rsidRPr="00191026">
        <w:rPr>
          <w:rFonts w:cs="Calibri"/>
        </w:rPr>
        <w:t xml:space="preserve"> </w:t>
      </w:r>
      <w:r w:rsidRPr="002039A9">
        <w:rPr>
          <w:rFonts w:cs="Calibri"/>
        </w:rPr>
        <w:t xml:space="preserve">that during this phase, the UVLS could not compensate </w:t>
      </w:r>
      <w:r>
        <w:rPr>
          <w:rFonts w:cs="Calibri"/>
        </w:rPr>
        <w:t xml:space="preserve">for </w:t>
      </w:r>
      <w:r w:rsidRPr="002039A9">
        <w:rPr>
          <w:rFonts w:cs="Calibri"/>
        </w:rPr>
        <w:t xml:space="preserve">the additional loss of generation when approximately 7.5 GW of distributed power plants tripped during underfrequency operation. </w:t>
      </w:r>
      <w:r w:rsidRPr="00191026">
        <w:rPr>
          <w:rFonts w:cs="Calibri"/>
        </w:rPr>
        <w:t xml:space="preserve">(2) </w:t>
      </w:r>
      <w:r w:rsidRPr="002039A9">
        <w:rPr>
          <w:rFonts w:cs="Calibri"/>
        </w:rPr>
        <w:t xml:space="preserve">On November 4, 2006, at </w:t>
      </w:r>
      <w:r w:rsidRPr="00306CD8">
        <w:rPr>
          <w:rFonts w:cs="Calibri"/>
        </w:rPr>
        <w:t xml:space="preserve">around 10:10 p.m., </w:t>
      </w:r>
      <w:r>
        <w:rPr>
          <w:rFonts w:cs="Calibri"/>
        </w:rPr>
        <w:t xml:space="preserve">the interconnected grid of </w:t>
      </w:r>
      <w:r w:rsidRPr="00306CD8">
        <w:rPr>
          <w:rFonts w:cs="Calibri"/>
        </w:rPr>
        <w:t>the Union for the Coordination of Transmission of Electricit</w:t>
      </w:r>
      <w:r w:rsidRPr="00E3232A">
        <w:rPr>
          <w:rFonts w:cs="Calibri"/>
        </w:rPr>
        <w:t>y (</w:t>
      </w:r>
      <w:r>
        <w:rPr>
          <w:rFonts w:cs="Calibri"/>
        </w:rPr>
        <w:t xml:space="preserve">UCTE, </w:t>
      </w:r>
      <w:r w:rsidRPr="00E3232A">
        <w:rPr>
          <w:rFonts w:cs="Calibri"/>
        </w:rPr>
        <w:t>a part of the European Network of Transmission System Operators for Electricity) was affe</w:t>
      </w:r>
      <w:r w:rsidRPr="002039A9">
        <w:rPr>
          <w:rFonts w:cs="Calibri"/>
        </w:rPr>
        <w:t xml:space="preserve">cted by a serious incident originating from the </w:t>
      </w:r>
      <w:r>
        <w:rPr>
          <w:rFonts w:cs="Calibri"/>
        </w:rPr>
        <w:t>n</w:t>
      </w:r>
      <w:r w:rsidRPr="002039A9">
        <w:rPr>
          <w:rFonts w:cs="Calibri"/>
        </w:rPr>
        <w:t>orth German transmission grid</w:t>
      </w:r>
      <w:r>
        <w:rPr>
          <w:rFonts w:cs="Calibri"/>
        </w:rPr>
        <w:t>, which</w:t>
      </w:r>
      <w:r w:rsidRPr="002039A9">
        <w:rPr>
          <w:rFonts w:cs="Calibri"/>
        </w:rPr>
        <w:t xml:space="preserve"> led to power supply disruptions for more than 15 million European households and a splitting of the </w:t>
      </w:r>
      <w:r w:rsidRPr="00AC1F6F">
        <w:rPr>
          <w:rFonts w:cs="Calibri"/>
        </w:rPr>
        <w:t>UCTE</w:t>
      </w:r>
      <w:r>
        <w:rPr>
          <w:rFonts w:cs="Calibri"/>
        </w:rPr>
        <w:t>’s</w:t>
      </w:r>
      <w:r w:rsidRPr="00AC1F6F">
        <w:rPr>
          <w:rFonts w:cs="Calibri"/>
        </w:rPr>
        <w:t xml:space="preserve"> synchronously</w:t>
      </w:r>
      <w:r w:rsidRPr="002039A9">
        <w:rPr>
          <w:rFonts w:cs="Calibri"/>
        </w:rPr>
        <w:t xml:space="preserve"> interconnected network into three areas. The imbalance between supply and demand as a result of the splitting was further increased in the first moment due to a significant amount of tripped generation connected to the distribution grid. In the overfrequency area (</w:t>
      </w:r>
      <w:r>
        <w:rPr>
          <w:rFonts w:cs="Calibri"/>
        </w:rPr>
        <w:t>i.e., the n</w:t>
      </w:r>
      <w:r w:rsidRPr="002039A9">
        <w:rPr>
          <w:rFonts w:cs="Calibri"/>
        </w:rPr>
        <w:t xml:space="preserve">ortheast </w:t>
      </w:r>
      <w:r>
        <w:rPr>
          <w:rFonts w:cs="Calibri"/>
        </w:rPr>
        <w:t>portion of UCTE</w:t>
      </w:r>
      <w:r w:rsidRPr="00306CD8">
        <w:rPr>
          <w:rFonts w:cs="Calibri"/>
        </w:rPr>
        <w:t>), the</w:t>
      </w:r>
      <w:r w:rsidRPr="002039A9">
        <w:rPr>
          <w:rFonts w:cs="Calibri"/>
        </w:rPr>
        <w:t xml:space="preserve"> lack of sufficient control over generation units contributed to the deterioration of system conditions in this area (long</w:t>
      </w:r>
      <w:r>
        <w:rPr>
          <w:rFonts w:cs="Calibri"/>
        </w:rPr>
        <w:t>-</w:t>
      </w:r>
      <w:r w:rsidRPr="002039A9">
        <w:rPr>
          <w:rFonts w:cs="Calibri"/>
        </w:rPr>
        <w:t>lasting overfrequency with severe overloading on high-voltage transmission lines). Generally, the uncontrolled operation of dispersed generation (mainly wind and combined</w:t>
      </w:r>
      <w:r>
        <w:rPr>
          <w:rFonts w:cs="Calibri"/>
        </w:rPr>
        <w:t xml:space="preserve"> </w:t>
      </w:r>
      <w:r w:rsidRPr="002039A9">
        <w:rPr>
          <w:rFonts w:cs="Calibri"/>
        </w:rPr>
        <w:t>heat</w:t>
      </w:r>
      <w:r>
        <w:rPr>
          <w:rFonts w:cs="Calibri"/>
        </w:rPr>
        <w:t xml:space="preserve"> </w:t>
      </w:r>
      <w:r w:rsidRPr="002039A9">
        <w:rPr>
          <w:rFonts w:cs="Calibri"/>
        </w:rPr>
        <w:t>and</w:t>
      </w:r>
      <w:r>
        <w:rPr>
          <w:rFonts w:cs="Calibri"/>
        </w:rPr>
        <w:t xml:space="preserve"> </w:t>
      </w:r>
      <w:r w:rsidRPr="002039A9">
        <w:rPr>
          <w:rFonts w:cs="Calibri"/>
        </w:rPr>
        <w:t>power) during the disturbance complicated the process of reestablishing normal system conditions</w:t>
      </w:r>
      <w:r>
        <w:rPr>
          <w:rFonts w:cs="Calibri"/>
        </w:rPr>
        <w:t>)</w:t>
      </w:r>
      <w:r w:rsidRPr="002039A9">
        <w:rPr>
          <w:rFonts w:cs="Calibri"/>
        </w:rPr>
        <w:t>.</w:t>
      </w:r>
      <w:r>
        <w:t xml:space="preserve"> </w:t>
      </w:r>
    </w:p>
  </w:footnote>
  <w:footnote w:id="236">
    <w:p w14:paraId="5E6E64EA" w14:textId="574BCD34" w:rsidR="00E231DA" w:rsidRDefault="00E231DA">
      <w:pPr>
        <w:pStyle w:val="FootnoteText"/>
      </w:pPr>
      <w:r>
        <w:rPr>
          <w:rStyle w:val="FootnoteReference"/>
        </w:rPr>
        <w:footnoteRef/>
      </w:r>
      <w:r>
        <w:t xml:space="preserve"> </w:t>
      </w:r>
      <w:r w:rsidRPr="00BF476F">
        <w:t xml:space="preserve">The </w:t>
      </w:r>
      <w:r w:rsidRPr="00944C52">
        <w:rPr>
          <w:i/>
        </w:rPr>
        <w:t>short-circuit ratio</w:t>
      </w:r>
      <w:r w:rsidRPr="00BF476F">
        <w:t xml:space="preserve"> is a measure of the strength of the system in areas where </w:t>
      </w:r>
      <w:r w:rsidRPr="006C19DA">
        <w:t>inverter-based resources</w:t>
      </w:r>
      <w:r>
        <w:t xml:space="preserve"> </w:t>
      </w:r>
      <w:r w:rsidRPr="00BF476F">
        <w:t>connect the system. It is calculated as the short</w:t>
      </w:r>
      <w:r>
        <w:t>-</w:t>
      </w:r>
      <w:r w:rsidRPr="00BF476F">
        <w:t xml:space="preserve">circuit availability divided by the nameplate </w:t>
      </w:r>
      <w:r>
        <w:t xml:space="preserve">million volt-amperes (MVA) </w:t>
      </w:r>
      <w:r w:rsidRPr="00BF476F">
        <w:t xml:space="preserve">rating of the IBRs connected to a given bus. Ratios under </w:t>
      </w:r>
      <w:r>
        <w:t>3.0</w:t>
      </w:r>
      <w:r w:rsidRPr="00157DF5">
        <w:t xml:space="preserve"> (as is the case in much of Maine</w:t>
      </w:r>
      <w:r w:rsidRPr="00F14B22">
        <w:t xml:space="preserve">; see Section </w:t>
      </w:r>
      <w:r w:rsidRPr="00F14B22">
        <w:fldChar w:fldCharType="begin"/>
      </w:r>
      <w:r w:rsidRPr="00F14B22">
        <w:instrText xml:space="preserve"> REF _Ref12190404 \r \h </w:instrText>
      </w:r>
      <w:r>
        <w:instrText xml:space="preserve"> \* MERGEFORMAT </w:instrText>
      </w:r>
      <w:r w:rsidRPr="00F14B22">
        <w:fldChar w:fldCharType="separate"/>
      </w:r>
      <w:r>
        <w:t>9.6.2</w:t>
      </w:r>
      <w:r w:rsidRPr="00F14B22">
        <w:fldChar w:fldCharType="end"/>
      </w:r>
      <w:r w:rsidRPr="00F14B22">
        <w:t>)</w:t>
      </w:r>
      <w:r w:rsidRPr="00157DF5">
        <w:t>, pose particular technical challenges for establishing acceptable control system performance of the interconnecting IBR.</w:t>
      </w:r>
    </w:p>
  </w:footnote>
  <w:footnote w:id="237">
    <w:p w14:paraId="4C2257CC" w14:textId="77777777" w:rsidR="00E231DA" w:rsidRDefault="00E231DA">
      <w:pPr>
        <w:pStyle w:val="FootnoteText"/>
      </w:pPr>
      <w:r>
        <w:rPr>
          <w:rStyle w:val="FootnoteReference"/>
        </w:rPr>
        <w:footnoteRef/>
      </w:r>
      <w:r>
        <w:t xml:space="preserve"> Refer to NERC’s “Inverter-Based Resource Performance Task Force,” webpage (2019), </w:t>
      </w:r>
      <w:hyperlink r:id="rId222" w:history="1">
        <w:r w:rsidRPr="00F14B22">
          <w:rPr>
            <w:rStyle w:val="Hyperlink"/>
          </w:rPr>
          <w:t>https://www.nerc.com/comm/PC/Pages/Inverter-Based-Resource-Performance-Task-Force.aspx</w:t>
        </w:r>
      </w:hyperlink>
      <w:r>
        <w:t>.</w:t>
      </w:r>
    </w:p>
  </w:footnote>
  <w:footnote w:id="238">
    <w:p w14:paraId="5C8F1170" w14:textId="77777777" w:rsidR="00E231DA" w:rsidRDefault="00E231DA" w:rsidP="00B969ED">
      <w:pPr>
        <w:pStyle w:val="FootnoteText"/>
      </w:pPr>
      <w:r w:rsidRPr="000E6FB7">
        <w:rPr>
          <w:rStyle w:val="FootnoteReference"/>
        </w:rPr>
        <w:footnoteRef/>
      </w:r>
      <w:r w:rsidRPr="002039A9">
        <w:t xml:space="preserve"> This effort succeeds NERC</w:t>
      </w:r>
      <w:r>
        <w:t>’s</w:t>
      </w:r>
      <w:r w:rsidRPr="002039A9">
        <w:t xml:space="preserve"> Distributed Energy Resources Task Force (DERTF) and Essential Reliability Services Task Force/Working Group (ERSTF/ERSWG)</w:t>
      </w:r>
      <w:r w:rsidRPr="000E6FB7">
        <w:t>.</w:t>
      </w:r>
    </w:p>
  </w:footnote>
  <w:footnote w:id="239">
    <w:p w14:paraId="779CD7D7" w14:textId="67385208" w:rsidR="00E231DA" w:rsidRDefault="00E231DA" w:rsidP="00B969ED">
      <w:pPr>
        <w:pStyle w:val="FootnoteText"/>
      </w:pPr>
      <w:r w:rsidRPr="00C42D12">
        <w:rPr>
          <w:rStyle w:val="FootnoteReference"/>
        </w:rPr>
        <w:footnoteRef/>
      </w:r>
      <w:r w:rsidRPr="00C42D12">
        <w:t xml:space="preserve"> </w:t>
      </w:r>
      <w:r>
        <w:t xml:space="preserve">NERC, </w:t>
      </w:r>
      <w:r w:rsidRPr="002039A9">
        <w:rPr>
          <w:i/>
        </w:rPr>
        <w:t>Special Reliability Assessment: Potential Bulk Power System Impacts Due to Severe Disruptions on the Natural Gas System</w:t>
      </w:r>
      <w:r>
        <w:t xml:space="preserve"> (November 2017), </w:t>
      </w:r>
      <w:hyperlink r:id="rId223" w:history="1">
        <w:r w:rsidRPr="000E6FB7">
          <w:rPr>
            <w:rStyle w:val="Hyperlink"/>
            <w:rFonts w:cs="Calibri"/>
          </w:rPr>
          <w:t>https://www.nerc.com/pa/RAPA/ra/Reliability%20Assessments%20DL/NERC_SPOD_11142017_Final.pdf</w:t>
        </w:r>
      </w:hyperlink>
      <w:r>
        <w:rPr>
          <w:rStyle w:val="Hyperlink"/>
          <w:rFonts w:cs="Calibri"/>
        </w:rPr>
        <w:t>.</w:t>
      </w:r>
    </w:p>
  </w:footnote>
  <w:footnote w:id="240">
    <w:p w14:paraId="5711515C" w14:textId="77777777" w:rsidR="00E231DA" w:rsidRPr="00D1271D" w:rsidRDefault="00E231DA" w:rsidP="00B969ED">
      <w:pPr>
        <w:pStyle w:val="FootnoteText"/>
      </w:pPr>
      <w:r w:rsidRPr="00186AB8">
        <w:rPr>
          <w:rStyle w:val="FootnoteReference"/>
        </w:rPr>
        <w:footnoteRef/>
      </w:r>
      <w:r w:rsidRPr="00186AB8">
        <w:t xml:space="preserve"> </w:t>
      </w:r>
      <w:r w:rsidRPr="00203A97">
        <w:t xml:space="preserve">Additional information about these activities is available at </w:t>
      </w:r>
      <w:hyperlink r:id="rId224" w:history="1">
        <w:r w:rsidRPr="00D1271D">
          <w:rPr>
            <w:rStyle w:val="Hyperlink"/>
          </w:rPr>
          <w:t>https://www.nerc.com/comm/PC/Pages/default.aspx</w:t>
        </w:r>
      </w:hyperlink>
      <w:r w:rsidRPr="00D1271D">
        <w:t xml:space="preserve">. </w:t>
      </w:r>
    </w:p>
  </w:footnote>
  <w:footnote w:id="241">
    <w:p w14:paraId="4E6B12CF" w14:textId="4F2BAC99" w:rsidR="00E231DA" w:rsidRDefault="00E231DA" w:rsidP="00B969ED">
      <w:pPr>
        <w:pStyle w:val="FootnoteText"/>
      </w:pPr>
      <w:r w:rsidRPr="00D1271D">
        <w:rPr>
          <w:rStyle w:val="FootnoteReference"/>
        </w:rPr>
        <w:footnoteRef/>
      </w:r>
      <w:r w:rsidRPr="00D1271D">
        <w:t xml:space="preserve"> A </w:t>
      </w:r>
      <w:r w:rsidRPr="00D1271D">
        <w:rPr>
          <w:i/>
        </w:rPr>
        <w:t xml:space="preserve">phasor measurement unit </w:t>
      </w:r>
      <w:r w:rsidRPr="00D1271D">
        <w:t xml:space="preserve">is a device that measures the electrical waves on the power grid at </w:t>
      </w:r>
      <w:r>
        <w:t xml:space="preserve">a </w:t>
      </w:r>
      <w:r w:rsidRPr="00D1271D">
        <w:t>remote site using synchronized real-time measurements (i.e., syn</w:t>
      </w:r>
      <w:r w:rsidRPr="007457D1">
        <w:t>chrophasors) and global positioning satellite (GPS) technology</w:t>
      </w:r>
      <w:r>
        <w:t>, which</w:t>
      </w:r>
      <w:r w:rsidRPr="007457D1">
        <w:t xml:space="preserve"> </w:t>
      </w:r>
      <w:r>
        <w:t xml:space="preserve">accurately </w:t>
      </w:r>
      <w:r w:rsidRPr="007457D1">
        <w:t>monitor the performance of the grid and provide specific data for operating the system and enhancing its design.</w:t>
      </w:r>
    </w:p>
  </w:footnote>
  <w:footnote w:id="242">
    <w:p w14:paraId="7CBD679C" w14:textId="77777777" w:rsidR="00E231DA" w:rsidRPr="008E7EF0" w:rsidRDefault="00E231DA" w:rsidP="00B969ED">
      <w:pPr>
        <w:pStyle w:val="FootnoteText"/>
        <w:rPr>
          <w:szCs w:val="18"/>
        </w:rPr>
      </w:pPr>
      <w:r w:rsidRPr="00F349A8">
        <w:rPr>
          <w:rStyle w:val="FootnoteReference"/>
          <w:sz w:val="18"/>
          <w:szCs w:val="18"/>
        </w:rPr>
        <w:footnoteRef/>
      </w:r>
      <w:r w:rsidRPr="008E7EF0">
        <w:rPr>
          <w:szCs w:val="18"/>
        </w:rPr>
        <w:t xml:space="preserve"> </w:t>
      </w:r>
      <w:r>
        <w:rPr>
          <w:szCs w:val="18"/>
        </w:rPr>
        <w:t xml:space="preserve">More information on the ISO/RTO Council is available at </w:t>
      </w:r>
      <w:hyperlink r:id="rId225" w:history="1">
        <w:r w:rsidRPr="005658C2">
          <w:rPr>
            <w:szCs w:val="18"/>
          </w:rPr>
          <w:t>https://isorto.org/</w:t>
        </w:r>
      </w:hyperlink>
      <w:r w:rsidRPr="00356FAA">
        <w:rPr>
          <w:szCs w:val="18"/>
        </w:rPr>
        <w:t>.</w:t>
      </w:r>
    </w:p>
  </w:footnote>
  <w:footnote w:id="243">
    <w:p w14:paraId="093CD8C4" w14:textId="5688BF4C" w:rsidR="00E231DA" w:rsidRDefault="00E231DA">
      <w:pPr>
        <w:pStyle w:val="FootnoteText"/>
      </w:pPr>
      <w:r w:rsidRPr="009F3091">
        <w:rPr>
          <w:rStyle w:val="FootnoteReference"/>
        </w:rPr>
        <w:footnoteRef/>
      </w:r>
      <w:r w:rsidRPr="009F3091">
        <w:t xml:space="preserve"> Refer to the IRC website (2019) at </w:t>
      </w:r>
      <w:hyperlink r:id="rId226" w:anchor="committee-section" w:history="1">
        <w:r w:rsidRPr="009F3091">
          <w:rPr>
            <w:rStyle w:val="Hyperlink"/>
          </w:rPr>
          <w:t>https://isorto.org/#committee-section</w:t>
        </w:r>
      </w:hyperlink>
      <w:r w:rsidRPr="009F3091">
        <w:t>.</w:t>
      </w:r>
    </w:p>
  </w:footnote>
  <w:footnote w:id="244">
    <w:p w14:paraId="7E548BE0" w14:textId="77777777" w:rsidR="00E231DA" w:rsidRPr="002039A9" w:rsidRDefault="00E231DA" w:rsidP="00B969ED">
      <w:pPr>
        <w:spacing w:after="80" w:line="240" w:lineRule="auto"/>
        <w:rPr>
          <w:sz w:val="18"/>
          <w:szCs w:val="18"/>
        </w:rPr>
      </w:pPr>
      <w:r w:rsidRPr="002039A9">
        <w:rPr>
          <w:rStyle w:val="FootnoteReference"/>
          <w:sz w:val="18"/>
          <w:szCs w:val="18"/>
        </w:rPr>
        <w:footnoteRef/>
      </w:r>
      <w:r>
        <w:rPr>
          <w:sz w:val="18"/>
          <w:szCs w:val="18"/>
        </w:rPr>
        <w:t xml:space="preserve"> </w:t>
      </w:r>
      <w:r w:rsidRPr="002039A9">
        <w:rPr>
          <w:sz w:val="18"/>
          <w:szCs w:val="18"/>
        </w:rPr>
        <w:t xml:space="preserve">ISO/RTO Council, “Motion of the ISO/RTO Council to Extend the Time Period to Comply with Order No. 845,” FERC Filing (May 17, 2018), </w:t>
      </w:r>
      <w:hyperlink r:id="rId227" w:history="1">
        <w:r w:rsidRPr="002039A9">
          <w:rPr>
            <w:sz w:val="18"/>
            <w:szCs w:val="18"/>
          </w:rPr>
          <w:t>https://www.iso-ne.com/static-assets/documents/2018/05/irc_motion_to_extend_time_to_comply_rm17-8.pdf</w:t>
        </w:r>
      </w:hyperlink>
      <w:r w:rsidRPr="002039A9">
        <w:rPr>
          <w:sz w:val="18"/>
          <w:szCs w:val="18"/>
        </w:rPr>
        <w:t>.</w:t>
      </w:r>
    </w:p>
  </w:footnote>
  <w:footnote w:id="245">
    <w:p w14:paraId="0C8704D1" w14:textId="50D181B9" w:rsidR="00E231DA" w:rsidRPr="00C1292A" w:rsidRDefault="00E231DA" w:rsidP="00B969ED">
      <w:pPr>
        <w:pStyle w:val="FootnoteText"/>
        <w:rPr>
          <w:szCs w:val="18"/>
        </w:rPr>
      </w:pPr>
      <w:r w:rsidRPr="002039A9">
        <w:rPr>
          <w:rStyle w:val="FootnoteReference"/>
          <w:sz w:val="18"/>
          <w:szCs w:val="18"/>
        </w:rPr>
        <w:footnoteRef/>
      </w:r>
      <w:r w:rsidRPr="00F10360">
        <w:rPr>
          <w:szCs w:val="18"/>
        </w:rPr>
        <w:t xml:space="preserve"> I</w:t>
      </w:r>
      <w:r w:rsidRPr="00FA01C9">
        <w:rPr>
          <w:szCs w:val="18"/>
        </w:rPr>
        <w:t>SO/RTO Council, “Comments of the ISO/RTO Council,</w:t>
      </w:r>
      <w:r>
        <w:rPr>
          <w:szCs w:val="18"/>
        </w:rPr>
        <w:t>”</w:t>
      </w:r>
      <w:r w:rsidRPr="00FA01C9">
        <w:rPr>
          <w:szCs w:val="18"/>
        </w:rPr>
        <w:t xml:space="preserve"> FERC filing (March 26, 2018), </w:t>
      </w:r>
      <w:hyperlink r:id="rId228" w:history="1">
        <w:r w:rsidRPr="00F10360">
          <w:rPr>
            <w:szCs w:val="18"/>
          </w:rPr>
          <w:t>https://www.iso-ne.com/static-assets/documents/2018/03/irc_comments_supply_chain_risk_nop_3_26_18r.pdf</w:t>
        </w:r>
      </w:hyperlink>
      <w:r w:rsidRPr="00F10360">
        <w:rPr>
          <w:szCs w:val="18"/>
        </w:rPr>
        <w:t xml:space="preserve">. </w:t>
      </w:r>
      <w:r w:rsidRPr="00FA01C9">
        <w:rPr>
          <w:szCs w:val="18"/>
        </w:rPr>
        <w:t xml:space="preserve">Also see: FERC, </w:t>
      </w:r>
      <w:r w:rsidRPr="002039A9">
        <w:rPr>
          <w:szCs w:val="18"/>
        </w:rPr>
        <w:t xml:space="preserve">“Supply Change Risk Management Reliability Standards,” NOPR, 83 Federal Register </w:t>
      </w:r>
      <w:r>
        <w:rPr>
          <w:szCs w:val="18"/>
        </w:rPr>
        <w:t xml:space="preserve">(FR) </w:t>
      </w:r>
      <w:r w:rsidRPr="002039A9">
        <w:rPr>
          <w:szCs w:val="18"/>
        </w:rPr>
        <w:t>3433 (January 25, 2018), 162</w:t>
      </w:r>
      <w:r>
        <w:rPr>
          <w:szCs w:val="18"/>
        </w:rPr>
        <w:t> </w:t>
      </w:r>
      <w:r w:rsidRPr="002039A9">
        <w:rPr>
          <w:szCs w:val="18"/>
        </w:rPr>
        <w:t>FERC ¶ 61,044 (2018).</w:t>
      </w:r>
    </w:p>
  </w:footnote>
  <w:footnote w:id="246">
    <w:p w14:paraId="32D083E5" w14:textId="77777777" w:rsidR="00E231DA" w:rsidRPr="00144EA7" w:rsidRDefault="00E231DA" w:rsidP="00B969ED">
      <w:pPr>
        <w:spacing w:after="80" w:line="240" w:lineRule="auto"/>
        <w:rPr>
          <w:sz w:val="18"/>
          <w:szCs w:val="18"/>
        </w:rPr>
      </w:pPr>
      <w:r w:rsidRPr="002039A9">
        <w:rPr>
          <w:rStyle w:val="FootnoteReference"/>
          <w:sz w:val="18"/>
          <w:szCs w:val="18"/>
        </w:rPr>
        <w:footnoteRef/>
      </w:r>
      <w:r w:rsidRPr="002039A9">
        <w:rPr>
          <w:sz w:val="18"/>
          <w:szCs w:val="18"/>
        </w:rPr>
        <w:t xml:space="preserve"> ISO/RTO Council, “Comments of the ISO/RTO Council,” FERC filing (February 26, 2018), </w:t>
      </w:r>
      <w:hyperlink r:id="rId229" w:history="1">
        <w:r w:rsidRPr="00144EA7">
          <w:rPr>
            <w:sz w:val="18"/>
            <w:szCs w:val="18"/>
          </w:rPr>
          <w:t>https://www.iso-ne.com/static-assets/documents/2018/02/rm18-2-000_irc_comments_on_nopr.pdf</w:t>
        </w:r>
      </w:hyperlink>
      <w:r w:rsidRPr="00144EA7">
        <w:rPr>
          <w:sz w:val="18"/>
          <w:szCs w:val="18"/>
        </w:rPr>
        <w:t>.</w:t>
      </w:r>
    </w:p>
  </w:footnote>
  <w:footnote w:id="247">
    <w:p w14:paraId="45E1EBD4" w14:textId="6EBCDD8B" w:rsidR="00E231DA" w:rsidRDefault="00E231DA">
      <w:pPr>
        <w:pStyle w:val="FootnoteText"/>
      </w:pPr>
      <w:r w:rsidRPr="00144EA7">
        <w:rPr>
          <w:rStyle w:val="FootnoteReference"/>
        </w:rPr>
        <w:footnoteRef/>
      </w:r>
      <w:r w:rsidRPr="00144EA7">
        <w:t xml:space="preserve"> F</w:t>
      </w:r>
      <w:r>
        <w:t xml:space="preserve">ERC, “Commission Information Collection Activities (FERC-922); Comment Request,”  notice of information collection and request for comments 84 FR 32908 (July 10, 2019), </w:t>
      </w:r>
      <w:hyperlink r:id="rId230" w:history="1">
        <w:r w:rsidRPr="00144EA7">
          <w:rPr>
            <w:rStyle w:val="Hyperlink"/>
          </w:rPr>
          <w:t>https://www.federalregister.gov/documents/2019/07/10/2019-14669/commission-information-collection-activities-ferc-922-comment-request</w:t>
        </w:r>
      </w:hyperlink>
      <w:r>
        <w:t>.</w:t>
      </w:r>
    </w:p>
  </w:footnote>
  <w:footnote w:id="248">
    <w:p w14:paraId="0460A3FD" w14:textId="4D963D76" w:rsidR="00E231DA" w:rsidRPr="00146A20" w:rsidRDefault="00E231DA" w:rsidP="00B969ED">
      <w:pPr>
        <w:spacing w:after="80" w:line="240" w:lineRule="auto"/>
        <w:rPr>
          <w:sz w:val="18"/>
          <w:szCs w:val="18"/>
        </w:rPr>
      </w:pPr>
      <w:r w:rsidRPr="00EB78A1">
        <w:rPr>
          <w:rStyle w:val="FootnoteReference"/>
          <w:sz w:val="18"/>
          <w:szCs w:val="18"/>
        </w:rPr>
        <w:footnoteRef/>
      </w:r>
      <w:r w:rsidRPr="00EB78A1">
        <w:rPr>
          <w:sz w:val="18"/>
          <w:szCs w:val="18"/>
        </w:rPr>
        <w:t xml:space="preserve"> The Florida Reliability Coordinating Council (FRCC) merged with the Southeastern Reliability Corporation (SERC) and ceased operation o</w:t>
      </w:r>
      <w:r w:rsidRPr="004976F9">
        <w:rPr>
          <w:sz w:val="18"/>
          <w:szCs w:val="18"/>
        </w:rPr>
        <w:t xml:space="preserve">n </w:t>
      </w:r>
      <w:r w:rsidRPr="00B31FEF">
        <w:rPr>
          <w:sz w:val="18"/>
          <w:szCs w:val="18"/>
        </w:rPr>
        <w:t>August 31, 2019,</w:t>
      </w:r>
      <w:r w:rsidRPr="004976F9">
        <w:rPr>
          <w:sz w:val="18"/>
          <w:szCs w:val="18"/>
        </w:rPr>
        <w:t xml:space="preserve"> le</w:t>
      </w:r>
      <w:r w:rsidRPr="00EB78A1">
        <w:rPr>
          <w:sz w:val="18"/>
          <w:szCs w:val="18"/>
        </w:rPr>
        <w:t>aving the NPCC, SERC, ReliabilityFirst (RF), Midwest Reliability Organization (MRO), Texas Reliability Entity (TRE), and Western Electricity Coordinating Council (WECC).</w:t>
      </w:r>
    </w:p>
  </w:footnote>
  <w:footnote w:id="249">
    <w:p w14:paraId="0A7FD271" w14:textId="77777777" w:rsidR="00E231DA" w:rsidRPr="006347E7" w:rsidRDefault="00E231DA" w:rsidP="00B969ED">
      <w:pPr>
        <w:pStyle w:val="FootnoteText"/>
      </w:pPr>
      <w:r w:rsidRPr="006347E7">
        <w:rPr>
          <w:rStyle w:val="FootnoteReference"/>
        </w:rPr>
        <w:footnoteRef/>
      </w:r>
      <w:r w:rsidRPr="006347E7">
        <w:t xml:space="preserve"> In 2018, ISO New England participated in the NPCC Internal Control Evaluation investigation. Based on demonstrated ISO-NE internal controls, NERC removed the planning standards from the scope of its June 2018 on-site audit of ISO-NE.</w:t>
      </w:r>
    </w:p>
  </w:footnote>
  <w:footnote w:id="250">
    <w:p w14:paraId="64B8EEFF" w14:textId="77777777" w:rsidR="00E231DA" w:rsidRDefault="00E231DA" w:rsidP="00B969ED">
      <w:pPr>
        <w:pStyle w:val="FootnoteText"/>
      </w:pPr>
      <w:r w:rsidRPr="006347E7">
        <w:rPr>
          <w:rStyle w:val="FootnoteReference"/>
        </w:rPr>
        <w:footnoteRef/>
      </w:r>
      <w:r w:rsidRPr="006347E7">
        <w:t xml:space="preserve"> ISO New England, “Interregional Planning Stakeholder Advisory Committee,” webpage (2019), </w:t>
      </w:r>
      <w:hyperlink r:id="rId231" w:history="1">
        <w:r w:rsidRPr="006347E7">
          <w:rPr>
            <w:rStyle w:val="Hyperlink"/>
          </w:rPr>
          <w:t>https://www.iso-ne.com/committees/planning/ipsac</w:t>
        </w:r>
      </w:hyperlink>
      <w:r>
        <w:t>.</w:t>
      </w:r>
    </w:p>
  </w:footnote>
  <w:footnote w:id="251">
    <w:p w14:paraId="25B5A473" w14:textId="77777777" w:rsidR="00E231DA" w:rsidRPr="002039A9" w:rsidRDefault="00E231DA" w:rsidP="00B969ED">
      <w:pPr>
        <w:pStyle w:val="FootnoteText"/>
        <w:rPr>
          <w:szCs w:val="18"/>
        </w:rPr>
      </w:pPr>
      <w:r w:rsidRPr="002039A9">
        <w:rPr>
          <w:rStyle w:val="FootnoteReference"/>
          <w:sz w:val="18"/>
          <w:szCs w:val="18"/>
        </w:rPr>
        <w:footnoteRef/>
      </w:r>
      <w:r w:rsidRPr="002039A9">
        <w:rPr>
          <w:szCs w:val="18"/>
        </w:rPr>
        <w:t xml:space="preserve"> ISO New England, NYISO, and PJM, </w:t>
      </w:r>
      <w:r w:rsidRPr="002039A9">
        <w:rPr>
          <w:i/>
          <w:szCs w:val="18"/>
        </w:rPr>
        <w:t>2017 Northeast Coordinated System Plan</w:t>
      </w:r>
      <w:r w:rsidRPr="002039A9">
        <w:rPr>
          <w:szCs w:val="18"/>
        </w:rPr>
        <w:t xml:space="preserve"> (April 30, 2018</w:t>
      </w:r>
      <w:r w:rsidRPr="00932DE9">
        <w:rPr>
          <w:szCs w:val="18"/>
        </w:rPr>
        <w:t xml:space="preserve">), </w:t>
      </w:r>
      <w:hyperlink r:id="rId232" w:history="1">
        <w:r w:rsidRPr="00932DE9">
          <w:rPr>
            <w:szCs w:val="18"/>
          </w:rPr>
          <w:t>https://www.iso-ne.com/static-assets/documents/2018/05/2017_ncsp_final_043018.pdf</w:t>
        </w:r>
      </w:hyperlink>
      <w:r w:rsidRPr="00932DE9">
        <w:rPr>
          <w:szCs w:val="18"/>
        </w:rPr>
        <w:t>. NCSP19 is schedule</w:t>
      </w:r>
      <w:r w:rsidRPr="002039A9">
        <w:rPr>
          <w:szCs w:val="18"/>
        </w:rPr>
        <w:t>d for completion during the second quarter of 2020</w:t>
      </w:r>
      <w:r>
        <w:rPr>
          <w:szCs w:val="18"/>
        </w:rPr>
        <w:t>.</w:t>
      </w:r>
    </w:p>
  </w:footnote>
  <w:footnote w:id="252">
    <w:p w14:paraId="44729443" w14:textId="77777777" w:rsidR="00E231DA" w:rsidRPr="003A1975" w:rsidRDefault="00E231DA" w:rsidP="00D31060">
      <w:pPr>
        <w:pStyle w:val="CommentText"/>
        <w:spacing w:after="80"/>
        <w:rPr>
          <w:szCs w:val="18"/>
        </w:rPr>
      </w:pPr>
      <w:r w:rsidRPr="00425877">
        <w:rPr>
          <w:rStyle w:val="FootnoteReference"/>
          <w:sz w:val="18"/>
          <w:szCs w:val="18"/>
        </w:rPr>
        <w:footnoteRef/>
      </w:r>
      <w:r w:rsidRPr="00425877">
        <w:rPr>
          <w:sz w:val="18"/>
          <w:szCs w:val="18"/>
        </w:rPr>
        <w:t xml:space="preserve"> ISO New England,</w:t>
      </w:r>
      <w:r w:rsidRPr="00425877">
        <w:rPr>
          <w:i/>
          <w:sz w:val="18"/>
          <w:szCs w:val="18"/>
        </w:rPr>
        <w:t xml:space="preserve"> Locational Marginal Prices and Interface Flows</w:t>
      </w:r>
      <w:r w:rsidRPr="00425877">
        <w:rPr>
          <w:sz w:val="18"/>
          <w:szCs w:val="18"/>
        </w:rPr>
        <w:t xml:space="preserve"> are posted on the ISO webpage, “Energy, Load, and Demand Reports, Zonal Information, Price-Responsive Demand Aggregation Zone LMP statistics (Congestion Component) (begins June 1, 2018, with </w:t>
      </w:r>
      <w:r>
        <w:rPr>
          <w:sz w:val="18"/>
          <w:szCs w:val="18"/>
        </w:rPr>
        <w:t>price-responsive demand [</w:t>
      </w:r>
      <w:r w:rsidRPr="00425877">
        <w:rPr>
          <w:sz w:val="18"/>
          <w:szCs w:val="18"/>
        </w:rPr>
        <w:t>PRD</w:t>
      </w:r>
      <w:r>
        <w:rPr>
          <w:sz w:val="18"/>
          <w:szCs w:val="18"/>
        </w:rPr>
        <w:t>]</w:t>
      </w:r>
      <w:r w:rsidRPr="00425877">
        <w:rPr>
          <w:sz w:val="18"/>
          <w:szCs w:val="18"/>
        </w:rPr>
        <w:t xml:space="preserve"> inception), </w:t>
      </w:r>
      <w:hyperlink r:id="rId233" w:history="1">
        <w:r w:rsidRPr="00425877">
          <w:rPr>
            <w:rStyle w:val="Hyperlink"/>
            <w:sz w:val="18"/>
            <w:szCs w:val="18"/>
          </w:rPr>
          <w:t>https://www.iso-ne.com/isoexpress/web/reports/load-and-demand/-/tree/zone-info</w:t>
        </w:r>
      </w:hyperlink>
      <w:r w:rsidRPr="00425877">
        <w:rPr>
          <w:sz w:val="18"/>
          <w:szCs w:val="18"/>
        </w:rPr>
        <w:t xml:space="preserve">, and Historical Hourly Flows and Limits, 2018 Flows and Limits on 36 Thermal and Stability Interfaces, </w:t>
      </w:r>
      <w:hyperlink r:id="rId234" w:history="1">
        <w:r w:rsidRPr="00425877">
          <w:rPr>
            <w:rStyle w:val="Hyperlink"/>
            <w:sz w:val="18"/>
            <w:szCs w:val="18"/>
          </w:rPr>
          <w:t>https://www.iso-ne.com/isoexpress/web/reports/load-and-demand/-/tree/historical-hourly-flows-and-limits</w:t>
        </w:r>
      </w:hyperlink>
      <w:r w:rsidRPr="00425877">
        <w:rPr>
          <w:sz w:val="18"/>
          <w:szCs w:val="18"/>
        </w:rPr>
        <w:t>.</w:t>
      </w:r>
    </w:p>
  </w:footnote>
  <w:footnote w:id="253">
    <w:p w14:paraId="7AAEA8ED" w14:textId="77777777" w:rsidR="00E231DA" w:rsidRPr="00BF7714" w:rsidRDefault="00E231DA" w:rsidP="00B969ED">
      <w:pPr>
        <w:pStyle w:val="FootnoteText"/>
        <w:rPr>
          <w:szCs w:val="18"/>
        </w:rPr>
      </w:pPr>
      <w:r w:rsidRPr="00BF7714">
        <w:rPr>
          <w:rStyle w:val="FootnoteReference"/>
          <w:sz w:val="18"/>
          <w:szCs w:val="18"/>
        </w:rPr>
        <w:footnoteRef/>
      </w:r>
      <w:r w:rsidRPr="00BF7714">
        <w:rPr>
          <w:szCs w:val="18"/>
        </w:rPr>
        <w:t xml:space="preserve"> Energy imports were 1,848 GWh over Highgate and 10,373 GWh over Phase II. </w:t>
      </w:r>
    </w:p>
  </w:footnote>
  <w:footnote w:id="254">
    <w:p w14:paraId="19937D18" w14:textId="7E251172" w:rsidR="00E231DA" w:rsidRPr="00BF7714" w:rsidRDefault="00E231DA" w:rsidP="00B969ED">
      <w:pPr>
        <w:spacing w:after="80" w:line="240" w:lineRule="auto"/>
        <w:rPr>
          <w:sz w:val="18"/>
          <w:szCs w:val="18"/>
        </w:rPr>
      </w:pPr>
      <w:r w:rsidRPr="00BF7714">
        <w:rPr>
          <w:rStyle w:val="FootnoteReference"/>
          <w:sz w:val="18"/>
          <w:szCs w:val="18"/>
        </w:rPr>
        <w:footnoteRef/>
      </w:r>
      <w:r w:rsidRPr="00BF7714">
        <w:rPr>
          <w:sz w:val="18"/>
          <w:szCs w:val="18"/>
        </w:rPr>
        <w:t xml:space="preserve"> </w:t>
      </w:r>
      <w:r w:rsidRPr="00BF7714">
        <w:rPr>
          <w:i/>
          <w:sz w:val="18"/>
          <w:szCs w:val="18"/>
        </w:rPr>
        <w:t>2017 ISO New England Electric Generator Air Emissions Report</w:t>
      </w:r>
      <w:r w:rsidRPr="00BF7714">
        <w:rPr>
          <w:sz w:val="18"/>
          <w:szCs w:val="18"/>
        </w:rPr>
        <w:t xml:space="preserve">, </w:t>
      </w:r>
      <w:hyperlink r:id="rId235" w:history="1">
        <w:r w:rsidRPr="00115CAB">
          <w:rPr>
            <w:rStyle w:val="Hyperlink"/>
            <w:sz w:val="18"/>
            <w:szCs w:val="18"/>
          </w:rPr>
          <w:t>https://www.iso-ne.com/static-assets/documents/2019/04/2017_emissions_report.pdf</w:t>
        </w:r>
      </w:hyperlink>
      <w:r w:rsidRPr="00BF7714">
        <w:rPr>
          <w:sz w:val="18"/>
          <w:szCs w:val="18"/>
        </w:rPr>
        <w:t>.</w:t>
      </w:r>
    </w:p>
  </w:footnote>
  <w:footnote w:id="255">
    <w:p w14:paraId="4A32B1E6" w14:textId="753E3061" w:rsidR="00E231DA" w:rsidRPr="008F33DA" w:rsidRDefault="00E231DA" w:rsidP="00E2185A">
      <w:pPr>
        <w:pStyle w:val="FootnoteText"/>
        <w:rPr>
          <w:szCs w:val="18"/>
        </w:rPr>
      </w:pPr>
      <w:r w:rsidRPr="00537437">
        <w:rPr>
          <w:rStyle w:val="FootnoteReference"/>
          <w:sz w:val="18"/>
          <w:szCs w:val="18"/>
        </w:rPr>
        <w:footnoteRef/>
      </w:r>
      <w:r w:rsidRPr="008F33DA">
        <w:rPr>
          <w:szCs w:val="18"/>
        </w:rPr>
        <w:t xml:space="preserve"> The use of clean</w:t>
      </w:r>
      <w:r>
        <w:rPr>
          <w:szCs w:val="18"/>
        </w:rPr>
        <w:t>er</w:t>
      </w:r>
      <w:r w:rsidRPr="008F33DA">
        <w:rPr>
          <w:szCs w:val="18"/>
        </w:rPr>
        <w:t xml:space="preserve">-burning natural gas generators, along with emission controls on fossil-fuel-burning generators and other factors, has contributed to a significant decline in regional air emissions (see Section </w:t>
      </w:r>
      <w:r>
        <w:rPr>
          <w:szCs w:val="18"/>
        </w:rPr>
        <w:fldChar w:fldCharType="begin"/>
      </w:r>
      <w:r>
        <w:rPr>
          <w:szCs w:val="18"/>
        </w:rPr>
        <w:instrText xml:space="preserve"> REF _Ref11945552 \r \h </w:instrText>
      </w:r>
      <w:r>
        <w:rPr>
          <w:szCs w:val="18"/>
        </w:rPr>
      </w:r>
      <w:r>
        <w:rPr>
          <w:szCs w:val="18"/>
        </w:rPr>
        <w:fldChar w:fldCharType="separate"/>
      </w:r>
      <w:r>
        <w:rPr>
          <w:szCs w:val="18"/>
        </w:rPr>
        <w:t>8.5</w:t>
      </w:r>
      <w:r>
        <w:rPr>
          <w:szCs w:val="18"/>
        </w:rPr>
        <w:fldChar w:fldCharType="end"/>
      </w:r>
      <w:r w:rsidRPr="008F33DA">
        <w:rPr>
          <w:szCs w:val="18"/>
        </w:rPr>
        <w:t>). Natural gas prices are typically lower than other fossil fuels for most of the year (se</w:t>
      </w:r>
      <w:r w:rsidRPr="00E85BA8">
        <w:rPr>
          <w:szCs w:val="18"/>
        </w:rPr>
        <w:t xml:space="preserve">e </w:t>
      </w:r>
      <w:r w:rsidRPr="00537437">
        <w:rPr>
          <w:szCs w:val="18"/>
        </w:rPr>
        <w:t xml:space="preserve">Section </w:t>
      </w:r>
      <w:r w:rsidRPr="00537437">
        <w:rPr>
          <w:szCs w:val="18"/>
        </w:rPr>
        <w:fldChar w:fldCharType="begin"/>
      </w:r>
      <w:r w:rsidRPr="00537437">
        <w:rPr>
          <w:szCs w:val="18"/>
        </w:rPr>
        <w:instrText xml:space="preserve"> REF _Ref8643553 \n \h </w:instrText>
      </w:r>
      <w:r>
        <w:rPr>
          <w:szCs w:val="18"/>
        </w:rPr>
        <w:instrText xml:space="preserve"> \* MERGEFORMAT </w:instrText>
      </w:r>
      <w:r w:rsidRPr="00537437">
        <w:rPr>
          <w:szCs w:val="18"/>
        </w:rPr>
      </w:r>
      <w:r w:rsidRPr="00537437">
        <w:rPr>
          <w:szCs w:val="18"/>
        </w:rPr>
        <w:fldChar w:fldCharType="separate"/>
      </w:r>
      <w:r>
        <w:rPr>
          <w:szCs w:val="18"/>
        </w:rPr>
        <w:t>7.4</w:t>
      </w:r>
      <w:r w:rsidRPr="00537437">
        <w:rPr>
          <w:szCs w:val="18"/>
        </w:rPr>
        <w:fldChar w:fldCharType="end"/>
      </w:r>
      <w:r w:rsidRPr="00D50F4A">
        <w:rPr>
          <w:szCs w:val="18"/>
        </w:rPr>
        <w:t>).</w:t>
      </w:r>
    </w:p>
  </w:footnote>
  <w:footnote w:id="256">
    <w:p w14:paraId="15DF9687" w14:textId="77777777" w:rsidR="00E231DA" w:rsidRPr="00D97417" w:rsidRDefault="00E231DA" w:rsidP="00E2185A">
      <w:pPr>
        <w:spacing w:after="80" w:line="240" w:lineRule="auto"/>
        <w:rPr>
          <w:sz w:val="18"/>
          <w:szCs w:val="18"/>
        </w:rPr>
      </w:pPr>
      <w:r w:rsidRPr="00434716">
        <w:rPr>
          <w:rStyle w:val="FootnoteReference"/>
          <w:sz w:val="18"/>
          <w:szCs w:val="18"/>
        </w:rPr>
        <w:footnoteRef/>
      </w:r>
      <w:r w:rsidRPr="00434716">
        <w:rPr>
          <w:bCs/>
          <w:sz w:val="18"/>
          <w:szCs w:val="18"/>
        </w:rPr>
        <w:t xml:space="preserve"> By 2019, more than 5,150 MW of generation will be retired, including Salem Harbor Station (749 MW); Vermont Yankee (604 MW); Norwalk Harbor Station (342 MW); Brayton Point Station (1,535 MW); Mount Tom Station (143 MW); Pilgrim Nuclear Power Station (677 MW); Bridgeport Harbor 3 (383 MW); Mystic 7 (575 MW); Mystic Jet (9 MW); Pawtucket Power (54 MW), </w:t>
      </w:r>
      <w:r w:rsidRPr="007446AA">
        <w:rPr>
          <w:bCs/>
          <w:sz w:val="18"/>
          <w:szCs w:val="18"/>
        </w:rPr>
        <w:t>and over 1,200 MW of demand-response resources.</w:t>
      </w:r>
    </w:p>
  </w:footnote>
  <w:footnote w:id="257">
    <w:p w14:paraId="43C98B85" w14:textId="156EDCFA" w:rsidR="00E231DA" w:rsidRDefault="00E231DA">
      <w:pPr>
        <w:pStyle w:val="FootnoteText"/>
      </w:pPr>
      <w:r w:rsidRPr="00802B39">
        <w:rPr>
          <w:rStyle w:val="FootnoteReference"/>
          <w:sz w:val="18"/>
          <w:szCs w:val="18"/>
        </w:rPr>
        <w:footnoteRef/>
      </w:r>
      <w:r>
        <w:rPr>
          <w:szCs w:val="18"/>
        </w:rPr>
        <w:t xml:space="preserve"> </w:t>
      </w:r>
      <w:r w:rsidRPr="00802B39">
        <w:rPr>
          <w:szCs w:val="18"/>
        </w:rPr>
        <w:t>ISO New England,</w:t>
      </w:r>
      <w:r w:rsidRPr="00802B39">
        <w:rPr>
          <w:i/>
          <w:szCs w:val="18"/>
        </w:rPr>
        <w:t xml:space="preserve"> Forward Capacity Auction 14 (FCA 14): Fuel Security Review Inputs Development</w:t>
      </w:r>
      <w:r w:rsidRPr="00802B39">
        <w:rPr>
          <w:szCs w:val="18"/>
        </w:rPr>
        <w:t xml:space="preserve"> (March 29, 2019), </w:t>
      </w:r>
      <w:hyperlink r:id="rId236" w:history="1">
        <w:r w:rsidRPr="00802B39">
          <w:rPr>
            <w:rStyle w:val="Hyperlink"/>
            <w:szCs w:val="18"/>
          </w:rPr>
          <w:t>https://www.iso-ne.com/static-assets/documents/2019/03/a03_rc_2019_03_29_iso_fca14_fuel_security_inputs_development.pptx</w:t>
        </w:r>
      </w:hyperlink>
      <w:r>
        <w:t>.</w:t>
      </w:r>
    </w:p>
  </w:footnote>
  <w:footnote w:id="258">
    <w:p w14:paraId="3D9E87F1" w14:textId="77777777" w:rsidR="00E231DA" w:rsidRDefault="00E231DA" w:rsidP="00E2185A">
      <w:pPr>
        <w:pStyle w:val="FootnoteText"/>
        <w:spacing w:after="0"/>
      </w:pPr>
      <w:r w:rsidRPr="00904C8B">
        <w:rPr>
          <w:rStyle w:val="FootnoteReference"/>
        </w:rPr>
        <w:footnoteRef/>
      </w:r>
      <w:r w:rsidRPr="00904C8B">
        <w:t xml:space="preserve"> The Winter Reliability Program addressed the reliability challenges created by New England’s increased reliance on natural-gas-fueled generation and was intended to be a stop-gap measure until revised, market-based incentives were in effect. Under the program, selected resources were compensated through a monthly payment derived from the resources’ bids under an “as-bid” pricing mechanism, rather than a uniform clearing price, in addition to any compensation they received for capacity (in the Forward Capacity Market), energy, ancillary services, or other services. See FERC, </w:t>
      </w:r>
      <w:r w:rsidRPr="00F300A2">
        <w:rPr>
          <w:i/>
        </w:rPr>
        <w:t>Order on Proposed Tariff Revisions</w:t>
      </w:r>
      <w:r w:rsidRPr="00904C8B">
        <w:t xml:space="preserve">, Docket No. ER15-2208 on the Winter Reliability Program (September 11, 2015), </w:t>
      </w:r>
      <w:hyperlink r:id="rId237" w:history="1">
        <w:r w:rsidRPr="00904C8B">
          <w:rPr>
            <w:rStyle w:val="Hyperlink"/>
            <w:color w:val="auto"/>
          </w:rPr>
          <w:t>https://www.iso-ne.com/static-assets/documents/2015/09/er15-2208-000.pdf</w:t>
        </w:r>
      </w:hyperlink>
      <w:r>
        <w:t xml:space="preserve">. </w:t>
      </w:r>
    </w:p>
  </w:footnote>
  <w:footnote w:id="259">
    <w:p w14:paraId="05D20CA9" w14:textId="77777777" w:rsidR="00E231DA" w:rsidRDefault="00E231DA" w:rsidP="00E2185A">
      <w:pPr>
        <w:pStyle w:val="FootnoteText"/>
      </w:pPr>
      <w:r w:rsidRPr="00537437">
        <w:rPr>
          <w:rStyle w:val="FootnoteReference"/>
        </w:rPr>
        <w:footnoteRef/>
      </w:r>
      <w:r w:rsidRPr="00537437">
        <w:t xml:space="preserve"> Regional LNG storage facilities can vaporize gas for injection into the pipelines and thus help the region meet peak gas demand.</w:t>
      </w:r>
      <w:r w:rsidRPr="00537437">
        <w:rPr>
          <w:rFonts w:eastAsia="Times New Roman"/>
          <w:color w:val="62777F" w:themeColor="text1"/>
          <w:sz w:val="16"/>
          <w:szCs w:val="16"/>
        </w:rPr>
        <w:t xml:space="preserve"> </w:t>
      </w:r>
      <w:r w:rsidRPr="00537437">
        <w:t>These facilities may require advance contracting to assure adequate on-site inventories.</w:t>
      </w:r>
    </w:p>
  </w:footnote>
  <w:footnote w:id="260">
    <w:p w14:paraId="663C5648" w14:textId="77777777" w:rsidR="00E231DA" w:rsidRPr="008D7777" w:rsidRDefault="00E231DA" w:rsidP="00E2185A">
      <w:pPr>
        <w:pStyle w:val="FootnoteText"/>
        <w:rPr>
          <w:szCs w:val="18"/>
        </w:rPr>
      </w:pPr>
      <w:r w:rsidRPr="005A2F9D">
        <w:rPr>
          <w:rStyle w:val="FootnoteReference"/>
          <w:sz w:val="18"/>
          <w:szCs w:val="18"/>
        </w:rPr>
        <w:footnoteRef/>
      </w:r>
      <w:r w:rsidRPr="005A2F9D">
        <w:rPr>
          <w:szCs w:val="18"/>
        </w:rPr>
        <w:t xml:space="preserve"> LNG is imported to New England from overseas by oceangoing tankers, typically from Trinidad and Tobago. Most cargoes of LNG must be contracted and scheduled months before winter begins; once contracted, the LNG won’t arrive for at least five days. LNG availability can also be affected by global weather or political events.</w:t>
      </w:r>
    </w:p>
  </w:footnote>
  <w:footnote w:id="261">
    <w:p w14:paraId="33C6EC69" w14:textId="77777777" w:rsidR="00E231DA" w:rsidRDefault="00E231DA" w:rsidP="00575E0A">
      <w:pPr>
        <w:pStyle w:val="FootnoteText"/>
      </w:pPr>
      <w:r>
        <w:rPr>
          <w:rStyle w:val="FootnoteReference"/>
        </w:rPr>
        <w:footnoteRef/>
      </w:r>
      <w:r w:rsidRPr="00575E0A">
        <w:t xml:space="preserve"> </w:t>
      </w:r>
      <w:r w:rsidRPr="005B0DC5">
        <w:t>I</w:t>
      </w:r>
      <w:r w:rsidRPr="00FD5A00">
        <w:t xml:space="preserve">SO New England, </w:t>
      </w:r>
      <w:r>
        <w:t>“</w:t>
      </w:r>
      <w:r w:rsidRPr="00D02A11">
        <w:t xml:space="preserve">Winter 2017/2018 </w:t>
      </w:r>
      <w:r>
        <w:t>R</w:t>
      </w:r>
      <w:r w:rsidRPr="00D02A11">
        <w:t xml:space="preserve">ecap: Historic </w:t>
      </w:r>
      <w:r>
        <w:t>C</w:t>
      </w:r>
      <w:r w:rsidRPr="00D02A11">
        <w:t xml:space="preserve">old </w:t>
      </w:r>
      <w:r>
        <w:t>S</w:t>
      </w:r>
      <w:r w:rsidRPr="00D02A11">
        <w:t xml:space="preserve">nap </w:t>
      </w:r>
      <w:r>
        <w:t>R</w:t>
      </w:r>
      <w:r w:rsidRPr="00D02A11">
        <w:t xml:space="preserve">einforces </w:t>
      </w:r>
      <w:r>
        <w:t>F</w:t>
      </w:r>
      <w:r w:rsidRPr="00D02A11">
        <w:t>indings in Operational Fuel-Security Analysis</w:t>
      </w:r>
      <w:r>
        <w:t xml:space="preserve">,” </w:t>
      </w:r>
      <w:r w:rsidRPr="00CF1D0F">
        <w:rPr>
          <w:i/>
        </w:rPr>
        <w:t>ISO Newswire</w:t>
      </w:r>
      <w:r>
        <w:t xml:space="preserve"> article (April 25, 2018), </w:t>
      </w:r>
      <w:hyperlink r:id="rId238" w:history="1">
        <w:r w:rsidRPr="00CF1D0F">
          <w:rPr>
            <w:rStyle w:val="Hyperlink"/>
          </w:rPr>
          <w:t>http://isonewswire.com/updates/2018/4/25/winter-20172018-recap-historic-cold-snap-reinforces-findings.html</w:t>
        </w:r>
      </w:hyperlink>
      <w:r>
        <w:t>.</w:t>
      </w:r>
    </w:p>
  </w:footnote>
  <w:footnote w:id="262">
    <w:p w14:paraId="71685354" w14:textId="77777777" w:rsidR="00E231DA" w:rsidRDefault="00E231DA" w:rsidP="00E2185A">
      <w:pPr>
        <w:pStyle w:val="FootnoteText"/>
      </w:pPr>
      <w:r w:rsidRPr="00537437">
        <w:rPr>
          <w:rStyle w:val="FootnoteReference"/>
        </w:rPr>
        <w:footnoteRef/>
      </w:r>
      <w:r w:rsidRPr="00537437">
        <w:t xml:space="preserve"> </w:t>
      </w:r>
      <w:r w:rsidRPr="002250CC">
        <w:t xml:space="preserve">An </w:t>
      </w:r>
      <w:r w:rsidRPr="002250CC">
        <w:rPr>
          <w:i/>
        </w:rPr>
        <w:t>operational flow order</w:t>
      </w:r>
      <w:r w:rsidRPr="002250CC">
        <w:t xml:space="preserve"> is a mechanism invoked by gas pipeline companies to protect the operational</w:t>
      </w:r>
      <w:r w:rsidRPr="002C7AEE">
        <w:t xml:space="preserve"> integrity of the pipeline.</w:t>
      </w:r>
      <w:r>
        <w:t xml:space="preserve"> </w:t>
      </w:r>
    </w:p>
  </w:footnote>
  <w:footnote w:id="263">
    <w:p w14:paraId="4A51BFE4" w14:textId="3894BDDE" w:rsidR="00E231DA" w:rsidRPr="00883986" w:rsidRDefault="00E231DA" w:rsidP="00E2185A">
      <w:pPr>
        <w:pStyle w:val="FootnoteText"/>
        <w:rPr>
          <w:szCs w:val="18"/>
        </w:rPr>
      </w:pPr>
      <w:r w:rsidRPr="00537437">
        <w:rPr>
          <w:rStyle w:val="FootnoteReference"/>
          <w:sz w:val="18"/>
          <w:szCs w:val="18"/>
        </w:rPr>
        <w:footnoteRef/>
      </w:r>
      <w:r w:rsidRPr="00C83193">
        <w:rPr>
          <w:szCs w:val="18"/>
        </w:rPr>
        <w:t xml:space="preserve"> The periods were from January 20–22</w:t>
      </w:r>
      <w:r>
        <w:rPr>
          <w:szCs w:val="18"/>
        </w:rPr>
        <w:t>, 2019,</w:t>
      </w:r>
      <w:r w:rsidRPr="00C83193">
        <w:rPr>
          <w:szCs w:val="18"/>
        </w:rPr>
        <w:t xml:space="preserve"> and January 31</w:t>
      </w:r>
      <w:r>
        <w:rPr>
          <w:szCs w:val="18"/>
        </w:rPr>
        <w:t>–</w:t>
      </w:r>
      <w:r w:rsidRPr="00C83193">
        <w:rPr>
          <w:szCs w:val="18"/>
        </w:rPr>
        <w:t>February 2, 2019.</w:t>
      </w:r>
    </w:p>
  </w:footnote>
  <w:footnote w:id="264">
    <w:p w14:paraId="3D3B69C4" w14:textId="77777777" w:rsidR="00E231DA" w:rsidRPr="00883986" w:rsidRDefault="00E231DA" w:rsidP="00E2185A">
      <w:pPr>
        <w:pStyle w:val="FootnoteText"/>
        <w:rPr>
          <w:szCs w:val="18"/>
        </w:rPr>
      </w:pPr>
      <w:r w:rsidRPr="00537437">
        <w:rPr>
          <w:rStyle w:val="FootnoteReference"/>
          <w:sz w:val="18"/>
          <w:szCs w:val="18"/>
        </w:rPr>
        <w:footnoteRef/>
      </w:r>
      <w:r w:rsidRPr="00537437">
        <w:rPr>
          <w:szCs w:val="18"/>
        </w:rPr>
        <w:t xml:space="preserve"> </w:t>
      </w:r>
      <w:r w:rsidRPr="00C83193">
        <w:rPr>
          <w:szCs w:val="18"/>
        </w:rPr>
        <w:t xml:space="preserve">ISO New England, </w:t>
      </w:r>
      <w:r w:rsidRPr="00537437">
        <w:rPr>
          <w:i/>
          <w:szCs w:val="18"/>
        </w:rPr>
        <w:t>Operational Fuel-Security Analysis</w:t>
      </w:r>
      <w:r w:rsidRPr="00C83193">
        <w:rPr>
          <w:szCs w:val="18"/>
        </w:rPr>
        <w:t xml:space="preserve"> (January 2018), </w:t>
      </w:r>
      <w:hyperlink r:id="rId239" w:history="1">
        <w:r w:rsidRPr="00883986">
          <w:rPr>
            <w:rStyle w:val="Hyperlink"/>
            <w:szCs w:val="18"/>
          </w:rPr>
          <w:t>https://www.iso-ne.com/static-assets/documents/2018/01/20180117_operational_fuel-security_analysis.pdf</w:t>
        </w:r>
      </w:hyperlink>
      <w:r w:rsidRPr="00C83193">
        <w:rPr>
          <w:szCs w:val="18"/>
        </w:rPr>
        <w:t>.</w:t>
      </w:r>
    </w:p>
  </w:footnote>
  <w:footnote w:id="265">
    <w:p w14:paraId="2B55592C" w14:textId="77777777" w:rsidR="00E231DA" w:rsidRDefault="00E231DA" w:rsidP="00CE6F2A">
      <w:pPr>
        <w:pStyle w:val="FootnoteText"/>
      </w:pPr>
      <w:r w:rsidRPr="008A096A">
        <w:rPr>
          <w:rStyle w:val="FootnoteReference"/>
        </w:rPr>
        <w:footnoteRef/>
      </w:r>
      <w:r w:rsidRPr="008A096A">
        <w:t xml:space="preserve"> ISO New England System Planning Department, “High-Level Assessment of Potential Impacts of Offshore Wind Additions to the New England Power System During the 2017/2018 Cold Spell,” memorandum (December 17, 2018), </w:t>
      </w:r>
      <w:hyperlink r:id="rId240" w:history="1">
        <w:r w:rsidRPr="008A096A">
          <w:rPr>
            <w:rStyle w:val="Hyperlink"/>
          </w:rPr>
          <w:t>https://www.iso-ne.com/static-assets/documents/2018/12/2018_iso-ne_offshore_wind_assessment_mass_cec_production_estimates_12_17_2018_public.pdf</w:t>
        </w:r>
      </w:hyperlink>
      <w:r w:rsidRPr="008A096A">
        <w:rPr>
          <w:rStyle w:val="Hyperlink"/>
        </w:rPr>
        <w:t>.</w:t>
      </w:r>
    </w:p>
  </w:footnote>
  <w:footnote w:id="266">
    <w:p w14:paraId="044AC614" w14:textId="77777777" w:rsidR="00E231DA" w:rsidRPr="00FD79B5" w:rsidRDefault="00E231DA" w:rsidP="00E2185A">
      <w:pPr>
        <w:pStyle w:val="FootnoteText"/>
      </w:pPr>
      <w:r w:rsidRPr="00FD79B5">
        <w:rPr>
          <w:rStyle w:val="FootnoteReference"/>
        </w:rPr>
        <w:footnoteRef/>
      </w:r>
      <w:r w:rsidRPr="00FD79B5">
        <w:t xml:space="preserve"> I</w:t>
      </w:r>
      <w:r w:rsidRPr="00FD79B5">
        <w:rPr>
          <w:szCs w:val="18"/>
        </w:rPr>
        <w:t xml:space="preserve">SO New England Operating Procedure No. 21, </w:t>
      </w:r>
      <w:r w:rsidRPr="00FD79B5">
        <w:rPr>
          <w:i/>
          <w:szCs w:val="18"/>
        </w:rPr>
        <w:t>Energy Inventory Accounting and Actions During An Energy Emergency</w:t>
      </w:r>
      <w:r w:rsidRPr="00FD79B5">
        <w:rPr>
          <w:szCs w:val="18"/>
        </w:rPr>
        <w:t xml:space="preserve"> (October 19, 2018), </w:t>
      </w:r>
      <w:hyperlink r:id="rId241" w:history="1">
        <w:r w:rsidRPr="00FD79B5">
          <w:rPr>
            <w:szCs w:val="18"/>
          </w:rPr>
          <w:t>https://www.iso-ne.com/static-assets/documents/rules_proceds/operating/isone/op21/op21_rto_final.pdf</w:t>
        </w:r>
      </w:hyperlink>
      <w:r w:rsidRPr="00FD79B5">
        <w:rPr>
          <w:szCs w:val="18"/>
        </w:rPr>
        <w:t>.</w:t>
      </w:r>
    </w:p>
  </w:footnote>
  <w:footnote w:id="267">
    <w:p w14:paraId="439D9F9E" w14:textId="78949273" w:rsidR="00E231DA" w:rsidRPr="00FD79B5" w:rsidRDefault="00E231DA">
      <w:pPr>
        <w:pStyle w:val="FootnoteText"/>
      </w:pPr>
      <w:r w:rsidRPr="00FD79B5">
        <w:rPr>
          <w:rStyle w:val="FootnoteReference"/>
        </w:rPr>
        <w:footnoteRef/>
      </w:r>
      <w:r w:rsidRPr="00FD79B5">
        <w:t xml:space="preserve"> ISO New England, “21-Day Energy Emergency Forecast and Report,“ webpage (2019), </w:t>
      </w:r>
      <w:hyperlink r:id="rId242" w:history="1">
        <w:r w:rsidRPr="008D5FED">
          <w:rPr>
            <w:rStyle w:val="Hyperlink"/>
          </w:rPr>
          <w:t>https://www.iso-ne.com/isoexpress/web/reports/operations/-/tree/21-Day-Energy-Assessment-Forecast-and-Report-Results</w:t>
        </w:r>
      </w:hyperlink>
      <w:r w:rsidRPr="00FD79B5">
        <w:t>.</w:t>
      </w:r>
    </w:p>
  </w:footnote>
  <w:footnote w:id="268">
    <w:p w14:paraId="11014CA3" w14:textId="591D3A92" w:rsidR="00E231DA" w:rsidRPr="00FD79B5" w:rsidRDefault="00E231DA" w:rsidP="00E2185A">
      <w:pPr>
        <w:pStyle w:val="FootnoteText"/>
        <w:rPr>
          <w:szCs w:val="18"/>
        </w:rPr>
      </w:pPr>
      <w:r w:rsidRPr="00FD79B5">
        <w:rPr>
          <w:rStyle w:val="FootnoteReference"/>
          <w:sz w:val="18"/>
          <w:szCs w:val="18"/>
        </w:rPr>
        <w:footnoteRef/>
      </w:r>
      <w:r w:rsidRPr="00FD79B5">
        <w:rPr>
          <w:szCs w:val="18"/>
        </w:rPr>
        <w:t xml:space="preserve"> Pursuant to OP 21, at a minimum, the ISO will collect fuel-availability data on a weekly basis during the winter (December through March) and a biweekly during nonwinter months (April through November).</w:t>
      </w:r>
    </w:p>
  </w:footnote>
  <w:footnote w:id="269">
    <w:p w14:paraId="79E5D3B1" w14:textId="77777777" w:rsidR="00E231DA" w:rsidRDefault="00E231DA">
      <w:pPr>
        <w:pStyle w:val="FootnoteText"/>
      </w:pPr>
      <w:r w:rsidRPr="00FD79B5">
        <w:rPr>
          <w:rStyle w:val="FootnoteReference"/>
        </w:rPr>
        <w:footnoteRef/>
      </w:r>
      <w:r w:rsidRPr="00FD79B5">
        <w:t xml:space="preserve"> See the ISO’s “Energy-Security Improvements Key Project,” webpage (2019), </w:t>
      </w:r>
      <w:hyperlink r:id="rId243" w:history="1">
        <w:r w:rsidRPr="00FD79B5">
          <w:rPr>
            <w:rStyle w:val="Hyperlink"/>
          </w:rPr>
          <w:t>https://www.iso-ne.com/committees/key-projects/energy-security-improvements</w:t>
        </w:r>
      </w:hyperlink>
      <w:r w:rsidRPr="00FD79B5">
        <w:t>.</w:t>
      </w:r>
    </w:p>
  </w:footnote>
  <w:footnote w:id="270">
    <w:p w14:paraId="00F71C46" w14:textId="77777777" w:rsidR="00E231DA" w:rsidRDefault="00E231DA" w:rsidP="00EB5207">
      <w:pPr>
        <w:pStyle w:val="CommentText"/>
        <w:spacing w:after="80"/>
      </w:pPr>
      <w:r w:rsidRPr="00EB5207">
        <w:rPr>
          <w:rStyle w:val="FootnoteReference"/>
          <w:sz w:val="18"/>
          <w:szCs w:val="18"/>
        </w:rPr>
        <w:footnoteRef/>
      </w:r>
      <w:r w:rsidRPr="00EB5207">
        <w:rPr>
          <w:sz w:val="18"/>
          <w:szCs w:val="18"/>
        </w:rPr>
        <w:t xml:space="preserve"> ISO New England, </w:t>
      </w:r>
      <w:r w:rsidRPr="00EB5207">
        <w:rPr>
          <w:i/>
          <w:iCs/>
          <w:sz w:val="18"/>
          <w:szCs w:val="18"/>
        </w:rPr>
        <w:t>Energy Security Improvement</w:t>
      </w:r>
      <w:r w:rsidRPr="00EB5207">
        <w:rPr>
          <w:iCs/>
          <w:sz w:val="18"/>
          <w:szCs w:val="18"/>
        </w:rPr>
        <w:t>,</w:t>
      </w:r>
      <w:r w:rsidRPr="00EB5207">
        <w:rPr>
          <w:sz w:val="18"/>
          <w:szCs w:val="18"/>
        </w:rPr>
        <w:t xml:space="preserve"> discussion paper (April 2019), </w:t>
      </w:r>
      <w:hyperlink r:id="rId244" w:history="1">
        <w:r w:rsidRPr="00EB5207">
          <w:rPr>
            <w:rStyle w:val="Hyperlink"/>
            <w:sz w:val="18"/>
            <w:szCs w:val="18"/>
          </w:rPr>
          <w:t>https://www.iso-ne.com/static-assets/documents/2019/04/a00_iso_discussion_paper_energy_security_improvements.pdf</w:t>
        </w:r>
      </w:hyperlink>
      <w:r w:rsidRPr="00EB5207">
        <w:rPr>
          <w:sz w:val="18"/>
          <w:szCs w:val="18"/>
        </w:rPr>
        <w:t>.</w:t>
      </w:r>
    </w:p>
  </w:footnote>
  <w:footnote w:id="271">
    <w:p w14:paraId="23045D5B" w14:textId="77777777" w:rsidR="00E231DA" w:rsidRDefault="00E231DA" w:rsidP="00D97E2B">
      <w:pPr>
        <w:pStyle w:val="FootnoteText"/>
      </w:pPr>
      <w:r>
        <w:rPr>
          <w:rStyle w:val="FootnoteReference"/>
        </w:rPr>
        <w:footnoteRef/>
      </w:r>
      <w:r>
        <w:t xml:space="preserve"> These agencies include the </w:t>
      </w:r>
      <w:r w:rsidRPr="00A55534">
        <w:t xml:space="preserve">Council </w:t>
      </w:r>
      <w:r w:rsidRPr="00E009AF">
        <w:t xml:space="preserve">on </w:t>
      </w:r>
      <w:r w:rsidRPr="00B05A48">
        <w:t>Environmental Quality</w:t>
      </w:r>
      <w:r w:rsidRPr="002350A8">
        <w:t xml:space="preserve"> (CEQ)</w:t>
      </w:r>
      <w:r w:rsidRPr="00B05A48">
        <w:t>,</w:t>
      </w:r>
      <w:r w:rsidRPr="00B57E22">
        <w:t xml:space="preserve"> </w:t>
      </w:r>
      <w:r w:rsidRPr="00B05A48">
        <w:t>De</w:t>
      </w:r>
      <w:r w:rsidRPr="00E812DC">
        <w:t>partment of Agriculture (Forest Service, Natural Resources Conservation Service, Office of Environmental Markets)</w:t>
      </w:r>
      <w:r>
        <w:t>,</w:t>
      </w:r>
      <w:r w:rsidRPr="00B05A48">
        <w:t xml:space="preserve"> </w:t>
      </w:r>
      <w:r w:rsidRPr="00E812DC">
        <w:t>Department of Commerce (National Oceanic and Atmospheric Administration, Nat</w:t>
      </w:r>
      <w:r>
        <w:t xml:space="preserve">ional Marine Fisheries Service), </w:t>
      </w:r>
      <w:r w:rsidRPr="00E812DC">
        <w:t xml:space="preserve">Department of Energy, </w:t>
      </w:r>
      <w:r w:rsidRPr="00B05A48">
        <w:t xml:space="preserve">Department of Interior </w:t>
      </w:r>
      <w:r w:rsidRPr="00E812DC">
        <w:t>(Bureau of Ocean Energy Management, Bureau of Land Management, Bureau o</w:t>
      </w:r>
      <w:r w:rsidRPr="00B05A48">
        <w:t xml:space="preserve">f Reclamation, National Park Service, US Fish and Wildlife Service), </w:t>
      </w:r>
      <w:r w:rsidRPr="00E812DC">
        <w:t>and</w:t>
      </w:r>
      <w:r>
        <w:t xml:space="preserve"> the </w:t>
      </w:r>
      <w:r w:rsidRPr="00B05A48">
        <w:t>Environmental Protection Agency</w:t>
      </w:r>
      <w:r w:rsidRPr="002350A8">
        <w:t xml:space="preserve"> (EPA)</w:t>
      </w:r>
      <w:r>
        <w:t>.</w:t>
      </w:r>
    </w:p>
  </w:footnote>
  <w:footnote w:id="272">
    <w:p w14:paraId="797E412D" w14:textId="77777777" w:rsidR="00E231DA" w:rsidRPr="000D6702" w:rsidRDefault="00E231DA" w:rsidP="00D97E2B">
      <w:pPr>
        <w:pStyle w:val="FootnoteText"/>
      </w:pPr>
      <w:r w:rsidRPr="00582169">
        <w:rPr>
          <w:rStyle w:val="FootnoteReference"/>
        </w:rPr>
        <w:footnoteRef/>
      </w:r>
      <w:r w:rsidRPr="00582169">
        <w:t xml:space="preserve"> EPA, </w:t>
      </w:r>
      <w:r w:rsidRPr="00582169">
        <w:rPr>
          <w:i/>
        </w:rPr>
        <w:t>Evaluation of Existing Regulations</w:t>
      </w:r>
      <w:r w:rsidRPr="00582169">
        <w:t xml:space="preserve">, 82 FR 17793, request for comment (April 13, 2017), </w:t>
      </w:r>
      <w:hyperlink r:id="rId245" w:history="1">
        <w:r w:rsidRPr="00582169">
          <w:rPr>
            <w:rStyle w:val="Hyperlink"/>
          </w:rPr>
          <w:t>https://www.federalregister.gov/d/2017-07500</w:t>
        </w:r>
      </w:hyperlink>
      <w:r w:rsidRPr="00582169">
        <w:t xml:space="preserve">, implementing Executive Order 13777 of February 24, 2017, </w:t>
      </w:r>
      <w:r w:rsidRPr="00744848">
        <w:rPr>
          <w:i/>
        </w:rPr>
        <w:t xml:space="preserve">Enforcing the Regulatory Reform Agenda </w:t>
      </w:r>
      <w:r w:rsidRPr="00744848">
        <w:t xml:space="preserve">(March 1, 2017), </w:t>
      </w:r>
      <w:hyperlink r:id="rId246" w:history="1">
        <w:r w:rsidRPr="00744848">
          <w:rPr>
            <w:rStyle w:val="Hyperlink"/>
          </w:rPr>
          <w:t>https://www.federalregister.gov/d/2017-04107</w:t>
        </w:r>
      </w:hyperlink>
      <w:r w:rsidRPr="00744848">
        <w:t>.</w:t>
      </w:r>
    </w:p>
  </w:footnote>
  <w:footnote w:id="273">
    <w:p w14:paraId="7B974DDF" w14:textId="77777777" w:rsidR="00E231DA" w:rsidRPr="007676BF" w:rsidRDefault="00E231DA" w:rsidP="00D97E2B">
      <w:pPr>
        <w:pStyle w:val="FootnoteText"/>
        <w:rPr>
          <w:szCs w:val="18"/>
        </w:rPr>
      </w:pPr>
      <w:r w:rsidRPr="002350A8">
        <w:rPr>
          <w:rStyle w:val="FootnoteReference"/>
          <w:sz w:val="18"/>
          <w:szCs w:val="18"/>
        </w:rPr>
        <w:footnoteRef/>
      </w:r>
      <w:r w:rsidRPr="007676BF">
        <w:rPr>
          <w:szCs w:val="18"/>
        </w:rPr>
        <w:t xml:space="preserve"> EPA, </w:t>
      </w:r>
      <w:r w:rsidRPr="007676BF">
        <w:rPr>
          <w:i/>
          <w:szCs w:val="18"/>
        </w:rPr>
        <w:t xml:space="preserve">Resource Conservation and Recovery Act, </w:t>
      </w:r>
      <w:r w:rsidRPr="007676BF">
        <w:rPr>
          <w:szCs w:val="18"/>
        </w:rPr>
        <w:t xml:space="preserve">42 USC §6912 et seq. (1998), </w:t>
      </w:r>
      <w:hyperlink r:id="rId247" w:history="1">
        <w:r w:rsidRPr="00932DE9">
          <w:rPr>
            <w:szCs w:val="18"/>
          </w:rPr>
          <w:t>https://www.epa.gov/rcra/resource-conservation-and-recovery-act-rcra-overview</w:t>
        </w:r>
      </w:hyperlink>
      <w:r w:rsidRPr="002350A8">
        <w:rPr>
          <w:szCs w:val="18"/>
        </w:rPr>
        <w:t>,</w:t>
      </w:r>
      <w:r w:rsidRPr="007676BF">
        <w:rPr>
          <w:szCs w:val="18"/>
        </w:rPr>
        <w:t xml:space="preserve"> and </w:t>
      </w:r>
      <w:r w:rsidRPr="007676BF">
        <w:rPr>
          <w:i/>
          <w:szCs w:val="18"/>
        </w:rPr>
        <w:t>Clean Water Act</w:t>
      </w:r>
      <w:r w:rsidRPr="007676BF">
        <w:rPr>
          <w:szCs w:val="18"/>
        </w:rPr>
        <w:t>, 33 USC §1251 et seq. (1972)</w:t>
      </w:r>
      <w:r>
        <w:rPr>
          <w:szCs w:val="18"/>
        </w:rPr>
        <w:t xml:space="preserve">, </w:t>
      </w:r>
      <w:hyperlink r:id="rId248" w:history="1">
        <w:r w:rsidRPr="002350A8">
          <w:rPr>
            <w:rStyle w:val="Hyperlink"/>
            <w:szCs w:val="18"/>
          </w:rPr>
          <w:t>https://www.epa.gov/laws-regulations/summary-clean-water-act</w:t>
        </w:r>
      </w:hyperlink>
      <w:r w:rsidRPr="002350A8">
        <w:rPr>
          <w:szCs w:val="18"/>
        </w:rPr>
        <w:t>.</w:t>
      </w:r>
    </w:p>
  </w:footnote>
  <w:footnote w:id="274">
    <w:p w14:paraId="7693699B" w14:textId="77777777" w:rsidR="00E231DA" w:rsidRPr="006807C0" w:rsidRDefault="00E231DA" w:rsidP="00D97E2B">
      <w:pPr>
        <w:pStyle w:val="FootnoteText"/>
        <w:rPr>
          <w:szCs w:val="18"/>
        </w:rPr>
      </w:pPr>
      <w:r w:rsidRPr="002350A8">
        <w:rPr>
          <w:rStyle w:val="FootnoteReference"/>
          <w:sz w:val="18"/>
          <w:szCs w:val="18"/>
        </w:rPr>
        <w:footnoteRef/>
      </w:r>
      <w:r w:rsidRPr="00DD1913">
        <w:rPr>
          <w:szCs w:val="18"/>
        </w:rPr>
        <w:t xml:space="preserve"> </w:t>
      </w:r>
      <w:r>
        <w:rPr>
          <w:szCs w:val="18"/>
        </w:rPr>
        <w:t xml:space="preserve">Cooling water intake structures can </w:t>
      </w:r>
      <w:r w:rsidRPr="002350A8">
        <w:rPr>
          <w:szCs w:val="18"/>
        </w:rPr>
        <w:t>cause adverse environmental impact</w:t>
      </w:r>
      <w:r>
        <w:rPr>
          <w:szCs w:val="18"/>
        </w:rPr>
        <w:t xml:space="preserve">; </w:t>
      </w:r>
      <w:r>
        <w:t>o</w:t>
      </w:r>
      <w:r w:rsidRPr="002350A8">
        <w:rPr>
          <w:szCs w:val="18"/>
        </w:rPr>
        <w:t xml:space="preserve">rganisms may be killed or injured </w:t>
      </w:r>
      <w:r>
        <w:rPr>
          <w:szCs w:val="18"/>
        </w:rPr>
        <w:t xml:space="preserve">due to the high velocity of the water withdrawal, </w:t>
      </w:r>
      <w:r w:rsidRPr="002350A8">
        <w:rPr>
          <w:szCs w:val="18"/>
        </w:rPr>
        <w:t>heat, chemicals used to clean the cooling system</w:t>
      </w:r>
      <w:r>
        <w:rPr>
          <w:szCs w:val="18"/>
        </w:rPr>
        <w:t>, or other physical stresses</w:t>
      </w:r>
      <w:r w:rsidRPr="002350A8">
        <w:rPr>
          <w:szCs w:val="18"/>
        </w:rPr>
        <w:t>.</w:t>
      </w:r>
      <w:r w:rsidRPr="00B05A48">
        <w:rPr>
          <w:szCs w:val="18"/>
        </w:rPr>
        <w:t xml:space="preserve"> </w:t>
      </w:r>
      <w:r>
        <w:rPr>
          <w:szCs w:val="18"/>
        </w:rPr>
        <w:t>F</w:t>
      </w:r>
      <w:r w:rsidRPr="002350A8">
        <w:rPr>
          <w:szCs w:val="18"/>
        </w:rPr>
        <w:t xml:space="preserve">ish and other </w:t>
      </w:r>
      <w:r>
        <w:rPr>
          <w:szCs w:val="18"/>
        </w:rPr>
        <w:t xml:space="preserve">larger </w:t>
      </w:r>
      <w:r w:rsidRPr="002350A8">
        <w:rPr>
          <w:szCs w:val="18"/>
        </w:rPr>
        <w:t xml:space="preserve">wildlife may be killed or injured due to </w:t>
      </w:r>
      <w:r w:rsidRPr="00B31FEF">
        <w:rPr>
          <w:i/>
          <w:szCs w:val="18"/>
        </w:rPr>
        <w:t>impingement</w:t>
      </w:r>
      <w:r w:rsidRPr="002350A8">
        <w:rPr>
          <w:szCs w:val="18"/>
        </w:rPr>
        <w:t xml:space="preserve"> (i.e., when they are trapped against screens at the front of an intake structure)</w:t>
      </w:r>
      <w:r>
        <w:rPr>
          <w:szCs w:val="18"/>
        </w:rPr>
        <w:t xml:space="preserve">, while smaller organisms, such as fish eggs and larvae, can be harmed by </w:t>
      </w:r>
      <w:r w:rsidRPr="00B31FEF">
        <w:rPr>
          <w:i/>
          <w:szCs w:val="18"/>
        </w:rPr>
        <w:t>entrainment</w:t>
      </w:r>
      <w:r w:rsidRPr="002350A8">
        <w:rPr>
          <w:szCs w:val="18"/>
        </w:rPr>
        <w:t xml:space="preserve"> (</w:t>
      </w:r>
      <w:r>
        <w:rPr>
          <w:szCs w:val="18"/>
        </w:rPr>
        <w:t xml:space="preserve">i.e., </w:t>
      </w:r>
      <w:r w:rsidRPr="002350A8">
        <w:rPr>
          <w:szCs w:val="18"/>
        </w:rPr>
        <w:t xml:space="preserve">when </w:t>
      </w:r>
      <w:r>
        <w:rPr>
          <w:szCs w:val="18"/>
        </w:rPr>
        <w:t>d</w:t>
      </w:r>
      <w:r w:rsidRPr="002350A8">
        <w:rPr>
          <w:szCs w:val="18"/>
        </w:rPr>
        <w:t>rawn through a facility’s intake screens with the cooling water).</w:t>
      </w:r>
      <w:r w:rsidRPr="00B05A48">
        <w:rPr>
          <w:szCs w:val="18"/>
        </w:rPr>
        <w:t xml:space="preserve"> Regulated </w:t>
      </w:r>
      <w:r w:rsidRPr="002350A8">
        <w:rPr>
          <w:szCs w:val="18"/>
        </w:rPr>
        <w:t xml:space="preserve">CWA </w:t>
      </w:r>
      <w:r w:rsidRPr="00B05A48">
        <w:rPr>
          <w:szCs w:val="18"/>
        </w:rPr>
        <w:t>Section 316(b) facilities have</w:t>
      </w:r>
      <w:r w:rsidRPr="008F216E">
        <w:rPr>
          <w:szCs w:val="18"/>
        </w:rPr>
        <w:t xml:space="preserve"> NPDES permits </w:t>
      </w:r>
      <w:r w:rsidRPr="00E009AF">
        <w:rPr>
          <w:szCs w:val="18"/>
        </w:rPr>
        <w:t>and are designed to withdraw at least 2 million</w:t>
      </w:r>
      <w:r w:rsidRPr="006807C0">
        <w:rPr>
          <w:szCs w:val="18"/>
        </w:rPr>
        <w:t xml:space="preserve"> gallons</w:t>
      </w:r>
      <w:r>
        <w:rPr>
          <w:szCs w:val="18"/>
        </w:rPr>
        <w:t>/</w:t>
      </w:r>
      <w:r w:rsidRPr="006807C0">
        <w:rPr>
          <w:szCs w:val="18"/>
        </w:rPr>
        <w:t xml:space="preserve">day from waters of the United States. </w:t>
      </w:r>
      <w:r>
        <w:rPr>
          <w:szCs w:val="18"/>
        </w:rPr>
        <w:t xml:space="preserve">Permitted </w:t>
      </w:r>
      <w:r w:rsidRPr="002350A8">
        <w:rPr>
          <w:szCs w:val="18"/>
        </w:rPr>
        <w:t xml:space="preserve">electric </w:t>
      </w:r>
      <w:r>
        <w:rPr>
          <w:szCs w:val="18"/>
        </w:rPr>
        <w:t xml:space="preserve">power </w:t>
      </w:r>
      <w:r w:rsidRPr="002350A8">
        <w:rPr>
          <w:szCs w:val="18"/>
        </w:rPr>
        <w:t xml:space="preserve">generators equipped with once-through </w:t>
      </w:r>
      <w:r>
        <w:rPr>
          <w:szCs w:val="18"/>
        </w:rPr>
        <w:t xml:space="preserve">CWISs must </w:t>
      </w:r>
      <w:r w:rsidRPr="002350A8">
        <w:rPr>
          <w:szCs w:val="18"/>
        </w:rPr>
        <w:t>use the best technology available to reduce fish impingement</w:t>
      </w:r>
      <w:r w:rsidRPr="00B05A48">
        <w:rPr>
          <w:szCs w:val="18"/>
        </w:rPr>
        <w:t xml:space="preserve"> and entrainment. </w:t>
      </w:r>
      <w:r w:rsidRPr="002350A8">
        <w:rPr>
          <w:szCs w:val="18"/>
        </w:rPr>
        <w:t>A range of technologies can satisfy this requirement depending on site-specific circumstances.</w:t>
      </w:r>
    </w:p>
  </w:footnote>
  <w:footnote w:id="275">
    <w:p w14:paraId="10475A6B" w14:textId="77777777" w:rsidR="00E231DA" w:rsidRPr="008F216E" w:rsidRDefault="00E231DA" w:rsidP="00D97E2B">
      <w:pPr>
        <w:pStyle w:val="FootnoteText"/>
        <w:rPr>
          <w:szCs w:val="18"/>
        </w:rPr>
      </w:pPr>
      <w:r w:rsidRPr="002350A8">
        <w:rPr>
          <w:rStyle w:val="FootnoteReference"/>
          <w:sz w:val="18"/>
          <w:szCs w:val="18"/>
        </w:rPr>
        <w:footnoteRef/>
      </w:r>
      <w:r w:rsidRPr="00DD1913">
        <w:rPr>
          <w:szCs w:val="18"/>
        </w:rPr>
        <w:t xml:space="preserve"> ELGs were updated in 2015 to address </w:t>
      </w:r>
      <w:r w:rsidRPr="002350A8">
        <w:rPr>
          <w:szCs w:val="18"/>
        </w:rPr>
        <w:t xml:space="preserve">the </w:t>
      </w:r>
      <w:r w:rsidRPr="00DD1913">
        <w:rPr>
          <w:szCs w:val="18"/>
        </w:rPr>
        <w:t>increasing toxicity of wastewater discharges as the addition of scrubbers and other pollution control devices</w:t>
      </w:r>
      <w:r w:rsidRPr="002350A8">
        <w:rPr>
          <w:szCs w:val="18"/>
        </w:rPr>
        <w:t>—</w:t>
      </w:r>
      <w:r w:rsidRPr="00DD1913">
        <w:rPr>
          <w:szCs w:val="18"/>
        </w:rPr>
        <w:t xml:space="preserve">installed to reduce air pollutant emissions under </w:t>
      </w:r>
      <w:r w:rsidRPr="00B57E22">
        <w:rPr>
          <w:i/>
          <w:szCs w:val="18"/>
        </w:rPr>
        <w:t>Clean Air Act</w:t>
      </w:r>
      <w:r w:rsidRPr="00DD1913">
        <w:rPr>
          <w:szCs w:val="18"/>
        </w:rPr>
        <w:t xml:space="preserve"> programs</w:t>
      </w:r>
      <w:r w:rsidRPr="002350A8">
        <w:rPr>
          <w:szCs w:val="18"/>
        </w:rPr>
        <w:t>—</w:t>
      </w:r>
      <w:r w:rsidRPr="00DD1913">
        <w:rPr>
          <w:szCs w:val="18"/>
        </w:rPr>
        <w:t xml:space="preserve">transferred pollutants to the wastewater streams </w:t>
      </w:r>
      <w:r w:rsidRPr="002350A8">
        <w:rPr>
          <w:szCs w:val="18"/>
        </w:rPr>
        <w:t xml:space="preserve">in the process of </w:t>
      </w:r>
      <w:r w:rsidRPr="00DD1913">
        <w:rPr>
          <w:szCs w:val="18"/>
        </w:rPr>
        <w:t>reduc</w:t>
      </w:r>
      <w:r w:rsidRPr="002350A8">
        <w:rPr>
          <w:szCs w:val="18"/>
        </w:rPr>
        <w:t>ing</w:t>
      </w:r>
      <w:r w:rsidRPr="00DD1913">
        <w:rPr>
          <w:szCs w:val="18"/>
        </w:rPr>
        <w:t xml:space="preserve"> air pollution.</w:t>
      </w:r>
      <w:r w:rsidRPr="00B57E22">
        <w:rPr>
          <w:szCs w:val="18"/>
        </w:rPr>
        <w:t xml:space="preserve"> </w:t>
      </w:r>
      <w:r w:rsidRPr="00DD1913">
        <w:rPr>
          <w:szCs w:val="18"/>
        </w:rPr>
        <w:t xml:space="preserve">EPA, </w:t>
      </w:r>
      <w:r w:rsidRPr="002350A8">
        <w:rPr>
          <w:i/>
          <w:szCs w:val="18"/>
        </w:rPr>
        <w:t>Effluent Limitations Guidelines and Standards for the Steam Electric Power Generating Point Source Category</w:t>
      </w:r>
      <w:r w:rsidRPr="00DD1913">
        <w:rPr>
          <w:szCs w:val="18"/>
        </w:rPr>
        <w:t xml:space="preserve">, final rule, 80 FR 67837 (November 3, 2015), </w:t>
      </w:r>
      <w:hyperlink r:id="rId249" w:history="1">
        <w:r w:rsidRPr="00DD1913">
          <w:rPr>
            <w:rStyle w:val="Hyperlink"/>
            <w:szCs w:val="18"/>
          </w:rPr>
          <w:t>https://www.federal</w:t>
        </w:r>
        <w:r w:rsidRPr="00E009AF">
          <w:rPr>
            <w:rStyle w:val="Hyperlink"/>
            <w:szCs w:val="18"/>
          </w:rPr>
          <w:t>register.gov/d/2015-25663</w:t>
        </w:r>
      </w:hyperlink>
      <w:r w:rsidRPr="00DD1913">
        <w:rPr>
          <w:szCs w:val="18"/>
        </w:rPr>
        <w:t>.</w:t>
      </w:r>
    </w:p>
  </w:footnote>
  <w:footnote w:id="276">
    <w:p w14:paraId="1C647F22" w14:textId="77777777" w:rsidR="00E231DA" w:rsidRPr="007676BF" w:rsidRDefault="00E231DA" w:rsidP="00D97E2B">
      <w:pPr>
        <w:pStyle w:val="FootnoteText"/>
        <w:rPr>
          <w:szCs w:val="18"/>
        </w:rPr>
      </w:pPr>
      <w:r w:rsidRPr="007676BF">
        <w:rPr>
          <w:rStyle w:val="FootnoteReference"/>
          <w:sz w:val="18"/>
          <w:szCs w:val="18"/>
        </w:rPr>
        <w:footnoteRef/>
      </w:r>
      <w:r w:rsidRPr="007676BF">
        <w:rPr>
          <w:szCs w:val="18"/>
        </w:rPr>
        <w:t xml:space="preserve"> EPA, </w:t>
      </w:r>
      <w:r w:rsidRPr="007676BF">
        <w:rPr>
          <w:i/>
          <w:szCs w:val="18"/>
        </w:rPr>
        <w:t>National Pollutant Discharge Elimination System—Final Regulations to Establish Requirements for Cooling Water Intake Structures at Existing Facilities and Amend Requirements at Phase I Facilities</w:t>
      </w:r>
      <w:r w:rsidRPr="007676BF">
        <w:rPr>
          <w:szCs w:val="18"/>
        </w:rPr>
        <w:t xml:space="preserve">, </w:t>
      </w:r>
      <w:r>
        <w:rPr>
          <w:szCs w:val="18"/>
        </w:rPr>
        <w:t>f</w:t>
      </w:r>
      <w:r w:rsidRPr="007676BF">
        <w:rPr>
          <w:szCs w:val="18"/>
        </w:rPr>
        <w:t xml:space="preserve">inal </w:t>
      </w:r>
      <w:r>
        <w:rPr>
          <w:szCs w:val="18"/>
        </w:rPr>
        <w:t>r</w:t>
      </w:r>
      <w:r w:rsidRPr="007676BF">
        <w:rPr>
          <w:szCs w:val="18"/>
        </w:rPr>
        <w:t xml:space="preserve">ule, 79 FR 48299 (August 15, 2014); applies to existing and new cooling water intake structures at power plants and manufacturers. EPA, </w:t>
      </w:r>
      <w:hyperlink r:id="rId250" w:history="1">
        <w:r w:rsidRPr="007676BF">
          <w:rPr>
            <w:rStyle w:val="Hyperlink"/>
            <w:i/>
            <w:color w:val="auto"/>
            <w:szCs w:val="18"/>
          </w:rPr>
          <w:t>Effluent Limitation Guidelines and Standards for the Stream Electric Power Generating Point Source Category</w:t>
        </w:r>
      </w:hyperlink>
      <w:r w:rsidRPr="007676BF">
        <w:rPr>
          <w:szCs w:val="18"/>
        </w:rPr>
        <w:t xml:space="preserve">, </w:t>
      </w:r>
      <w:r>
        <w:rPr>
          <w:szCs w:val="18"/>
        </w:rPr>
        <w:t>f</w:t>
      </w:r>
      <w:r w:rsidRPr="007676BF">
        <w:rPr>
          <w:szCs w:val="18"/>
        </w:rPr>
        <w:t xml:space="preserve">inal </w:t>
      </w:r>
      <w:r>
        <w:rPr>
          <w:szCs w:val="18"/>
        </w:rPr>
        <w:t>r</w:t>
      </w:r>
      <w:r w:rsidRPr="007676BF">
        <w:rPr>
          <w:szCs w:val="18"/>
        </w:rPr>
        <w:t xml:space="preserve">ule, 80 FR 67837 (November 3, 2015). The main pollutants of concern for these discharges include metals (mercury, arsenic, and selenium), nitrogen, and total dissolved solids generated by the operation of air pollution control devices (i.e., scrubbers). National Renewable Energy Laboratory </w:t>
      </w:r>
      <w:r w:rsidRPr="002350A8">
        <w:rPr>
          <w:szCs w:val="18"/>
        </w:rPr>
        <w:t>(</w:t>
      </w:r>
      <w:r w:rsidRPr="00DD1913">
        <w:rPr>
          <w:szCs w:val="18"/>
        </w:rPr>
        <w:t>NREL</w:t>
      </w:r>
      <w:r w:rsidRPr="002350A8">
        <w:rPr>
          <w:szCs w:val="18"/>
        </w:rPr>
        <w:t>)</w:t>
      </w:r>
      <w:r w:rsidRPr="00DD1913">
        <w:rPr>
          <w:szCs w:val="18"/>
        </w:rPr>
        <w:t xml:space="preserve"> </w:t>
      </w:r>
      <w:r w:rsidRPr="00DD1913">
        <w:rPr>
          <w:i/>
          <w:szCs w:val="18"/>
        </w:rPr>
        <w:t>Water</w:t>
      </w:r>
      <w:r w:rsidRPr="002350A8">
        <w:rPr>
          <w:i/>
          <w:szCs w:val="18"/>
        </w:rPr>
        <w:t>-</w:t>
      </w:r>
      <w:r w:rsidRPr="00DD1913">
        <w:rPr>
          <w:i/>
          <w:szCs w:val="18"/>
        </w:rPr>
        <w:t xml:space="preserve">Related </w:t>
      </w:r>
      <w:r w:rsidRPr="002350A8">
        <w:rPr>
          <w:i/>
          <w:szCs w:val="18"/>
        </w:rPr>
        <w:t xml:space="preserve">Power Plant </w:t>
      </w:r>
      <w:r w:rsidRPr="00DD1913">
        <w:rPr>
          <w:i/>
          <w:szCs w:val="18"/>
        </w:rPr>
        <w:t>Curtailments</w:t>
      </w:r>
      <w:r w:rsidRPr="002350A8">
        <w:rPr>
          <w:i/>
          <w:szCs w:val="18"/>
        </w:rPr>
        <w:t>: An Overview of Incidents and Contributing Factors</w:t>
      </w:r>
      <w:r w:rsidRPr="002350A8">
        <w:rPr>
          <w:szCs w:val="18"/>
        </w:rPr>
        <w:t>, NREL/TP-6A20-67084</w:t>
      </w:r>
      <w:r w:rsidRPr="002350A8">
        <w:rPr>
          <w:i/>
          <w:szCs w:val="18"/>
        </w:rPr>
        <w:t xml:space="preserve"> </w:t>
      </w:r>
      <w:r w:rsidRPr="008F216E">
        <w:rPr>
          <w:szCs w:val="18"/>
        </w:rPr>
        <w:t>(</w:t>
      </w:r>
      <w:r w:rsidRPr="002350A8">
        <w:rPr>
          <w:szCs w:val="18"/>
        </w:rPr>
        <w:t xml:space="preserve">December </w:t>
      </w:r>
      <w:r w:rsidRPr="00DD1913">
        <w:rPr>
          <w:szCs w:val="18"/>
        </w:rPr>
        <w:t>2016).</w:t>
      </w:r>
      <w:r w:rsidRPr="002350A8">
        <w:rPr>
          <w:szCs w:val="18"/>
        </w:rPr>
        <w:t xml:space="preserve"> </w:t>
      </w:r>
      <w:hyperlink r:id="rId251" w:history="1">
        <w:r w:rsidRPr="00932DE9">
          <w:rPr>
            <w:szCs w:val="18"/>
          </w:rPr>
          <w:t>https://www.nrel.gov/docs/fy17osti/67084.pdf</w:t>
        </w:r>
      </w:hyperlink>
      <w:r w:rsidRPr="00932DE9">
        <w:rPr>
          <w:szCs w:val="18"/>
        </w:rPr>
        <w:t>.</w:t>
      </w:r>
    </w:p>
  </w:footnote>
  <w:footnote w:id="277">
    <w:p w14:paraId="566E0109" w14:textId="77777777" w:rsidR="00E231DA" w:rsidRDefault="00E231DA" w:rsidP="00D97E2B">
      <w:pPr>
        <w:pStyle w:val="FootnoteText"/>
      </w:pPr>
      <w:r w:rsidRPr="002350A8">
        <w:rPr>
          <w:rStyle w:val="FootnoteReference"/>
          <w:sz w:val="18"/>
          <w:szCs w:val="18"/>
        </w:rPr>
        <w:footnoteRef/>
      </w:r>
      <w:r w:rsidRPr="00DD1913">
        <w:rPr>
          <w:szCs w:val="18"/>
        </w:rPr>
        <w:t xml:space="preserve"> </w:t>
      </w:r>
      <w:r w:rsidRPr="00DD1913">
        <w:rPr>
          <w:i/>
          <w:szCs w:val="18"/>
        </w:rPr>
        <w:t>Cooling Water Intake Structure Coalition v. EPA</w:t>
      </w:r>
      <w:r w:rsidRPr="008F216E">
        <w:rPr>
          <w:szCs w:val="18"/>
        </w:rPr>
        <w:t>, 898 F.3d 173 (July</w:t>
      </w:r>
      <w:r w:rsidRPr="00633D93">
        <w:t xml:space="preserve"> 23, 2018).</w:t>
      </w:r>
    </w:p>
  </w:footnote>
  <w:footnote w:id="278">
    <w:p w14:paraId="552A8D43" w14:textId="77777777" w:rsidR="00E231DA" w:rsidRPr="00991F87" w:rsidRDefault="00E231DA" w:rsidP="00D97E2B">
      <w:pPr>
        <w:pStyle w:val="FootnoteText"/>
        <w:rPr>
          <w:szCs w:val="18"/>
        </w:rPr>
      </w:pPr>
      <w:r w:rsidRPr="002350A8">
        <w:rPr>
          <w:rStyle w:val="FootnoteReference"/>
          <w:sz w:val="18"/>
          <w:szCs w:val="18"/>
        </w:rPr>
        <w:footnoteRef/>
      </w:r>
      <w:r w:rsidRPr="00991F87">
        <w:rPr>
          <w:szCs w:val="18"/>
        </w:rPr>
        <w:t xml:space="preserve"> Energy Information </w:t>
      </w:r>
      <w:r w:rsidRPr="00EF073E">
        <w:rPr>
          <w:szCs w:val="18"/>
        </w:rPr>
        <w:t xml:space="preserve">Administration, </w:t>
      </w:r>
      <w:r w:rsidRPr="003633B0">
        <w:rPr>
          <w:szCs w:val="18"/>
        </w:rPr>
        <w:t>“Thermoelectric cooling water data,” webpage (</w:t>
      </w:r>
      <w:r>
        <w:rPr>
          <w:szCs w:val="18"/>
        </w:rPr>
        <w:t xml:space="preserve">DOE, </w:t>
      </w:r>
      <w:r w:rsidRPr="003633B0">
        <w:rPr>
          <w:szCs w:val="18"/>
        </w:rPr>
        <w:t>November 5, 2018, release date; accessed February 2019)</w:t>
      </w:r>
      <w:r>
        <w:rPr>
          <w:szCs w:val="18"/>
        </w:rPr>
        <w:t>,</w:t>
      </w:r>
      <w:r w:rsidRPr="00EF073E">
        <w:rPr>
          <w:szCs w:val="18"/>
        </w:rPr>
        <w:t xml:space="preserve"> </w:t>
      </w:r>
      <w:hyperlink r:id="rId252" w:history="1">
        <w:r w:rsidRPr="003633B0">
          <w:rPr>
            <w:rStyle w:val="Hyperlink"/>
            <w:szCs w:val="18"/>
          </w:rPr>
          <w:t>https://www.eia.gov/electricity/data/water/</w:t>
        </w:r>
      </w:hyperlink>
      <w:r w:rsidRPr="003633B0">
        <w:rPr>
          <w:szCs w:val="18"/>
        </w:rPr>
        <w:t>, and</w:t>
      </w:r>
      <w:r w:rsidRPr="00991F87">
        <w:rPr>
          <w:szCs w:val="18"/>
        </w:rPr>
        <w:t xml:space="preserve"> Form EIA-923, </w:t>
      </w:r>
      <w:r w:rsidRPr="002350A8">
        <w:rPr>
          <w:i/>
          <w:szCs w:val="18"/>
        </w:rPr>
        <w:t>Power Plant Operations Report</w:t>
      </w:r>
      <w:r w:rsidRPr="00991F87">
        <w:rPr>
          <w:szCs w:val="18"/>
        </w:rPr>
        <w:t xml:space="preserve"> (</w:t>
      </w:r>
      <w:r>
        <w:rPr>
          <w:szCs w:val="18"/>
        </w:rPr>
        <w:t xml:space="preserve">data for </w:t>
      </w:r>
      <w:r w:rsidRPr="00991F87">
        <w:rPr>
          <w:szCs w:val="18"/>
        </w:rPr>
        <w:t xml:space="preserve">2018), </w:t>
      </w:r>
      <w:hyperlink r:id="rId253" w:history="1">
        <w:r w:rsidRPr="00EF073E">
          <w:rPr>
            <w:rStyle w:val="Hyperlink"/>
            <w:szCs w:val="18"/>
          </w:rPr>
          <w:t>https://www.eia.gov/electricity/data/eia923/</w:t>
        </w:r>
      </w:hyperlink>
      <w:r w:rsidRPr="00991F87">
        <w:rPr>
          <w:szCs w:val="18"/>
        </w:rPr>
        <w:t>.</w:t>
      </w:r>
    </w:p>
  </w:footnote>
  <w:footnote w:id="279">
    <w:p w14:paraId="5C7A18C2" w14:textId="77777777" w:rsidR="00E231DA" w:rsidRPr="009A22A3" w:rsidRDefault="00E231DA" w:rsidP="00D97E2B">
      <w:pPr>
        <w:pStyle w:val="FootnoteText"/>
        <w:rPr>
          <w:szCs w:val="18"/>
        </w:rPr>
      </w:pPr>
      <w:r w:rsidRPr="002350A8">
        <w:rPr>
          <w:rStyle w:val="FootnoteReference"/>
          <w:sz w:val="18"/>
          <w:szCs w:val="18"/>
        </w:rPr>
        <w:footnoteRef/>
      </w:r>
      <w:r w:rsidRPr="00991F87">
        <w:rPr>
          <w:szCs w:val="18"/>
        </w:rPr>
        <w:t xml:space="preserve"> The water intensity of power generation</w:t>
      </w:r>
      <w:r>
        <w:rPr>
          <w:szCs w:val="18"/>
        </w:rPr>
        <w:t xml:space="preserve"> is </w:t>
      </w:r>
      <w:r w:rsidRPr="009A22A3">
        <w:rPr>
          <w:szCs w:val="18"/>
        </w:rPr>
        <w:t>the</w:t>
      </w:r>
      <w:r w:rsidRPr="00991F87">
        <w:rPr>
          <w:szCs w:val="18"/>
        </w:rPr>
        <w:t xml:space="preserve"> average amount of water withdrawn per unit of total net electricity generated.</w:t>
      </w:r>
    </w:p>
  </w:footnote>
  <w:footnote w:id="280">
    <w:p w14:paraId="5314A703" w14:textId="77777777" w:rsidR="00E231DA" w:rsidRDefault="00E231DA" w:rsidP="00D97E2B">
      <w:pPr>
        <w:pStyle w:val="FootnoteText"/>
      </w:pPr>
      <w:r w:rsidRPr="00CC3E65">
        <w:rPr>
          <w:rStyle w:val="FootnoteReference"/>
        </w:rPr>
        <w:footnoteRef/>
      </w:r>
      <w:r w:rsidRPr="00F57D60">
        <w:t xml:space="preserve"> </w:t>
      </w:r>
      <w:r>
        <w:t xml:space="preserve">From the end of </w:t>
      </w:r>
      <w:r w:rsidRPr="00F57D60">
        <w:t>D</w:t>
      </w:r>
      <w:r>
        <w:t xml:space="preserve">ecember 2017 to the beginning of </w:t>
      </w:r>
      <w:r w:rsidRPr="00F57D60">
        <w:t xml:space="preserve">January </w:t>
      </w:r>
      <w:r>
        <w:t xml:space="preserve">2018, New England experienced an extremely </w:t>
      </w:r>
      <w:r w:rsidRPr="00F57D60">
        <w:t>cold</w:t>
      </w:r>
      <w:r>
        <w:t xml:space="preserve"> </w:t>
      </w:r>
      <w:r w:rsidRPr="00F57D60">
        <w:t>stretch</w:t>
      </w:r>
      <w:r>
        <w:t xml:space="preserve"> of weather, where average temperatures in all major New England cities were below normal for at least 13 days, with 10 days averaging more than 10°F below normal</w:t>
      </w:r>
      <w:r w:rsidRPr="00FD5A00">
        <w:t>. A blizzard brought snow and ice into the region on January 4 and 5, causing severe coastal flooding.</w:t>
      </w:r>
    </w:p>
  </w:footnote>
  <w:footnote w:id="281">
    <w:p w14:paraId="5A580471" w14:textId="77777777" w:rsidR="00E231DA" w:rsidRPr="0081607A" w:rsidRDefault="00E231DA" w:rsidP="00D97E2B">
      <w:pPr>
        <w:pStyle w:val="FootnoteText"/>
        <w:rPr>
          <w:szCs w:val="18"/>
        </w:rPr>
      </w:pPr>
      <w:r w:rsidRPr="001C4394">
        <w:rPr>
          <w:rStyle w:val="FootnoteReference"/>
          <w:sz w:val="18"/>
          <w:szCs w:val="18"/>
        </w:rPr>
        <w:footnoteRef/>
      </w:r>
      <w:r w:rsidRPr="001C4394">
        <w:rPr>
          <w:szCs w:val="18"/>
        </w:rPr>
        <w:t xml:space="preserve"> Cheryl A. Dieter</w:t>
      </w:r>
      <w:r w:rsidRPr="001C4394" w:rsidDel="002153DC">
        <w:rPr>
          <w:szCs w:val="18"/>
        </w:rPr>
        <w:t xml:space="preserve"> </w:t>
      </w:r>
      <w:r w:rsidRPr="001C4394">
        <w:rPr>
          <w:szCs w:val="18"/>
        </w:rPr>
        <w:t xml:space="preserve">and Molly A. Maupin, </w:t>
      </w:r>
      <w:r>
        <w:rPr>
          <w:szCs w:val="18"/>
        </w:rPr>
        <w:t xml:space="preserve">et al., </w:t>
      </w:r>
      <w:r w:rsidRPr="001C4394">
        <w:rPr>
          <w:i/>
          <w:szCs w:val="18"/>
        </w:rPr>
        <w:t>Estimated Use of Water in the United States, 2015</w:t>
      </w:r>
      <w:r w:rsidRPr="001C4394">
        <w:rPr>
          <w:szCs w:val="18"/>
        </w:rPr>
        <w:t>, Circular 1441</w:t>
      </w:r>
      <w:r>
        <w:rPr>
          <w:szCs w:val="18"/>
        </w:rPr>
        <w:t xml:space="preserve"> </w:t>
      </w:r>
      <w:r w:rsidRPr="001C4394">
        <w:rPr>
          <w:szCs w:val="18"/>
        </w:rPr>
        <w:t>(US</w:t>
      </w:r>
      <w:r>
        <w:rPr>
          <w:szCs w:val="18"/>
        </w:rPr>
        <w:t> </w:t>
      </w:r>
      <w:r w:rsidRPr="001C4394">
        <w:rPr>
          <w:szCs w:val="18"/>
        </w:rPr>
        <w:t xml:space="preserve">Geological Survey, 2018), </w:t>
      </w:r>
      <w:hyperlink r:id="rId254" w:history="1">
        <w:r w:rsidRPr="001C4394">
          <w:rPr>
            <w:rStyle w:val="Hyperlink"/>
            <w:szCs w:val="18"/>
          </w:rPr>
          <w:t>https://doi.org/10.3133/cir1441</w:t>
        </w:r>
      </w:hyperlink>
      <w:r w:rsidRPr="001C4394">
        <w:rPr>
          <w:szCs w:val="18"/>
        </w:rPr>
        <w:t>.</w:t>
      </w:r>
    </w:p>
  </w:footnote>
  <w:footnote w:id="282">
    <w:p w14:paraId="02BDDEBA" w14:textId="2E7063F2" w:rsidR="00E231DA" w:rsidRDefault="00E231DA" w:rsidP="00235C93">
      <w:pPr>
        <w:pStyle w:val="FootnoteText"/>
      </w:pPr>
      <w:r>
        <w:rPr>
          <w:rStyle w:val="FootnoteReference"/>
        </w:rPr>
        <w:footnoteRef/>
      </w:r>
      <w:r>
        <w:t xml:space="preserve"> </w:t>
      </w:r>
      <w:r w:rsidRPr="00235C93">
        <w:rPr>
          <w:szCs w:val="18"/>
        </w:rPr>
        <w:t xml:space="preserve">EPA, </w:t>
      </w:r>
      <w:r w:rsidRPr="00235C93">
        <w:rPr>
          <w:i/>
          <w:szCs w:val="18"/>
        </w:rPr>
        <w:t>National Ambient Air Quality Standards for Sulfur Dioxide</w:t>
      </w:r>
      <w:r w:rsidRPr="00235C93">
        <w:rPr>
          <w:szCs w:val="18"/>
        </w:rPr>
        <w:t>, final rule, 84 FR 9866 (March 18, 2019) (after review, 2010 primary SO</w:t>
      </w:r>
      <w:r w:rsidRPr="00235C93">
        <w:rPr>
          <w:szCs w:val="18"/>
          <w:vertAlign w:val="subscript"/>
        </w:rPr>
        <w:t>2</w:t>
      </w:r>
      <w:r w:rsidRPr="00235C93">
        <w:rPr>
          <w:szCs w:val="18"/>
        </w:rPr>
        <w:t xml:space="preserve"> standard retained without changes); </w:t>
      </w:r>
      <w:r w:rsidRPr="00235C93">
        <w:rPr>
          <w:i/>
          <w:szCs w:val="18"/>
        </w:rPr>
        <w:t>National Ambient Air Quality Standards for Particulate Matter</w:t>
      </w:r>
      <w:r w:rsidRPr="00235C93">
        <w:rPr>
          <w:szCs w:val="18"/>
        </w:rPr>
        <w:t xml:space="preserve">, final rule, 78 FR 3086 (January 15, 2013); Secondary </w:t>
      </w:r>
      <w:r w:rsidRPr="00235C93">
        <w:rPr>
          <w:i/>
          <w:szCs w:val="18"/>
        </w:rPr>
        <w:t>National Ambient Air Quality Standards for Oxides of Nitrogen and Sulfur,</w:t>
      </w:r>
      <w:r w:rsidRPr="00235C93">
        <w:rPr>
          <w:szCs w:val="18"/>
        </w:rPr>
        <w:t xml:space="preserve"> final rule, 77 FR 20218 (April 3, 2012) (existing secondary SO</w:t>
      </w:r>
      <w:r w:rsidRPr="00235C93">
        <w:rPr>
          <w:szCs w:val="18"/>
          <w:vertAlign w:val="subscript"/>
        </w:rPr>
        <w:t>2</w:t>
      </w:r>
      <w:r w:rsidRPr="00235C93">
        <w:rPr>
          <w:szCs w:val="18"/>
        </w:rPr>
        <w:t xml:space="preserve"> standard retained without changes);</w:t>
      </w:r>
      <w:r w:rsidRPr="00235C93">
        <w:rPr>
          <w:i/>
          <w:szCs w:val="18"/>
        </w:rPr>
        <w:t xml:space="preserve"> National Ambient Air Quality Standards for Sulfur Dioxide</w:t>
      </w:r>
      <w:r w:rsidRPr="00235C93">
        <w:rPr>
          <w:szCs w:val="18"/>
        </w:rPr>
        <w:t>, final rule, 75 FR 35520 (June 22, 2010).</w:t>
      </w:r>
    </w:p>
  </w:footnote>
  <w:footnote w:id="283">
    <w:p w14:paraId="7DAF4188" w14:textId="7392D9EE" w:rsidR="00E231DA" w:rsidRDefault="00E231DA" w:rsidP="00EE31D2">
      <w:pPr>
        <w:pStyle w:val="FootnoteText"/>
      </w:pPr>
      <w:r>
        <w:rPr>
          <w:rStyle w:val="FootnoteReference"/>
        </w:rPr>
        <w:footnoteRef/>
      </w:r>
      <w:r>
        <w:t xml:space="preserve"> EPA has proposed downgrading Connecticut from moderate to serious nonattainment with the 2008 ozone standard, which, if finalized, may trigger additional control requirements for in-state fossil power generators. EPA, </w:t>
      </w:r>
      <w:r w:rsidRPr="00E73444">
        <w:rPr>
          <w:i/>
        </w:rPr>
        <w:t>Determinations of Attainment by the Attainment Date, Extensions of the Attainment Date, and Reclassification of Several Areas Classified as Moderate for the 2008 Ozone National Ambient Air Quality Standards</w:t>
      </w:r>
      <w:r>
        <w:t xml:space="preserve">, proposed rule, </w:t>
      </w:r>
      <w:r w:rsidRPr="005A5701">
        <w:t>83</w:t>
      </w:r>
      <w:r>
        <w:t> </w:t>
      </w:r>
      <w:r w:rsidRPr="005A5701">
        <w:t>FR 56781</w:t>
      </w:r>
      <w:r>
        <w:t xml:space="preserve"> (November 11, 2018), </w:t>
      </w:r>
      <w:hyperlink r:id="rId255" w:history="1">
        <w:r w:rsidRPr="00A4277C">
          <w:rPr>
            <w:rStyle w:val="Hyperlink"/>
          </w:rPr>
          <w:t>https://www.federalregister.gov/d/2018-24816</w:t>
        </w:r>
      </w:hyperlink>
      <w:r>
        <w:t>.</w:t>
      </w:r>
    </w:p>
  </w:footnote>
  <w:footnote w:id="284">
    <w:p w14:paraId="4772007B" w14:textId="77777777" w:rsidR="00E231DA" w:rsidRPr="00736616" w:rsidRDefault="00E231DA" w:rsidP="00D97E2B">
      <w:pPr>
        <w:pStyle w:val="FootnoteText"/>
      </w:pPr>
      <w:r w:rsidRPr="009B2DF9">
        <w:rPr>
          <w:rStyle w:val="FootnoteReference"/>
        </w:rPr>
        <w:footnoteRef/>
      </w:r>
      <w:r w:rsidRPr="00E73444">
        <w:t xml:space="preserve"> The State of New York is proposing more stringent summer ozone precursor (NO</w:t>
      </w:r>
      <w:r w:rsidRPr="00E73444">
        <w:rPr>
          <w:vertAlign w:val="subscript"/>
        </w:rPr>
        <w:t>X</w:t>
      </w:r>
      <w:r w:rsidRPr="00E73444">
        <w:t>) emission limits for peaking generating units, which will take effect between 2023 and 2025. Affected generators may meet the proposed limits, retire, or not run noncompliant units during the ozone season. They also could comply by meeting an average output-based emission limit, which includes renewables and storage, as a daily average emission rate.</w:t>
      </w:r>
      <w:r w:rsidRPr="009B2DF9">
        <w:t xml:space="preserve"> </w:t>
      </w:r>
      <w:r w:rsidRPr="00E73444">
        <w:t xml:space="preserve">New York Department of Environmental Conservation, </w:t>
      </w:r>
      <w:r w:rsidRPr="00E73444">
        <w:rPr>
          <w:i/>
        </w:rPr>
        <w:t>Proposed Part 227-3, Ozone Season Oxides of Nitrogen (NO</w:t>
      </w:r>
      <w:r w:rsidRPr="00E73444">
        <w:rPr>
          <w:i/>
          <w:vertAlign w:val="subscript"/>
        </w:rPr>
        <w:t>X</w:t>
      </w:r>
      <w:r w:rsidRPr="00E73444">
        <w:rPr>
          <w:i/>
        </w:rPr>
        <w:t>) Emission Limits for Simple Cycle and Regenerative Combustion Turbines</w:t>
      </w:r>
      <w:r w:rsidRPr="00E73444">
        <w:t xml:space="preserve"> (February 2019), </w:t>
      </w:r>
      <w:hyperlink r:id="rId256" w:history="1">
        <w:r w:rsidRPr="00E73444">
          <w:rPr>
            <w:rStyle w:val="Hyperlink"/>
          </w:rPr>
          <w:t>https://www.dec.ny.gov/regulations/116131.html</w:t>
        </w:r>
      </w:hyperlink>
      <w:r w:rsidRPr="00E73444">
        <w:t>.</w:t>
      </w:r>
    </w:p>
  </w:footnote>
  <w:footnote w:id="285">
    <w:p w14:paraId="7B89551B" w14:textId="0EA5FA19" w:rsidR="00E231DA" w:rsidRPr="00235C93" w:rsidRDefault="00E231DA" w:rsidP="00D97E2B">
      <w:pPr>
        <w:pStyle w:val="FootnoteText"/>
      </w:pPr>
      <w:r w:rsidRPr="00235C93">
        <w:rPr>
          <w:rStyle w:val="FootnoteReference"/>
        </w:rPr>
        <w:footnoteRef/>
      </w:r>
      <w:r w:rsidRPr="00235C93">
        <w:t xml:space="preserve"> EPA, </w:t>
      </w:r>
      <w:r w:rsidRPr="00235C93">
        <w:rPr>
          <w:i/>
        </w:rPr>
        <w:t>Implementation of the 2015 National Ambient Air Quality Standards for Ozone: Nonattainment Area State Implementation Plan Requirements</w:t>
      </w:r>
      <w:r w:rsidRPr="00235C93">
        <w:t xml:space="preserve">, final rule, 83 Fed. Reg. 62998 (December 6, 2018) </w:t>
      </w:r>
      <w:hyperlink r:id="rId257" w:history="1">
        <w:r w:rsidRPr="00235C93">
          <w:rPr>
            <w:rStyle w:val="Hyperlink"/>
          </w:rPr>
          <w:t>https://www.federalregister.gov/d/2018-25424</w:t>
        </w:r>
      </w:hyperlink>
      <w:r w:rsidRPr="0036237C">
        <w:t xml:space="preserve">; </w:t>
      </w:r>
      <w:r w:rsidRPr="0036237C">
        <w:rPr>
          <w:i/>
        </w:rPr>
        <w:t>National Ambient Air Quality Standards for Ozone</w:t>
      </w:r>
      <w:r w:rsidRPr="0036237C">
        <w:t>, final rule, 80</w:t>
      </w:r>
      <w:r>
        <w:t> </w:t>
      </w:r>
      <w:r w:rsidRPr="0036237C">
        <w:t xml:space="preserve">Fed. Reg. 65292 (October 26, 2015), </w:t>
      </w:r>
      <w:hyperlink r:id="rId258" w:history="1">
        <w:r w:rsidRPr="0036237C">
          <w:rPr>
            <w:rStyle w:val="Hyperlink"/>
          </w:rPr>
          <w:t>https://www.federalregister.gov/articles/2015/10/26/2015-26594/national-ambient-air-quality-standards-for-ozone</w:t>
        </w:r>
      </w:hyperlink>
      <w:r w:rsidRPr="0036237C">
        <w:t xml:space="preserve">. </w:t>
      </w:r>
    </w:p>
  </w:footnote>
  <w:footnote w:id="286">
    <w:p w14:paraId="4758E9DE" w14:textId="77777777" w:rsidR="00E231DA" w:rsidRPr="00261ED0" w:rsidRDefault="00E231DA" w:rsidP="00D97E2B">
      <w:pPr>
        <w:pStyle w:val="FootnoteText"/>
      </w:pPr>
      <w:r w:rsidRPr="00C675E0">
        <w:rPr>
          <w:rStyle w:val="FootnoteReference"/>
        </w:rPr>
        <w:footnoteRef/>
      </w:r>
      <w:r w:rsidRPr="00261ED0">
        <w:t xml:space="preserve"> The D.C. Circuit removed the case from its calendar, suspending it indefinitely, and directed EPA to file </w:t>
      </w:r>
      <w:r w:rsidRPr="00C675E0">
        <w:t>90-day status reports.</w:t>
      </w:r>
      <w:r>
        <w:t xml:space="preserve"> </w:t>
      </w:r>
      <w:r w:rsidRPr="00261ED0">
        <w:t xml:space="preserve">Anthracite Region Independent Power Producers Association (ARIPPA) v. EPA, No. 15-1180 order (April 27, 2017) (D.C. Circuit). </w:t>
      </w:r>
    </w:p>
  </w:footnote>
  <w:footnote w:id="287">
    <w:p w14:paraId="3910B806" w14:textId="60A35707" w:rsidR="00E231DA" w:rsidRPr="003A1975" w:rsidRDefault="00E231DA" w:rsidP="00D97E2B">
      <w:pPr>
        <w:pStyle w:val="FootnoteText"/>
      </w:pPr>
      <w:r w:rsidRPr="00261ED0">
        <w:rPr>
          <w:rStyle w:val="FootnoteReference"/>
        </w:rPr>
        <w:footnoteRef/>
      </w:r>
      <w:r w:rsidRPr="00261ED0">
        <w:t xml:space="preserve"> EPA, </w:t>
      </w:r>
      <w:r w:rsidRPr="00261ED0">
        <w:rPr>
          <w:i/>
        </w:rPr>
        <w:t xml:space="preserve">National Emission Standards for Hazardous Air Pollutants: Coal- and Oil-Fired Electric Utility Steam Generating </w:t>
      </w:r>
      <w:r w:rsidRPr="000D337B">
        <w:rPr>
          <w:i/>
        </w:rPr>
        <w:t>Units-Reconsideration of Supplemental Finding and Residual Risk and Technology Review</w:t>
      </w:r>
      <w:r w:rsidRPr="00261ED0">
        <w:t>, proposed rule, 84</w:t>
      </w:r>
      <w:r>
        <w:t> </w:t>
      </w:r>
      <w:r w:rsidRPr="00261ED0">
        <w:t xml:space="preserve">Fed. Reg. 2670 (February 7, 2019), </w:t>
      </w:r>
      <w:hyperlink r:id="rId259" w:history="1">
        <w:r w:rsidRPr="002350A8">
          <w:rPr>
            <w:rStyle w:val="Hyperlink"/>
          </w:rPr>
          <w:t>https://www.federalregister.gov/d/2019-00936</w:t>
        </w:r>
      </w:hyperlink>
      <w:r w:rsidRPr="00261ED0">
        <w:t>.</w:t>
      </w:r>
    </w:p>
  </w:footnote>
  <w:footnote w:id="288">
    <w:p w14:paraId="517097DE" w14:textId="77777777" w:rsidR="00E231DA" w:rsidRPr="003A1975" w:rsidRDefault="00E231DA" w:rsidP="00D97E2B">
      <w:pPr>
        <w:pStyle w:val="FootnoteText"/>
        <w:rPr>
          <w:szCs w:val="18"/>
        </w:rPr>
      </w:pPr>
      <w:r w:rsidRPr="000D337B">
        <w:rPr>
          <w:rStyle w:val="FootnoteReference"/>
          <w:sz w:val="18"/>
          <w:szCs w:val="18"/>
        </w:rPr>
        <w:footnoteRef/>
      </w:r>
      <w:r w:rsidRPr="00261ED0">
        <w:rPr>
          <w:szCs w:val="18"/>
        </w:rPr>
        <w:t xml:space="preserve"> </w:t>
      </w:r>
      <w:r w:rsidRPr="00261ED0">
        <w:rPr>
          <w:spacing w:val="-1"/>
          <w:szCs w:val="18"/>
        </w:rPr>
        <w:t>E</w:t>
      </w:r>
      <w:r w:rsidRPr="00261ED0">
        <w:rPr>
          <w:szCs w:val="18"/>
        </w:rPr>
        <w:t xml:space="preserve">PA developed standards under Section 112(d) to reduce hazardous air pollutant emissions from this source category. EPA, </w:t>
      </w:r>
      <w:r w:rsidRPr="00261ED0">
        <w:rPr>
          <w:i/>
          <w:szCs w:val="18"/>
        </w:rPr>
        <w:t>National Emission Standards for Hazardous Air Pollutants: Coal- and Oil-Fired Electric Utility Steam Generating Units</w:t>
      </w:r>
      <w:r w:rsidRPr="00261ED0">
        <w:rPr>
          <w:b/>
          <w:szCs w:val="18"/>
        </w:rPr>
        <w:t xml:space="preserve">, </w:t>
      </w:r>
      <w:r w:rsidRPr="00261ED0">
        <w:rPr>
          <w:szCs w:val="18"/>
        </w:rPr>
        <w:t xml:space="preserve">final rule, </w:t>
      </w:r>
      <w:r w:rsidRPr="00261ED0">
        <w:rPr>
          <w:spacing w:val="-1"/>
          <w:szCs w:val="18"/>
        </w:rPr>
        <w:t xml:space="preserve">77 FR 9304 (February 16, 2012). </w:t>
      </w:r>
    </w:p>
  </w:footnote>
  <w:footnote w:id="289">
    <w:p w14:paraId="677F09BF" w14:textId="77777777" w:rsidR="00E231DA" w:rsidRDefault="00E231DA" w:rsidP="00D97E2B">
      <w:pPr>
        <w:pStyle w:val="FootnoteText"/>
      </w:pPr>
      <w:r w:rsidRPr="006D0B06">
        <w:rPr>
          <w:rStyle w:val="FootnoteReference"/>
        </w:rPr>
        <w:footnoteRef/>
      </w:r>
      <w:r w:rsidRPr="00261ED0">
        <w:t xml:space="preserve"> </w:t>
      </w:r>
      <w:r>
        <w:t>For example, b</w:t>
      </w:r>
      <w:r w:rsidRPr="00261ED0">
        <w:rPr>
          <w:rStyle w:val="Hyperlink"/>
        </w:rPr>
        <w:t>eginning in 2018</w:t>
      </w:r>
      <w:r w:rsidRPr="00261ED0">
        <w:t xml:space="preserve">, </w:t>
      </w:r>
      <w:r>
        <w:t>Connecticut’s</w:t>
      </w:r>
      <w:r w:rsidRPr="00696503">
        <w:t xml:space="preserve"> </w:t>
      </w:r>
      <w:r w:rsidRPr="00582922">
        <w:rPr>
          <w:i/>
        </w:rPr>
        <w:t>NOx Emissions from Fuel-Burning Emission Units</w:t>
      </w:r>
      <w:r>
        <w:t xml:space="preserve"> regulations, section </w:t>
      </w:r>
      <w:r w:rsidRPr="00261ED0">
        <w:t>RCSA 22a-174-22e</w:t>
      </w:r>
      <w:r>
        <w:t>, requires</w:t>
      </w:r>
      <w:r w:rsidRPr="00261ED0">
        <w:t xml:space="preserve"> more stringent NO</w:t>
      </w:r>
      <w:r w:rsidRPr="002350A8">
        <w:rPr>
          <w:vertAlign w:val="subscript"/>
        </w:rPr>
        <w:t>X</w:t>
      </w:r>
      <w:r w:rsidRPr="00261ED0">
        <w:t xml:space="preserve"> emission limits for boilers, turbines</w:t>
      </w:r>
      <w:r w:rsidRPr="002350A8">
        <w:t>,</w:t>
      </w:r>
      <w:r w:rsidRPr="00261ED0">
        <w:t xml:space="preserve"> and engines located at major sources specific to each type of equipment</w:t>
      </w:r>
      <w:r w:rsidRPr="00812A7F">
        <w:t xml:space="preserve"> and fuel type</w:t>
      </w:r>
      <w:r>
        <w:t>, and RCSA 22a-174-22f requires smaller sources of NO</w:t>
      </w:r>
      <w:r w:rsidRPr="002350A8">
        <w:rPr>
          <w:vertAlign w:val="subscript"/>
        </w:rPr>
        <w:t>X</w:t>
      </w:r>
      <w:r>
        <w:t xml:space="preserve"> to maintain equipment in good operating condition, monitor daily emissions during the summer months, and to avoid exceeding daily emission limits. </w:t>
      </w:r>
      <w:r w:rsidRPr="00261ED0">
        <w:t>See Connecticut Department of Energy and Environmental Protection (CT DEEP)</w:t>
      </w:r>
      <w:r>
        <w:t>,</w:t>
      </w:r>
      <w:r w:rsidRPr="00261ED0">
        <w:t xml:space="preserve"> </w:t>
      </w:r>
      <w:r w:rsidRPr="00696503">
        <w:t>"</w:t>
      </w:r>
      <w:r w:rsidRPr="00582922">
        <w:t>Control of nitrogen oxides emissions from fuel-burning equipment at major stationary sources of nitrogen oxides</w:t>
      </w:r>
      <w:r w:rsidRPr="00696503">
        <w:t>," RCSA 22a-174-22e, and "</w:t>
      </w:r>
      <w:r w:rsidRPr="00582922">
        <w:t>High daily NOx emitting units at non-major sources of NOx,</w:t>
      </w:r>
      <w:r w:rsidRPr="00696503">
        <w:t>"</w:t>
      </w:r>
      <w:r>
        <w:t xml:space="preserve"> </w:t>
      </w:r>
      <w:r w:rsidRPr="00261ED0">
        <w:t>RCSA Section 22a-174-22f</w:t>
      </w:r>
      <w:r>
        <w:t xml:space="preserve"> (December 22, 2016), </w:t>
      </w:r>
      <w:r w:rsidRPr="00696503">
        <w:t xml:space="preserve">Connecticut eRegulations </w:t>
      </w:r>
      <w:r>
        <w:t>p</w:t>
      </w:r>
      <w:r w:rsidRPr="00696503">
        <w:t>orta</w:t>
      </w:r>
      <w:r>
        <w:t xml:space="preserve">l, </w:t>
      </w:r>
      <w:hyperlink r:id="rId260" w:history="1">
        <w:r w:rsidRPr="00696503">
          <w:rPr>
            <w:rStyle w:val="Hyperlink"/>
          </w:rPr>
          <w:t>https://eregulations.ct.gov/eRegsPortal/Search/RMRView/PR2015-193</w:t>
        </w:r>
      </w:hyperlink>
      <w:r w:rsidRPr="002350A8">
        <w:t>.</w:t>
      </w:r>
    </w:p>
  </w:footnote>
  <w:footnote w:id="290">
    <w:p w14:paraId="0FA5C606" w14:textId="77777777" w:rsidR="00E231DA" w:rsidRPr="00C20F2C" w:rsidRDefault="00E231DA" w:rsidP="00D97E2B">
      <w:pPr>
        <w:pStyle w:val="FootnoteText"/>
      </w:pPr>
      <w:r w:rsidRPr="00816BA6">
        <w:rPr>
          <w:rStyle w:val="FootnoteReference"/>
        </w:rPr>
        <w:footnoteRef/>
      </w:r>
      <w:r w:rsidRPr="00816BA6">
        <w:t xml:space="preserve"> For example, a new dual</w:t>
      </w:r>
      <w:r w:rsidRPr="002350A8">
        <w:t>-</w:t>
      </w:r>
      <w:r w:rsidRPr="00816BA6">
        <w:t>fuel combined</w:t>
      </w:r>
      <w:r w:rsidRPr="002350A8">
        <w:t>-</w:t>
      </w:r>
      <w:r w:rsidRPr="00816BA6">
        <w:t>cycle generator</w:t>
      </w:r>
      <w:r w:rsidRPr="002350A8">
        <w:t xml:space="preserve"> with a seasonal claimed capability greater than</w:t>
      </w:r>
      <w:r>
        <w:t xml:space="preserve"> </w:t>
      </w:r>
      <w:r w:rsidRPr="00C20F2C">
        <w:t>450</w:t>
      </w:r>
      <w:r>
        <w:t> </w:t>
      </w:r>
      <w:r w:rsidRPr="00C20F2C">
        <w:t>MW</w:t>
      </w:r>
      <w:r w:rsidRPr="00816BA6">
        <w:t xml:space="preserve"> is limited to a total of 500 hours of cold</w:t>
      </w:r>
      <w:r w:rsidRPr="00C20F2C">
        <w:t xml:space="preserve">, warm, </w:t>
      </w:r>
      <w:r>
        <w:t xml:space="preserve">and </w:t>
      </w:r>
      <w:r w:rsidRPr="00252699">
        <w:t>hot startups and shutdowns per calendar year; any fuel switching must be completed within 1 hour; all emissions during startup, sh</w:t>
      </w:r>
      <w:r w:rsidRPr="00554735">
        <w:t>utdown, steady-state, transient, and minimum operating load conditions count toward annual emission limits; and generators must shut down when they exceed any emissions limit that cannot be corrected within 3 hours.</w:t>
      </w:r>
    </w:p>
  </w:footnote>
  <w:footnote w:id="291">
    <w:p w14:paraId="65AA7B4A" w14:textId="77777777" w:rsidR="00E231DA" w:rsidRDefault="00E231DA" w:rsidP="00D97E2B">
      <w:pPr>
        <w:pStyle w:val="FootnoteText"/>
      </w:pPr>
      <w:r w:rsidRPr="00816BA6">
        <w:rPr>
          <w:rStyle w:val="FootnoteReference"/>
        </w:rPr>
        <w:footnoteRef/>
      </w:r>
      <w:r w:rsidRPr="00816BA6">
        <w:t xml:space="preserve"> EPA, </w:t>
      </w:r>
      <w:r w:rsidRPr="00816BA6">
        <w:rPr>
          <w:i/>
        </w:rPr>
        <w:t>Standards of Performance for Greenhouse Gas Emissions from New, Modified, and Reconstructed Stationary Sources: Electric Utility Generating Units</w:t>
      </w:r>
      <w:r w:rsidRPr="00816BA6">
        <w:t xml:space="preserve">, final rule, 80 FR 64509 (October 23, 2015), </w:t>
      </w:r>
      <w:hyperlink r:id="rId261" w:history="1">
        <w:r w:rsidRPr="00816BA6">
          <w:rPr>
            <w:rStyle w:val="Hyperlink"/>
          </w:rPr>
          <w:t>https://www.federalregister.gov/d/2015-22837</w:t>
        </w:r>
      </w:hyperlink>
      <w:r w:rsidRPr="00816BA6">
        <w:t>. On February 9, 2016, the US Supreme Court stayed the implementation of the CPP, pending completion of litigation, which was held in abeyance in April 2017 by the D.C. Circuit Court of Appeals. In March 2017, an executive order directed EPA to review the CPP and 111(b) Standards of Performance for Greenhouse Gas Emissions for Power Plants and suspend, revise, or rescind the final rules and associated guidance and memoranda, subject to all applicable legal requirements.</w:t>
      </w:r>
    </w:p>
  </w:footnote>
  <w:footnote w:id="292">
    <w:p w14:paraId="5848BF0A" w14:textId="77777777" w:rsidR="00E231DA" w:rsidRPr="00816BA6" w:rsidRDefault="00E231DA" w:rsidP="00D97E2B">
      <w:pPr>
        <w:pStyle w:val="FootnoteText"/>
      </w:pPr>
      <w:r w:rsidRPr="00302ADC">
        <w:rPr>
          <w:rStyle w:val="FootnoteReference"/>
        </w:rPr>
        <w:footnoteRef/>
      </w:r>
      <w:r w:rsidRPr="00816BA6">
        <w:t xml:space="preserve"> EPA, </w:t>
      </w:r>
      <w:r w:rsidRPr="00816BA6">
        <w:rPr>
          <w:i/>
        </w:rPr>
        <w:t>Repeal of Carbon Pollution Emission Guidelines for Existing Stationary Sources: Electric Utility Generating Units</w:t>
      </w:r>
      <w:r w:rsidRPr="00816BA6">
        <w:t xml:space="preserve">, proposed rule (October 16, 2017), 82 Fed. Reg. 48035, </w:t>
      </w:r>
      <w:hyperlink r:id="rId262" w:history="1">
        <w:r w:rsidRPr="002350A8">
          <w:rPr>
            <w:rStyle w:val="Hyperlink"/>
          </w:rPr>
          <w:t>https://www.federalregister.gov/d/2017-22349</w:t>
        </w:r>
      </w:hyperlink>
      <w:r w:rsidRPr="00816BA6">
        <w:t>.</w:t>
      </w:r>
    </w:p>
  </w:footnote>
  <w:footnote w:id="293">
    <w:p w14:paraId="79D5D7D1" w14:textId="77777777" w:rsidR="00E231DA" w:rsidRDefault="00E231DA" w:rsidP="00F864C2">
      <w:pPr>
        <w:pStyle w:val="FootnoteText"/>
      </w:pPr>
      <w:r>
        <w:rPr>
          <w:rStyle w:val="FootnoteReference"/>
        </w:rPr>
        <w:footnoteRef/>
      </w:r>
      <w:r>
        <w:t xml:space="preserve"> The </w:t>
      </w:r>
      <w:r w:rsidRPr="00010B2B">
        <w:t>ACE establishes heat</w:t>
      </w:r>
      <w:r>
        <w:t>-</w:t>
      </w:r>
      <w:r w:rsidRPr="00010B2B">
        <w:t xml:space="preserve">rate improvement, or efficiency improvement, as the best system </w:t>
      </w:r>
      <w:r>
        <w:t>for</w:t>
      </w:r>
      <w:r w:rsidRPr="00010B2B">
        <w:t xml:space="preserve"> </w:t>
      </w:r>
      <w:r>
        <w:t>reducing CO</w:t>
      </w:r>
      <w:r w:rsidRPr="00EB5207">
        <w:rPr>
          <w:vertAlign w:val="subscript"/>
        </w:rPr>
        <w:t>2</w:t>
      </w:r>
      <w:r>
        <w:t xml:space="preserve"> </w:t>
      </w:r>
      <w:r w:rsidRPr="00010B2B">
        <w:t xml:space="preserve">emissions from coal-fired </w:t>
      </w:r>
      <w:r>
        <w:t>generators</w:t>
      </w:r>
      <w:r w:rsidRPr="00010B2B">
        <w:t>.</w:t>
      </w:r>
      <w:r>
        <w:t xml:space="preserve"> EPA. “Affordable Clean Energy Rule,” webpage (2019), </w:t>
      </w:r>
      <w:hyperlink r:id="rId263" w:history="1">
        <w:r>
          <w:rPr>
            <w:rStyle w:val="Hyperlink"/>
          </w:rPr>
          <w:t>https://www.epa.gov/stationary-sources-air-pollution/affordable-clean-energy-rule</w:t>
        </w:r>
      </w:hyperlink>
      <w:r>
        <w:t xml:space="preserve">. </w:t>
      </w:r>
    </w:p>
  </w:footnote>
  <w:footnote w:id="294">
    <w:p w14:paraId="1BC5706D" w14:textId="77777777" w:rsidR="00E231DA" w:rsidRPr="003A1975" w:rsidRDefault="00E231DA" w:rsidP="00D97E2B">
      <w:pPr>
        <w:pStyle w:val="FootnoteText"/>
      </w:pPr>
      <w:r w:rsidRPr="0046500A">
        <w:rPr>
          <w:rStyle w:val="FootnoteReference"/>
        </w:rPr>
        <w:footnoteRef/>
      </w:r>
      <w:r w:rsidRPr="001E4783">
        <w:t xml:space="preserve"> </w:t>
      </w:r>
      <w:r>
        <w:t xml:space="preserve">See, for example: </w:t>
      </w:r>
      <w:r w:rsidRPr="001E4783">
        <w:t xml:space="preserve">State of Massachusetts, </w:t>
      </w:r>
      <w:r w:rsidRPr="001E4783">
        <w:rPr>
          <w:i/>
        </w:rPr>
        <w:t>Reducing CO</w:t>
      </w:r>
      <w:r w:rsidRPr="001E4783">
        <w:rPr>
          <w:i/>
          <w:vertAlign w:val="subscript"/>
        </w:rPr>
        <w:t>2</w:t>
      </w:r>
      <w:r w:rsidRPr="001E4783">
        <w:rPr>
          <w:i/>
        </w:rPr>
        <w:t xml:space="preserve"> Emissions from Electricity Generating Units</w:t>
      </w:r>
      <w:r w:rsidRPr="001E4783">
        <w:t xml:space="preserve">, 310 CMR 7.74, (as amended August 2018), </w:t>
      </w:r>
      <w:hyperlink r:id="rId264" w:history="1">
        <w:r w:rsidRPr="001E4783">
          <w:rPr>
            <w:rStyle w:val="Hyperlink"/>
          </w:rPr>
          <w:t>https://www.mass.gov/guides/electricity-generator-emissions-limits-310-cmr-774</w:t>
        </w:r>
      </w:hyperlink>
      <w:r w:rsidRPr="001E4783">
        <w:t xml:space="preserve">, and </w:t>
      </w:r>
      <w:r w:rsidRPr="001E4783">
        <w:rPr>
          <w:i/>
        </w:rPr>
        <w:t xml:space="preserve">An Act to Advance Clean Energy. Chapter 227 of the Acts of 2018 </w:t>
      </w:r>
      <w:r w:rsidRPr="001E4783">
        <w:t xml:space="preserve">(August 9, 2018), </w:t>
      </w:r>
      <w:hyperlink r:id="rId265" w:history="1">
        <w:r w:rsidRPr="001E4783">
          <w:rPr>
            <w:rStyle w:val="Hyperlink"/>
          </w:rPr>
          <w:t>https://www.mass.gov/service-details/clean-peak-energy-standard</w:t>
        </w:r>
      </w:hyperlink>
      <w:r>
        <w:t xml:space="preserve">. Also see: </w:t>
      </w:r>
      <w:r w:rsidRPr="001E4783">
        <w:t>B</w:t>
      </w:r>
      <w:r>
        <w:t>rook Detterman</w:t>
      </w:r>
      <w:r w:rsidRPr="001E4783">
        <w:t>, “Will Massachusetts and Other Northeastern States Move to Aggressively Price Carbon Emissions?,” web article (</w:t>
      </w:r>
      <w:r>
        <w:t xml:space="preserve">Beveridge and Diamond, </w:t>
      </w:r>
      <w:r w:rsidRPr="001E4783">
        <w:t xml:space="preserve">February 27, 2019), </w:t>
      </w:r>
      <w:hyperlink r:id="rId266" w:history="1">
        <w:r w:rsidRPr="001E4783">
          <w:rPr>
            <w:rStyle w:val="Hyperlink"/>
          </w:rPr>
          <w:t>https://www.bdlaw.com/air-climate-change/publications/will-massachusetts-and-other-northeastern-states-move-to-aggressively-price-carbon-emissions/</w:t>
        </w:r>
      </w:hyperlink>
      <w:r w:rsidRPr="001E4783">
        <w:t xml:space="preserve">. </w:t>
      </w:r>
    </w:p>
  </w:footnote>
  <w:footnote w:id="295">
    <w:p w14:paraId="0076D70D" w14:textId="77777777" w:rsidR="00E231DA" w:rsidRPr="00753969" w:rsidRDefault="00E231DA" w:rsidP="00D97E2B">
      <w:pPr>
        <w:pStyle w:val="NormalWeb"/>
        <w:spacing w:before="0" w:beforeAutospacing="0" w:after="80" w:afterAutospacing="0"/>
        <w:rPr>
          <w:sz w:val="18"/>
          <w:szCs w:val="18"/>
        </w:rPr>
      </w:pPr>
      <w:r w:rsidRPr="00C65CC3">
        <w:rPr>
          <w:rStyle w:val="FootnoteReference"/>
          <w:sz w:val="18"/>
          <w:szCs w:val="18"/>
        </w:rPr>
        <w:footnoteRef/>
      </w:r>
      <w:r w:rsidRPr="00F300A2">
        <w:rPr>
          <w:sz w:val="18"/>
          <w:szCs w:val="18"/>
        </w:rPr>
        <w:t xml:space="preserve"> State of Massachusetts, </w:t>
      </w:r>
      <w:r w:rsidRPr="00F300A2">
        <w:rPr>
          <w:i/>
          <w:sz w:val="18"/>
          <w:szCs w:val="18"/>
        </w:rPr>
        <w:t>Reducing CO</w:t>
      </w:r>
      <w:r w:rsidRPr="00F300A2">
        <w:rPr>
          <w:i/>
          <w:sz w:val="18"/>
          <w:szCs w:val="18"/>
          <w:vertAlign w:val="subscript"/>
        </w:rPr>
        <w:t>2</w:t>
      </w:r>
      <w:r w:rsidRPr="00F300A2">
        <w:rPr>
          <w:i/>
          <w:sz w:val="18"/>
          <w:szCs w:val="18"/>
        </w:rPr>
        <w:t xml:space="preserve"> Emissions from Electricity Generating Units</w:t>
      </w:r>
      <w:r w:rsidRPr="00F300A2">
        <w:rPr>
          <w:sz w:val="18"/>
          <w:szCs w:val="18"/>
        </w:rPr>
        <w:t xml:space="preserve">, 310 CMR 7.74, </w:t>
      </w:r>
      <w:r w:rsidRPr="00F300A2">
        <w:rPr>
          <w:rStyle w:val="Hyperlink"/>
          <w:sz w:val="18"/>
          <w:szCs w:val="18"/>
        </w:rPr>
        <w:t>(</w:t>
      </w:r>
      <w:r w:rsidRPr="00F300A2">
        <w:rPr>
          <w:sz w:val="18"/>
          <w:szCs w:val="18"/>
        </w:rPr>
        <w:t xml:space="preserve">as amended, August 2018), </w:t>
      </w:r>
      <w:hyperlink r:id="rId267" w:history="1">
        <w:r w:rsidRPr="00F300A2">
          <w:rPr>
            <w:rStyle w:val="Hyperlink"/>
            <w:sz w:val="18"/>
            <w:szCs w:val="18"/>
          </w:rPr>
          <w:t>https://www.mass.gov/guides/electricity-generator-emissions-limits-310-cmr-774</w:t>
        </w:r>
      </w:hyperlink>
      <w:r w:rsidRPr="00F300A2">
        <w:rPr>
          <w:rStyle w:val="Hyperlink"/>
          <w:sz w:val="18"/>
          <w:szCs w:val="18"/>
        </w:rPr>
        <w:t xml:space="preserve">; and </w:t>
      </w:r>
      <w:r w:rsidRPr="00F300A2">
        <w:rPr>
          <w:i/>
          <w:sz w:val="18"/>
          <w:szCs w:val="18"/>
        </w:rPr>
        <w:t xml:space="preserve">An Act to Advance Clean Energy. Chapter 227 of the Acts of 2018 </w:t>
      </w:r>
      <w:r w:rsidRPr="00F300A2">
        <w:rPr>
          <w:sz w:val="18"/>
          <w:szCs w:val="18"/>
        </w:rPr>
        <w:t xml:space="preserve">(August 9, 2018), </w:t>
      </w:r>
      <w:hyperlink r:id="rId268" w:history="1">
        <w:r w:rsidRPr="00972909">
          <w:rPr>
            <w:rStyle w:val="Hyperlink"/>
            <w:sz w:val="18"/>
            <w:szCs w:val="18"/>
          </w:rPr>
          <w:t>https://www.mass.gov/service-details/clean-peak-energy-standard</w:t>
        </w:r>
      </w:hyperlink>
      <w:r w:rsidRPr="00972909">
        <w:rPr>
          <w:sz w:val="18"/>
          <w:szCs w:val="18"/>
        </w:rPr>
        <w:t>.</w:t>
      </w:r>
    </w:p>
  </w:footnote>
  <w:footnote w:id="296">
    <w:p w14:paraId="6A24ABD7" w14:textId="19112035" w:rsidR="00E231DA" w:rsidRPr="00753969" w:rsidRDefault="00E231DA" w:rsidP="00D97E2B">
      <w:pPr>
        <w:pStyle w:val="NormalWeb"/>
        <w:spacing w:before="0" w:beforeAutospacing="0" w:after="80" w:afterAutospacing="0"/>
        <w:rPr>
          <w:sz w:val="18"/>
          <w:szCs w:val="18"/>
        </w:rPr>
      </w:pPr>
      <w:r w:rsidRPr="00A10741">
        <w:rPr>
          <w:rStyle w:val="FootnoteReference"/>
          <w:sz w:val="18"/>
          <w:szCs w:val="18"/>
        </w:rPr>
        <w:footnoteRef/>
      </w:r>
      <w:r>
        <w:rPr>
          <w:sz w:val="18"/>
          <w:szCs w:val="18"/>
        </w:rPr>
        <w:t xml:space="preserve"> </w:t>
      </w:r>
      <w:r w:rsidRPr="001B7DD2">
        <w:rPr>
          <w:sz w:val="18"/>
          <w:szCs w:val="18"/>
        </w:rPr>
        <w:t>The RGGI CO</w:t>
      </w:r>
      <w:r w:rsidRPr="00CB36BD">
        <w:rPr>
          <w:sz w:val="18"/>
          <w:szCs w:val="18"/>
          <w:vertAlign w:val="subscript"/>
        </w:rPr>
        <w:t>2</w:t>
      </w:r>
      <w:r w:rsidRPr="001B7DD2">
        <w:rPr>
          <w:sz w:val="18"/>
          <w:szCs w:val="18"/>
        </w:rPr>
        <w:t xml:space="preserve"> budget (cap) is equal to the total number of CO</w:t>
      </w:r>
      <w:r w:rsidRPr="00CB36BD">
        <w:rPr>
          <w:sz w:val="18"/>
          <w:szCs w:val="18"/>
          <w:vertAlign w:val="subscript"/>
        </w:rPr>
        <w:t>2</w:t>
      </w:r>
      <w:r w:rsidRPr="001B7DD2">
        <w:rPr>
          <w:sz w:val="18"/>
          <w:szCs w:val="18"/>
        </w:rPr>
        <w:t xml:space="preserve"> allowances issued by RGGI states in a given year. A CO</w:t>
      </w:r>
      <w:r w:rsidRPr="00CB36BD">
        <w:rPr>
          <w:sz w:val="18"/>
          <w:szCs w:val="18"/>
          <w:vertAlign w:val="subscript"/>
        </w:rPr>
        <w:t>2</w:t>
      </w:r>
      <w:r w:rsidRPr="001B7DD2">
        <w:rPr>
          <w:sz w:val="18"/>
          <w:szCs w:val="18"/>
        </w:rPr>
        <w:t xml:space="preserve"> allowance represents a limited authorization for an affected RGGI electric power generating unit to emit one short ton of CO</w:t>
      </w:r>
      <w:r w:rsidRPr="00CB36BD">
        <w:rPr>
          <w:sz w:val="18"/>
          <w:szCs w:val="18"/>
          <w:vertAlign w:val="subscript"/>
        </w:rPr>
        <w:t>2</w:t>
      </w:r>
      <w:r w:rsidRPr="001B7DD2">
        <w:rPr>
          <w:sz w:val="18"/>
          <w:szCs w:val="18"/>
        </w:rPr>
        <w:t>, as issued by a participating state.</w:t>
      </w:r>
      <w:r>
        <w:rPr>
          <w:sz w:val="18"/>
          <w:szCs w:val="18"/>
        </w:rPr>
        <w:t xml:space="preserve"> </w:t>
      </w:r>
      <w:r w:rsidRPr="001B7DD2">
        <w:rPr>
          <w:sz w:val="18"/>
          <w:szCs w:val="18"/>
        </w:rPr>
        <w:t xml:space="preserve">RGGI Market Monitor, </w:t>
      </w:r>
      <w:r w:rsidRPr="00546E2D">
        <w:rPr>
          <w:i/>
          <w:sz w:val="18"/>
          <w:szCs w:val="18"/>
        </w:rPr>
        <w:t xml:space="preserve">Report on the </w:t>
      </w:r>
      <w:r w:rsidRPr="00CB36BD">
        <w:rPr>
          <w:i/>
          <w:sz w:val="18"/>
          <w:szCs w:val="18"/>
        </w:rPr>
        <w:t>Secondary Market for RGGI CO</w:t>
      </w:r>
      <w:r w:rsidRPr="00CB36BD">
        <w:rPr>
          <w:i/>
          <w:sz w:val="18"/>
          <w:szCs w:val="18"/>
          <w:vertAlign w:val="subscript"/>
        </w:rPr>
        <w:t>2</w:t>
      </w:r>
      <w:r w:rsidRPr="00CB36BD">
        <w:rPr>
          <w:i/>
          <w:sz w:val="18"/>
          <w:szCs w:val="18"/>
        </w:rPr>
        <w:t xml:space="preserve"> </w:t>
      </w:r>
      <w:r w:rsidRPr="00385C25">
        <w:rPr>
          <w:i/>
          <w:sz w:val="18"/>
          <w:szCs w:val="18"/>
        </w:rPr>
        <w:t>Allowances: Fourth Quarter 2018</w:t>
      </w:r>
      <w:r w:rsidRPr="001B7DD2">
        <w:rPr>
          <w:sz w:val="18"/>
          <w:szCs w:val="18"/>
        </w:rPr>
        <w:t xml:space="preserve"> (February 2019), </w:t>
      </w:r>
      <w:hyperlink r:id="rId269" w:history="1">
        <w:r w:rsidRPr="00FD79B5">
          <w:rPr>
            <w:rStyle w:val="Hyperlink"/>
            <w:sz w:val="18"/>
            <w:szCs w:val="18"/>
          </w:rPr>
          <w:t>https://www.rggi.org/sites/default/files/Uploads/Market-Monitor/Quarterly-Reports/MM_Secondary_Market_Report_2018_Q4.pdf</w:t>
        </w:r>
      </w:hyperlink>
      <w:r w:rsidRPr="00753969">
        <w:rPr>
          <w:sz w:val="18"/>
          <w:szCs w:val="18"/>
        </w:rPr>
        <w:t>.</w:t>
      </w:r>
      <w:r w:rsidRPr="00753969">
        <w:t xml:space="preserve"> </w:t>
      </w:r>
      <w:r w:rsidRPr="00753969">
        <w:rPr>
          <w:sz w:val="18"/>
          <w:szCs w:val="18"/>
        </w:rPr>
        <w:t>Also see: RGGI, Inc., “Program Overview,” webpage (</w:t>
      </w:r>
      <w:r>
        <w:rPr>
          <w:sz w:val="18"/>
          <w:szCs w:val="18"/>
        </w:rPr>
        <w:t>2019</w:t>
      </w:r>
      <w:r w:rsidRPr="00753969">
        <w:rPr>
          <w:sz w:val="18"/>
          <w:szCs w:val="18"/>
        </w:rPr>
        <w:t xml:space="preserve">), </w:t>
      </w:r>
      <w:hyperlink r:id="rId270" w:history="1">
        <w:r w:rsidRPr="00753969">
          <w:rPr>
            <w:rStyle w:val="Hyperlink"/>
            <w:sz w:val="18"/>
            <w:szCs w:val="18"/>
          </w:rPr>
          <w:t>https://www.rggi.org/design/overview</w:t>
        </w:r>
      </w:hyperlink>
      <w:r w:rsidRPr="00753969">
        <w:rPr>
          <w:sz w:val="18"/>
          <w:szCs w:val="18"/>
        </w:rPr>
        <w:t>.</w:t>
      </w:r>
    </w:p>
  </w:footnote>
  <w:footnote w:id="297">
    <w:p w14:paraId="1BE15810" w14:textId="3925DDD6" w:rsidR="00E231DA" w:rsidRPr="0081696B" w:rsidRDefault="00E231DA" w:rsidP="00D97E2B">
      <w:pPr>
        <w:pStyle w:val="FootnoteText"/>
      </w:pPr>
      <w:r w:rsidRPr="0081696B">
        <w:rPr>
          <w:rStyle w:val="FootnoteReference"/>
          <w:sz w:val="18"/>
          <w:szCs w:val="18"/>
        </w:rPr>
        <w:footnoteRef/>
      </w:r>
      <w:r w:rsidRPr="0081696B">
        <w:rPr>
          <w:szCs w:val="18"/>
        </w:rPr>
        <w:t xml:space="preserve"> </w:t>
      </w:r>
      <w:r w:rsidRPr="0081696B">
        <w:t xml:space="preserve">Northeast States for Coordinated Air Use Management (NESCAUM), </w:t>
      </w:r>
      <w:r w:rsidRPr="0081696B">
        <w:rPr>
          <w:i/>
        </w:rPr>
        <w:t>Greenhouse Gas Mitigation Analysis for New England</w:t>
      </w:r>
      <w:r w:rsidRPr="0081696B">
        <w:t xml:space="preserve">, white paper (September 2018), </w:t>
      </w:r>
      <w:r>
        <w:t xml:space="preserve">p. 4, </w:t>
      </w:r>
      <w:hyperlink r:id="rId271" w:history="1">
        <w:r w:rsidRPr="007D3FD7">
          <w:rPr>
            <w:rStyle w:val="Hyperlink"/>
          </w:rPr>
          <w:t>https://www.nescaum.org/documents/nescaum-ghg-mitigation-analysis-new-england-201808-rev.pdf/</w:t>
        </w:r>
      </w:hyperlink>
      <w:r w:rsidRPr="0081696B">
        <w:t>.</w:t>
      </w:r>
    </w:p>
  </w:footnote>
  <w:footnote w:id="298">
    <w:p w14:paraId="2EFC0D8B" w14:textId="2F2A9D9E" w:rsidR="00E231DA" w:rsidRPr="005B7CED" w:rsidRDefault="00E231DA" w:rsidP="00D97E2B">
      <w:pPr>
        <w:pStyle w:val="FootnoteText"/>
      </w:pPr>
      <w:r w:rsidRPr="003E246A">
        <w:rPr>
          <w:rStyle w:val="FootnoteReference"/>
        </w:rPr>
        <w:footnoteRef/>
      </w:r>
      <w:r w:rsidRPr="00A10741">
        <w:t xml:space="preserve"> </w:t>
      </w:r>
      <w:r>
        <w:t xml:space="preserve">Beginning in 2021, </w:t>
      </w:r>
      <w:r w:rsidRPr="003E246A">
        <w:t xml:space="preserve">existing electric generating units </w:t>
      </w:r>
      <w:r>
        <w:t>in New York will need to meet</w:t>
      </w:r>
      <w:r w:rsidRPr="003E246A">
        <w:t xml:space="preserve"> CO</w:t>
      </w:r>
      <w:r w:rsidRPr="003E246A">
        <w:rPr>
          <w:vertAlign w:val="subscript"/>
        </w:rPr>
        <w:t>2</w:t>
      </w:r>
      <w:r w:rsidRPr="003E246A">
        <w:t xml:space="preserve"> emissions standards of either 1,800 lbs/MWh gross electrical output or 180</w:t>
      </w:r>
      <w:r>
        <w:t> </w:t>
      </w:r>
      <w:r w:rsidRPr="003E246A">
        <w:t>lbs/MMB</w:t>
      </w:r>
      <w:r>
        <w:t>t</w:t>
      </w:r>
      <w:r w:rsidRPr="003E246A">
        <w:t>u</w:t>
      </w:r>
      <w:r>
        <w:t xml:space="preserve"> or retire.</w:t>
      </w:r>
      <w:r w:rsidRPr="003E246A">
        <w:t xml:space="preserve"> According to </w:t>
      </w:r>
      <w:r>
        <w:t>the New York Department of Conservation (</w:t>
      </w:r>
      <w:r w:rsidRPr="003E246A">
        <w:t>N</w:t>
      </w:r>
      <w:r w:rsidRPr="00D66853">
        <w:t>Y</w:t>
      </w:r>
      <w:r w:rsidRPr="003E246A">
        <w:t xml:space="preserve"> DEC</w:t>
      </w:r>
      <w:r>
        <w:t>)</w:t>
      </w:r>
      <w:r w:rsidRPr="003E246A">
        <w:t>, Part 251 will prevent the operation of high-carbon sources of energy, such as coal-fired generating units that do not u</w:t>
      </w:r>
      <w:r w:rsidRPr="00D66853">
        <w:t>se</w:t>
      </w:r>
      <w:r w:rsidRPr="003E246A">
        <w:t xml:space="preserve"> </w:t>
      </w:r>
      <w:r w:rsidRPr="005B7CED">
        <w:t>carbon capture and sequestration or some other advanced CO</w:t>
      </w:r>
      <w:r w:rsidRPr="005B7CED">
        <w:rPr>
          <w:vertAlign w:val="subscript"/>
        </w:rPr>
        <w:t>2</w:t>
      </w:r>
      <w:r w:rsidRPr="005B7CED">
        <w:t xml:space="preserve"> emission-reduction technology.</w:t>
      </w:r>
      <w:r w:rsidRPr="008C7EF8">
        <w:t xml:space="preserve"> NY DEC, </w:t>
      </w:r>
      <w:r w:rsidRPr="00B31FEF">
        <w:rPr>
          <w:i/>
        </w:rPr>
        <w:t>Part 251, CO</w:t>
      </w:r>
      <w:r w:rsidRPr="00B31FEF">
        <w:rPr>
          <w:i/>
          <w:vertAlign w:val="subscript"/>
        </w:rPr>
        <w:t>2</w:t>
      </w:r>
      <w:r w:rsidRPr="00B31FEF">
        <w:rPr>
          <w:i/>
        </w:rPr>
        <w:t xml:space="preserve"> Performance Standards for Major Electric Generating Facilities</w:t>
      </w:r>
      <w:r w:rsidRPr="008C7EF8">
        <w:t xml:space="preserve"> (May 9, 2019), </w:t>
      </w:r>
      <w:hyperlink r:id="rId272" w:history="1">
        <w:r w:rsidRPr="00A01B23">
          <w:rPr>
            <w:rStyle w:val="Hyperlink"/>
          </w:rPr>
          <w:t>https://www.dec.ny.gov/regulations/113544.html</w:t>
        </w:r>
      </w:hyperlink>
      <w:r w:rsidRPr="008C7EF8">
        <w:t>.</w:t>
      </w:r>
    </w:p>
  </w:footnote>
  <w:footnote w:id="299">
    <w:p w14:paraId="16A05C06" w14:textId="77777777" w:rsidR="00E231DA" w:rsidRDefault="00E231DA" w:rsidP="00D97E2B">
      <w:pPr>
        <w:pStyle w:val="FootnoteText"/>
      </w:pPr>
      <w:r w:rsidRPr="005B7CED">
        <w:rPr>
          <w:rStyle w:val="FootnoteReference"/>
        </w:rPr>
        <w:footnoteRef/>
      </w:r>
      <w:r w:rsidRPr="005B7CED">
        <w:t xml:space="preserve"> RGGI, Inc., </w:t>
      </w:r>
      <w:r w:rsidRPr="005B7CED">
        <w:rPr>
          <w:i/>
        </w:rPr>
        <w:t>Annual Report on the Market for RGGI CO</w:t>
      </w:r>
      <w:r w:rsidRPr="005B7CED">
        <w:rPr>
          <w:i/>
          <w:vertAlign w:val="subscript"/>
        </w:rPr>
        <w:t>2</w:t>
      </w:r>
      <w:r w:rsidRPr="005B7CED">
        <w:rPr>
          <w:i/>
        </w:rPr>
        <w:t xml:space="preserve"> Allowances: 2018</w:t>
      </w:r>
      <w:r w:rsidRPr="005B7CED">
        <w:t xml:space="preserve"> (April 2019), p. 7, </w:t>
      </w:r>
      <w:hyperlink r:id="rId273" w:history="1">
        <w:r w:rsidRPr="005B7CED">
          <w:rPr>
            <w:color w:val="000000"/>
          </w:rPr>
          <w:t>https://www.rggi.org/sites/default/files/Uploads/Market-Monitor/Annual-Reports/MM_2018_Annual_Report.pdf</w:t>
        </w:r>
      </w:hyperlink>
      <w:r w:rsidRPr="005B7CED">
        <w:t>.</w:t>
      </w:r>
    </w:p>
  </w:footnote>
  <w:footnote w:id="300">
    <w:p w14:paraId="20F71372" w14:textId="2A8FE0DE" w:rsidR="00E231DA" w:rsidRPr="003F4544" w:rsidRDefault="00E231DA" w:rsidP="00D97E2B">
      <w:pPr>
        <w:pStyle w:val="FootnoteText"/>
        <w:rPr>
          <w:szCs w:val="18"/>
        </w:rPr>
      </w:pPr>
      <w:r w:rsidRPr="003F4544">
        <w:rPr>
          <w:rStyle w:val="FootnoteReference"/>
          <w:sz w:val="18"/>
          <w:szCs w:val="18"/>
        </w:rPr>
        <w:footnoteRef/>
      </w:r>
      <w:r w:rsidRPr="00BC477E">
        <w:rPr>
          <w:szCs w:val="18"/>
        </w:rPr>
        <w:t xml:space="preserve"> </w:t>
      </w:r>
      <w:r w:rsidRPr="00BC477E">
        <w:t>RGGI, Inc., “2017 Program Review,” webpage (</w:t>
      </w:r>
      <w:r>
        <w:t>2019</w:t>
      </w:r>
      <w:r w:rsidRPr="00BC477E">
        <w:t xml:space="preserve">), </w:t>
      </w:r>
      <w:hyperlink r:id="rId274" w:history="1">
        <w:r w:rsidRPr="009D5B3E">
          <w:rPr>
            <w:rStyle w:val="Hyperlink"/>
          </w:rPr>
          <w:t>https://www.rggi.org/program-overview-and-design/program-review</w:t>
        </w:r>
      </w:hyperlink>
      <w:r w:rsidRPr="009D5B3E">
        <w:t xml:space="preserve"> and “Principles to Accompany Model Rule Amendments” </w:t>
      </w:r>
      <w:r w:rsidRPr="002350A8">
        <w:t xml:space="preserve">(December 19, 2017), </w:t>
      </w:r>
      <w:hyperlink r:id="rId275" w:history="1">
        <w:r w:rsidRPr="009D5B3E">
          <w:rPr>
            <w:rStyle w:val="Hyperlink"/>
          </w:rPr>
          <w:t>https://www.rggi.org/sites/default/files/Uploads/Program-Review/12-19-2017/Principles_Accompanying_Model_Rule.pdf</w:t>
        </w:r>
      </w:hyperlink>
      <w:r w:rsidRPr="002350A8">
        <w:t xml:space="preserve">. </w:t>
      </w:r>
    </w:p>
  </w:footnote>
  <w:footnote w:id="301">
    <w:p w14:paraId="41B1B7E8" w14:textId="77777777" w:rsidR="00E231DA" w:rsidRDefault="00E231DA" w:rsidP="00D97E2B">
      <w:pPr>
        <w:pStyle w:val="FootnoteText"/>
      </w:pPr>
      <w:r w:rsidRPr="00D25825">
        <w:rPr>
          <w:rStyle w:val="FootnoteReference"/>
        </w:rPr>
        <w:footnoteRef/>
      </w:r>
      <w:r w:rsidRPr="00D25825">
        <w:t xml:space="preserve"> An </w:t>
      </w:r>
      <w:r w:rsidRPr="00537437">
        <w:rPr>
          <w:i/>
        </w:rPr>
        <w:t>emissions</w:t>
      </w:r>
      <w:r>
        <w:rPr>
          <w:i/>
        </w:rPr>
        <w:t>-</w:t>
      </w:r>
      <w:r w:rsidRPr="00537437">
        <w:rPr>
          <w:i/>
        </w:rPr>
        <w:t>containment reserve</w:t>
      </w:r>
      <w:r w:rsidRPr="00A26BA2">
        <w:t xml:space="preserve"> is a quantity of allowances that will be permanently withheld from circulation to secure additional emission reductions if auction prices fall below a preset trigger price. Allowances withheld in this way will not be reoffered for sale in a future auction.</w:t>
      </w:r>
      <w:r w:rsidRPr="00537437">
        <w:t xml:space="preserve"> Maine and New Hampshire do not intend to implement an ECR.</w:t>
      </w:r>
    </w:p>
  </w:footnote>
  <w:footnote w:id="302">
    <w:p w14:paraId="59E921A9" w14:textId="77777777" w:rsidR="00E231DA" w:rsidRPr="00C66C4E" w:rsidRDefault="00E231DA" w:rsidP="00D97E2B">
      <w:pPr>
        <w:pStyle w:val="FootnoteText"/>
      </w:pPr>
      <w:r w:rsidRPr="00285F56">
        <w:rPr>
          <w:rStyle w:val="FootnoteReference"/>
        </w:rPr>
        <w:footnoteRef/>
      </w:r>
      <w:r w:rsidRPr="00285F56">
        <w:t xml:space="preserve"> The </w:t>
      </w:r>
      <w:r w:rsidRPr="002350A8">
        <w:t xml:space="preserve">$13.00 </w:t>
      </w:r>
      <w:r w:rsidRPr="00285F56">
        <w:t xml:space="preserve">CCR trigger price </w:t>
      </w:r>
      <w:r>
        <w:t>for</w:t>
      </w:r>
      <w:r w:rsidRPr="00285F56">
        <w:t xml:space="preserve"> 2021 </w:t>
      </w:r>
      <w:r w:rsidRPr="002350A8">
        <w:t xml:space="preserve">will </w:t>
      </w:r>
      <w:r w:rsidRPr="00285F56">
        <w:t xml:space="preserve">increase 7% annually. </w:t>
      </w:r>
      <w:r>
        <w:t xml:space="preserve">RGGI, Inc., “RGGI 2016 Program Review; Principles to Accompany Model Rule Amendments,” (December 19, 2017; accessed April 11, 2019), </w:t>
      </w:r>
      <w:hyperlink r:id="rId276" w:history="1">
        <w:r w:rsidRPr="00AA6C56">
          <w:rPr>
            <w:rStyle w:val="Hyperlink"/>
          </w:rPr>
          <w:t>https://www.rggi.org/sites/default/files/Uploads/Program-Review/12-19-2017/Principles_Accompanying_Model_Rule.pdf</w:t>
        </w:r>
      </w:hyperlink>
      <w:r>
        <w:t xml:space="preserve">; </w:t>
      </w:r>
      <w:r w:rsidRPr="00FD0A30">
        <w:t xml:space="preserve">and “Program Overview and design/Elements of RGGI,” webpage (2019), </w:t>
      </w:r>
      <w:hyperlink r:id="rId277" w:history="1">
        <w:r w:rsidRPr="00FD0A30">
          <w:rPr>
            <w:rStyle w:val="Hyperlink"/>
          </w:rPr>
          <w:t>https://www.rggi.org/program-overview-and-design/elements</w:t>
        </w:r>
      </w:hyperlink>
      <w:r w:rsidRPr="00FD0A30">
        <w:t xml:space="preserve">. </w:t>
      </w:r>
    </w:p>
  </w:footnote>
  <w:footnote w:id="303">
    <w:p w14:paraId="5FBD3D30" w14:textId="77777777" w:rsidR="00E231DA" w:rsidRPr="0081696B" w:rsidRDefault="00E231DA" w:rsidP="0060618C">
      <w:pPr>
        <w:pStyle w:val="FootnoteText"/>
      </w:pPr>
      <w:r w:rsidRPr="00816BA6">
        <w:rPr>
          <w:rStyle w:val="FootnoteReference"/>
        </w:rPr>
        <w:footnoteRef/>
      </w:r>
      <w:r w:rsidRPr="00816BA6">
        <w:t xml:space="preserve"> </w:t>
      </w:r>
      <w:r>
        <w:t xml:space="preserve">The states participating in the TCI are </w:t>
      </w:r>
      <w:r w:rsidRPr="00EB5207">
        <w:t>Connecticut, Delaware, Maine, Maryland, Massachusetts, New Hampshire, New Jersey, New York, Pennsylvania, Rhode Island, Vermont, and Virginia.</w:t>
      </w:r>
      <w:r>
        <w:t xml:space="preserve"> </w:t>
      </w:r>
      <w:r w:rsidRPr="0081696B">
        <w:t>More information about the TCI is available at</w:t>
      </w:r>
      <w:r>
        <w:t xml:space="preserve"> the “Transportation and Climate Initiative,” webpage (2019), </w:t>
      </w:r>
      <w:hyperlink r:id="rId278" w:history="1">
        <w:r w:rsidRPr="0081696B">
          <w:rPr>
            <w:rStyle w:val="Hyperlink"/>
          </w:rPr>
          <w:t>https://www.transportationandclimate.org/</w:t>
        </w:r>
      </w:hyperlink>
      <w:r w:rsidRPr="0081696B">
        <w:t>.</w:t>
      </w:r>
    </w:p>
  </w:footnote>
  <w:footnote w:id="304">
    <w:p w14:paraId="79E150BF" w14:textId="77777777" w:rsidR="00E231DA" w:rsidRPr="008F216E" w:rsidRDefault="00E231DA" w:rsidP="00C65CC3">
      <w:pPr>
        <w:pStyle w:val="FootnoteText"/>
        <w:rPr>
          <w:szCs w:val="18"/>
        </w:rPr>
      </w:pPr>
      <w:r w:rsidRPr="00C92FE8">
        <w:rPr>
          <w:rStyle w:val="FootnoteReference"/>
          <w:sz w:val="18"/>
          <w:szCs w:val="18"/>
        </w:rPr>
        <w:footnoteRef/>
      </w:r>
      <w:r w:rsidRPr="00C92FE8">
        <w:rPr>
          <w:szCs w:val="18"/>
        </w:rPr>
        <w:t xml:space="preserve"> State of Massachusetts, </w:t>
      </w:r>
      <w:r w:rsidRPr="00C92FE8">
        <w:rPr>
          <w:i/>
          <w:szCs w:val="18"/>
        </w:rPr>
        <w:t>Reducing CO</w:t>
      </w:r>
      <w:r w:rsidRPr="00C92FE8">
        <w:rPr>
          <w:i/>
          <w:szCs w:val="18"/>
          <w:vertAlign w:val="subscript"/>
        </w:rPr>
        <w:t>2</w:t>
      </w:r>
      <w:r w:rsidRPr="00C92FE8">
        <w:rPr>
          <w:i/>
          <w:szCs w:val="18"/>
        </w:rPr>
        <w:t xml:space="preserve"> Emissions from Electricity Generating Units</w:t>
      </w:r>
      <w:r w:rsidRPr="00C92FE8">
        <w:rPr>
          <w:szCs w:val="18"/>
        </w:rPr>
        <w:t xml:space="preserve">, 310 CMR 7.74, </w:t>
      </w:r>
      <w:r w:rsidRPr="00C92FE8">
        <w:rPr>
          <w:rStyle w:val="Hyperlink"/>
          <w:szCs w:val="18"/>
        </w:rPr>
        <w:t>(</w:t>
      </w:r>
      <w:r w:rsidRPr="00C92FE8">
        <w:rPr>
          <w:szCs w:val="18"/>
        </w:rPr>
        <w:t xml:space="preserve">as amended, August 2018), </w:t>
      </w:r>
      <w:hyperlink r:id="rId279" w:history="1">
        <w:r w:rsidRPr="00C92FE8">
          <w:rPr>
            <w:rStyle w:val="Hyperlink"/>
            <w:szCs w:val="18"/>
          </w:rPr>
          <w:t>https://www.mass.gov/guides/electricity-generator-emissions-limits-310-cmr-774</w:t>
        </w:r>
      </w:hyperlink>
      <w:r w:rsidRPr="00C92FE8">
        <w:rPr>
          <w:rStyle w:val="Hyperlink"/>
          <w:szCs w:val="18"/>
        </w:rPr>
        <w:t>; and</w:t>
      </w:r>
      <w:r w:rsidRPr="00DD1913">
        <w:rPr>
          <w:rStyle w:val="Hyperlink"/>
          <w:szCs w:val="18"/>
        </w:rPr>
        <w:t xml:space="preserve"> </w:t>
      </w:r>
      <w:r w:rsidRPr="002350A8">
        <w:rPr>
          <w:i/>
          <w:szCs w:val="18"/>
        </w:rPr>
        <w:t xml:space="preserve">An Act to Advance Clean Energy. </w:t>
      </w:r>
      <w:r w:rsidRPr="00350084">
        <w:rPr>
          <w:szCs w:val="18"/>
        </w:rPr>
        <w:t>Chapter 227 of the Acts of 2018</w:t>
      </w:r>
      <w:r w:rsidRPr="002350A8">
        <w:rPr>
          <w:i/>
          <w:szCs w:val="18"/>
        </w:rPr>
        <w:t xml:space="preserve"> </w:t>
      </w:r>
      <w:r w:rsidRPr="002350A8">
        <w:rPr>
          <w:szCs w:val="18"/>
        </w:rPr>
        <w:t xml:space="preserve">(August 9, 2018), </w:t>
      </w:r>
      <w:hyperlink r:id="rId280" w:history="1">
        <w:r w:rsidRPr="00DD1913">
          <w:rPr>
            <w:rStyle w:val="Hyperlink"/>
            <w:szCs w:val="18"/>
          </w:rPr>
          <w:t>https://www.mass.gov/service-details/clean-peak-energy-standard</w:t>
        </w:r>
      </w:hyperlink>
      <w:r w:rsidRPr="00D10561">
        <w:rPr>
          <w:szCs w:val="18"/>
        </w:rPr>
        <w:t xml:space="preserve">. 129th Maine Legislature, First Legislative Session—2019, </w:t>
      </w:r>
      <w:r w:rsidRPr="00D10561">
        <w:rPr>
          <w:i/>
          <w:szCs w:val="18"/>
        </w:rPr>
        <w:t>An Act to Reform Maine’s Renewable Portfolio Standard</w:t>
      </w:r>
      <w:r w:rsidRPr="00D10561">
        <w:rPr>
          <w:szCs w:val="18"/>
        </w:rPr>
        <w:t xml:space="preserve">, L.D. 1494 (April 4, 2019), </w:t>
      </w:r>
      <w:r w:rsidRPr="00D10561">
        <w:rPr>
          <w:i/>
          <w:szCs w:val="18"/>
        </w:rPr>
        <w:t xml:space="preserve">An Act To </w:t>
      </w:r>
      <w:hyperlink r:id="rId281" w:history="1">
        <w:r w:rsidRPr="00D10561">
          <w:rPr>
            <w:rStyle w:val="Hyperlink"/>
            <w:szCs w:val="18"/>
          </w:rPr>
          <w:t>http://legislature.maine.gov/bills/display_ps.asp?PID=1456&amp;snum=129&amp;paper=SP0457</w:t>
        </w:r>
      </w:hyperlink>
      <w:r w:rsidRPr="00D10561">
        <w:rPr>
          <w:rStyle w:val="Hyperlink"/>
          <w:szCs w:val="18"/>
        </w:rPr>
        <w:t>.</w:t>
      </w:r>
    </w:p>
  </w:footnote>
  <w:footnote w:id="305">
    <w:p w14:paraId="53E3A852" w14:textId="77777777" w:rsidR="00E231DA" w:rsidRDefault="00E231DA">
      <w:pPr>
        <w:pStyle w:val="FootnoteText"/>
      </w:pPr>
      <w:r>
        <w:rPr>
          <w:rStyle w:val="FootnoteReference"/>
        </w:rPr>
        <w:footnoteRef/>
      </w:r>
      <w:r>
        <w:t xml:space="preserve"> </w:t>
      </w:r>
      <w:r w:rsidRPr="00D10561">
        <w:t>The 5,000 MW does not include the imminent 2,000 MW of additional offshore wind that C</w:t>
      </w:r>
      <w:r>
        <w:t>onnecticut</w:t>
      </w:r>
      <w:r w:rsidRPr="00D10561">
        <w:t xml:space="preserve"> will be procuring but</w:t>
      </w:r>
      <w:r>
        <w:t xml:space="preserve"> for which it</w:t>
      </w:r>
      <w:r w:rsidRPr="00D10561">
        <w:t xml:space="preserve"> has not yet issued an RFP.</w:t>
      </w:r>
    </w:p>
  </w:footnote>
  <w:footnote w:id="306">
    <w:p w14:paraId="5FBD3238" w14:textId="77777777" w:rsidR="00E231DA" w:rsidRPr="00F300A2" w:rsidRDefault="00E231DA" w:rsidP="00D97E2B">
      <w:pPr>
        <w:pStyle w:val="FootnoteText"/>
      </w:pPr>
      <w:r w:rsidRPr="006612C1">
        <w:rPr>
          <w:rStyle w:val="FootnoteReference"/>
        </w:rPr>
        <w:footnoteRef/>
      </w:r>
      <w:r w:rsidRPr="006612C1">
        <w:t xml:space="preserve"> States</w:t>
      </w:r>
      <w:r w:rsidRPr="000B56BD">
        <w:t xml:space="preserve"> of Connecticut, Rhode Island, and the Commonwealth of Massachusetts, “Notice of Request for Proposals from Private Developers for Clean Energy and Transmission,” (November 12, 2015), </w:t>
      </w:r>
      <w:hyperlink r:id="rId282" w:history="1">
        <w:r w:rsidRPr="000B56BD">
          <w:rPr>
            <w:rStyle w:val="Hyperlink"/>
          </w:rPr>
          <w:t>https://cleanenergyrfpdotcom.files.wordpress.com/2015/11/clean-energy-rfp-final-111215.pdf</w:t>
        </w:r>
      </w:hyperlink>
      <w:r w:rsidRPr="000B56BD">
        <w:t>.</w:t>
      </w:r>
    </w:p>
  </w:footnote>
  <w:footnote w:id="307">
    <w:p w14:paraId="783C85C7" w14:textId="77777777" w:rsidR="00E231DA" w:rsidRDefault="00E231DA" w:rsidP="00970CDC">
      <w:pPr>
        <w:pStyle w:val="FootnoteText"/>
      </w:pPr>
      <w:r w:rsidRPr="00F84EA9">
        <w:rPr>
          <w:rStyle w:val="FootnoteReference"/>
        </w:rPr>
        <w:footnoteRef/>
      </w:r>
      <w:r w:rsidRPr="00F84EA9">
        <w:t xml:space="preserve"> MA DOER, “Request for Proposals for Long-Term Contracts for Offshore Wind Energy Projects,” (June 29, 2017), </w:t>
      </w:r>
      <w:hyperlink r:id="rId283" w:history="1">
        <w:r w:rsidRPr="00F84EA9">
          <w:rPr>
            <w:rStyle w:val="Hyperlink"/>
          </w:rPr>
          <w:t>https://macleanenergy.files.wordpress.com/2017/02/section-83c-request-for-proposals-for-long-term-contracts-for-offshore-wind-energy-projects-june-29-2017.pdf</w:t>
        </w:r>
      </w:hyperlink>
      <w:r w:rsidRPr="00F84EA9">
        <w:t>.</w:t>
      </w:r>
    </w:p>
  </w:footnote>
  <w:footnote w:id="308">
    <w:p w14:paraId="44E511AA" w14:textId="77777777" w:rsidR="00E231DA" w:rsidRPr="00F300A2" w:rsidRDefault="00E231DA" w:rsidP="00F5735D">
      <w:pPr>
        <w:pStyle w:val="FootnoteText"/>
      </w:pPr>
      <w:r w:rsidRPr="00F300A2">
        <w:rPr>
          <w:rStyle w:val="FootnoteReference"/>
        </w:rPr>
        <w:footnoteRef/>
      </w:r>
      <w:r w:rsidRPr="00F300A2">
        <w:t xml:space="preserve"> CT DEEP, “Notice of Request for Proposals from Private Developers for Clean Energy,“ (January 31, 2018), </w:t>
      </w:r>
      <w:hyperlink r:id="rId284" w:history="1">
        <w:r w:rsidRPr="000B56BD">
          <w:rPr>
            <w:rStyle w:val="Hyperlink"/>
          </w:rPr>
          <w:t>http://www.dpuc.state.ct.us/DEEPEnergy.nsf/c6c6d525f7cdd1168525797d0047c5bf/0fa7e92df14f12248525822600682775/%24FILE/2018.01.31_FINAL%20RFP.pdf</w:t>
        </w:r>
      </w:hyperlink>
      <w:r w:rsidRPr="000B56BD">
        <w:t>.</w:t>
      </w:r>
    </w:p>
  </w:footnote>
  <w:footnote w:id="309">
    <w:p w14:paraId="22E36FAA" w14:textId="6E58C0CF" w:rsidR="00E231DA" w:rsidRPr="00F84EA9" w:rsidRDefault="00E231DA">
      <w:pPr>
        <w:pStyle w:val="FootnoteText"/>
      </w:pPr>
      <w:r w:rsidRPr="00F300A2">
        <w:rPr>
          <w:rStyle w:val="FootnoteReference"/>
        </w:rPr>
        <w:footnoteRef/>
      </w:r>
      <w:r w:rsidRPr="00F300A2">
        <w:t xml:space="preserve"> State of Connecticut, “Notice of Request for Proposals from Private Developers for Zero-Carbon Energy,” (July 31, 2018), </w:t>
      </w:r>
      <w:hyperlink r:id="rId285" w:history="1">
        <w:r w:rsidRPr="00F77660">
          <w:rPr>
            <w:rStyle w:val="Hyperlink"/>
          </w:rPr>
          <w:t>http://www.dpuc.state.ct.us/DEEPEnergy.nsf/c6c6d525f7cdd1168525797d0047c5bf/f18419651b249e2e852582db006cbca3/%24FILE/2018.08.1_FINAL%20RFP%20-%20updated.pdf</w:t>
        </w:r>
      </w:hyperlink>
      <w:r w:rsidRPr="00F300A2">
        <w:t>.</w:t>
      </w:r>
    </w:p>
  </w:footnote>
  <w:footnote w:id="310">
    <w:p w14:paraId="0A3F9C7C" w14:textId="77777777" w:rsidR="00E231DA" w:rsidRDefault="00E231DA">
      <w:pPr>
        <w:pStyle w:val="FootnoteText"/>
      </w:pPr>
      <w:r w:rsidRPr="00F84EA9">
        <w:rPr>
          <w:rStyle w:val="FootnoteReference"/>
        </w:rPr>
        <w:footnoteRef/>
      </w:r>
      <w:r w:rsidRPr="00F84EA9">
        <w:t xml:space="preserve"> State of Maine, “2018 Long-Term Contract RFP, Docket No. 2018-00137,” (July 24, 2018), </w:t>
      </w:r>
      <w:hyperlink r:id="rId286" w:history="1">
        <w:r w:rsidRPr="00F84EA9">
          <w:rPr>
            <w:rStyle w:val="Hyperlink"/>
          </w:rPr>
          <w:t>https://www.maine.gov/mpuc/electricity/rfps/longterm2018/index.shtml</w:t>
        </w:r>
      </w:hyperlink>
      <w:r w:rsidRPr="00F84EA9">
        <w:t>.</w:t>
      </w:r>
    </w:p>
  </w:footnote>
  <w:footnote w:id="311">
    <w:p w14:paraId="4562FEB6" w14:textId="0E4DC84C" w:rsidR="00E231DA" w:rsidRPr="00CB36BD" w:rsidRDefault="00E231DA" w:rsidP="00D97E2B">
      <w:pPr>
        <w:pStyle w:val="FootnoteText"/>
        <w:rPr>
          <w:szCs w:val="18"/>
        </w:rPr>
      </w:pPr>
      <w:r w:rsidRPr="003824A7">
        <w:rPr>
          <w:rStyle w:val="FootnoteReference"/>
          <w:sz w:val="18"/>
          <w:szCs w:val="18"/>
        </w:rPr>
        <w:footnoteRef/>
      </w:r>
      <w:r w:rsidRPr="003824A7">
        <w:rPr>
          <w:szCs w:val="18"/>
        </w:rPr>
        <w:t xml:space="preserve"> RGGI emissions compliance data </w:t>
      </w:r>
      <w:r>
        <w:rPr>
          <w:szCs w:val="18"/>
        </w:rPr>
        <w:t xml:space="preserve">is </w:t>
      </w:r>
      <w:r w:rsidRPr="003824A7">
        <w:rPr>
          <w:szCs w:val="18"/>
        </w:rPr>
        <w:t>available at the RGGI CO</w:t>
      </w:r>
      <w:r w:rsidRPr="003824A7">
        <w:rPr>
          <w:szCs w:val="18"/>
          <w:vertAlign w:val="subscript"/>
        </w:rPr>
        <w:t>2</w:t>
      </w:r>
      <w:r w:rsidRPr="003824A7">
        <w:rPr>
          <w:szCs w:val="18"/>
        </w:rPr>
        <w:t xml:space="preserve"> Allowance Tracking System</w:t>
      </w:r>
      <w:r>
        <w:rPr>
          <w:szCs w:val="18"/>
        </w:rPr>
        <w:t xml:space="preserve">, </w:t>
      </w:r>
      <w:hyperlink r:id="rId287" w:history="1">
        <w:r w:rsidRPr="00F77660">
          <w:rPr>
            <w:rStyle w:val="Hyperlink"/>
            <w:szCs w:val="18"/>
          </w:rPr>
          <w:t>https://www.rggi.org/allowance-tracking/rggi-coats</w:t>
        </w:r>
      </w:hyperlink>
      <w:r>
        <w:rPr>
          <w:szCs w:val="18"/>
          <w:u w:val="single"/>
        </w:rPr>
        <w:t>,</w:t>
      </w:r>
      <w:r w:rsidRPr="003824A7">
        <w:rPr>
          <w:szCs w:val="18"/>
        </w:rPr>
        <w:t xml:space="preserve"> and at the EPA, Air Markets Program data website (RGGI emissions data), </w:t>
      </w:r>
      <w:hyperlink r:id="rId288" w:history="1">
        <w:r w:rsidRPr="003824A7">
          <w:rPr>
            <w:rStyle w:val="Hyperlink"/>
            <w:color w:val="auto"/>
            <w:szCs w:val="18"/>
          </w:rPr>
          <w:t>https://ampd.epa.gov/ampd/</w:t>
        </w:r>
      </w:hyperlink>
      <w:r w:rsidRPr="003824A7">
        <w:rPr>
          <w:szCs w:val="18"/>
        </w:rPr>
        <w:t>. RGGI, Inc., “</w:t>
      </w:r>
      <w:hyperlink r:id="rId289" w:history="1">
        <w:r w:rsidRPr="003824A7">
          <w:rPr>
            <w:rStyle w:val="Hyperlink"/>
            <w:color w:val="auto"/>
            <w:szCs w:val="18"/>
          </w:rPr>
          <w:t>Program Overview</w:t>
        </w:r>
      </w:hyperlink>
      <w:r w:rsidRPr="003824A7">
        <w:rPr>
          <w:rStyle w:val="Hyperlink"/>
          <w:color w:val="auto"/>
          <w:szCs w:val="18"/>
        </w:rPr>
        <w:t xml:space="preserve">,” webpage (n.d.), </w:t>
      </w:r>
      <w:hyperlink r:id="rId290" w:history="1">
        <w:r w:rsidRPr="007D490F">
          <w:rPr>
            <w:rStyle w:val="Hyperlink"/>
            <w:szCs w:val="18"/>
          </w:rPr>
          <w:t>https://www.rggi.org/design/overview</w:t>
        </w:r>
      </w:hyperlink>
      <w:r w:rsidRPr="007D490F">
        <w:rPr>
          <w:rStyle w:val="Hyperlink"/>
          <w:szCs w:val="18"/>
        </w:rPr>
        <w:t>.</w:t>
      </w:r>
      <w:r w:rsidRPr="007D490F">
        <w:rPr>
          <w:szCs w:val="18"/>
        </w:rPr>
        <w:t xml:space="preserve"> </w:t>
      </w:r>
    </w:p>
  </w:footnote>
  <w:footnote w:id="312">
    <w:p w14:paraId="01D278C4" w14:textId="77777777" w:rsidR="00E231DA" w:rsidRPr="00CF64A5" w:rsidRDefault="00E231DA" w:rsidP="00D97E2B">
      <w:pPr>
        <w:pStyle w:val="FootnoteText"/>
        <w:rPr>
          <w:szCs w:val="18"/>
        </w:rPr>
      </w:pPr>
      <w:r w:rsidRPr="00C20F2C">
        <w:rPr>
          <w:rStyle w:val="FootnoteReference"/>
          <w:sz w:val="18"/>
          <w:szCs w:val="18"/>
        </w:rPr>
        <w:footnoteRef/>
      </w:r>
      <w:r w:rsidRPr="00816BA6">
        <w:rPr>
          <w:szCs w:val="18"/>
        </w:rPr>
        <w:t xml:space="preserve"> </w:t>
      </w:r>
      <w:r w:rsidRPr="00816BA6">
        <w:rPr>
          <w:i/>
          <w:szCs w:val="18"/>
        </w:rPr>
        <w:t>2017 ISO New England Electric Generator Air Emissions Report</w:t>
      </w:r>
      <w:r w:rsidRPr="00816BA6">
        <w:rPr>
          <w:szCs w:val="18"/>
        </w:rPr>
        <w:t xml:space="preserve"> (</w:t>
      </w:r>
      <w:r>
        <w:rPr>
          <w:szCs w:val="18"/>
        </w:rPr>
        <w:t>April</w:t>
      </w:r>
      <w:r w:rsidRPr="00C20F2C">
        <w:rPr>
          <w:szCs w:val="18"/>
        </w:rPr>
        <w:t xml:space="preserve"> 201</w:t>
      </w:r>
      <w:r w:rsidRPr="00816BA6">
        <w:rPr>
          <w:szCs w:val="18"/>
        </w:rPr>
        <w:t xml:space="preserve">9), </w:t>
      </w:r>
      <w:hyperlink r:id="rId291" w:history="1">
        <w:r w:rsidRPr="00816BA6">
          <w:rPr>
            <w:rStyle w:val="Hyperlink"/>
            <w:szCs w:val="18"/>
          </w:rPr>
          <w:t>https://www.iso-ne.com/static-assets/documents/2019/04/2017_emissions_report.pdf</w:t>
        </w:r>
      </w:hyperlink>
      <w:r w:rsidRPr="00816BA6">
        <w:rPr>
          <w:szCs w:val="18"/>
        </w:rPr>
        <w:t>.</w:t>
      </w:r>
      <w:r>
        <w:rPr>
          <w:szCs w:val="18"/>
        </w:rPr>
        <w:t xml:space="preserve"> </w:t>
      </w:r>
    </w:p>
  </w:footnote>
  <w:footnote w:id="313">
    <w:p w14:paraId="026FB938" w14:textId="77777777" w:rsidR="00E231DA" w:rsidRPr="002F6221" w:rsidRDefault="00E231DA" w:rsidP="00D97E2B">
      <w:pPr>
        <w:pStyle w:val="FootnoteText"/>
        <w:rPr>
          <w:b/>
          <w:szCs w:val="18"/>
        </w:rPr>
      </w:pPr>
      <w:r w:rsidRPr="00CB36BD">
        <w:rPr>
          <w:rStyle w:val="FootnoteReference"/>
          <w:sz w:val="18"/>
          <w:szCs w:val="18"/>
        </w:rPr>
        <w:footnoteRef/>
      </w:r>
      <w:r w:rsidRPr="00C66C4E">
        <w:rPr>
          <w:rStyle w:val="Hyperlink"/>
          <w:szCs w:val="18"/>
        </w:rPr>
        <w:t xml:space="preserve"> </w:t>
      </w:r>
      <w:hyperlink r:id="rId292" w:history="1">
        <w:r w:rsidRPr="00C66C4E">
          <w:rPr>
            <w:rStyle w:val="Hyperlink"/>
            <w:szCs w:val="18"/>
          </w:rPr>
          <w:t>Energy</w:t>
        </w:r>
      </w:hyperlink>
      <w:r w:rsidRPr="00C66C4E">
        <w:rPr>
          <w:rStyle w:val="Hyperlink"/>
          <w:szCs w:val="18"/>
        </w:rPr>
        <w:t xml:space="preserve"> Information Administration, </w:t>
      </w:r>
      <w:r w:rsidRPr="00C66C4E">
        <w:rPr>
          <w:rStyle w:val="Hyperlink"/>
          <w:i/>
          <w:szCs w:val="18"/>
        </w:rPr>
        <w:t>Levelized Cost and Levelized Avoided Cost of New Generation</w:t>
      </w:r>
      <w:r w:rsidRPr="002F6221">
        <w:rPr>
          <w:rStyle w:val="Hyperlink"/>
          <w:i/>
          <w:szCs w:val="18"/>
        </w:rPr>
        <w:t xml:space="preserve"> Resources in the Annual Energy Outlook 2019</w:t>
      </w:r>
      <w:r w:rsidRPr="00667069">
        <w:rPr>
          <w:rStyle w:val="Hyperlink"/>
          <w:szCs w:val="18"/>
        </w:rPr>
        <w:t xml:space="preserve"> (February 26, 2019), </w:t>
      </w:r>
      <w:hyperlink r:id="rId293" w:history="1">
        <w:r w:rsidRPr="002F6221">
          <w:rPr>
            <w:rStyle w:val="Hyperlink"/>
            <w:szCs w:val="18"/>
          </w:rPr>
          <w:t>https://www.eia.gov/outlooks/aeo/electricity_generation.php</w:t>
        </w:r>
      </w:hyperlink>
      <w:r w:rsidRPr="00694A8C">
        <w:rPr>
          <w:szCs w:val="18"/>
        </w:rPr>
        <w:t>.</w:t>
      </w:r>
    </w:p>
  </w:footnote>
  <w:footnote w:id="314">
    <w:p w14:paraId="13214DCD" w14:textId="77777777" w:rsidR="00E231DA" w:rsidRDefault="00E231DA" w:rsidP="00D97E2B">
      <w:pPr>
        <w:pStyle w:val="FootnoteText"/>
      </w:pPr>
      <w:r w:rsidRPr="002824ED">
        <w:rPr>
          <w:rStyle w:val="FootnoteReference"/>
        </w:rPr>
        <w:footnoteRef/>
      </w:r>
      <w:r w:rsidRPr="002824ED">
        <w:t xml:space="preserve"> State</w:t>
      </w:r>
      <w:r>
        <w:t xml:space="preserve"> of Massachusetts, </w:t>
      </w:r>
      <w:r w:rsidRPr="002824ED">
        <w:rPr>
          <w:i/>
        </w:rPr>
        <w:t>An Act Establishing the Global Warming Solutions Act</w:t>
      </w:r>
      <w:r>
        <w:t>, 2008 acts, Chapter 298 (August 7, 2008</w:t>
      </w:r>
      <w:r w:rsidRPr="002824ED">
        <w:rPr>
          <w:szCs w:val="18"/>
        </w:rPr>
        <w:t>)</w:t>
      </w:r>
      <w:r w:rsidRPr="003824A7">
        <w:rPr>
          <w:szCs w:val="18"/>
        </w:rPr>
        <w:t xml:space="preserve">, </w:t>
      </w:r>
      <w:hyperlink r:id="rId294" w:history="1">
        <w:r w:rsidRPr="003824A7">
          <w:rPr>
            <w:szCs w:val="18"/>
          </w:rPr>
          <w:t>https://malegislature.gov/Laws/SessionLaws/Acts/2008/Chapter298</w:t>
        </w:r>
      </w:hyperlink>
      <w:r w:rsidRPr="002824ED">
        <w:rPr>
          <w:szCs w:val="18"/>
        </w:rPr>
        <w:t>.</w:t>
      </w:r>
    </w:p>
  </w:footnote>
  <w:footnote w:id="315">
    <w:p w14:paraId="7FB25B46" w14:textId="68C3A194" w:rsidR="00E231DA" w:rsidRDefault="00E231DA" w:rsidP="00D97E2B">
      <w:pPr>
        <w:pStyle w:val="FootnoteText"/>
      </w:pPr>
      <w:r w:rsidRPr="00CB36BD">
        <w:rPr>
          <w:rStyle w:val="FootnoteReference"/>
          <w:sz w:val="18"/>
          <w:szCs w:val="18"/>
        </w:rPr>
        <w:footnoteRef/>
      </w:r>
      <w:r w:rsidRPr="00694A8C">
        <w:rPr>
          <w:szCs w:val="18"/>
        </w:rPr>
        <w:t xml:space="preserve"> </w:t>
      </w:r>
      <w:hyperlink r:id="rId295" w:history="1">
        <w:r w:rsidRPr="002F6221">
          <w:rPr>
            <w:rStyle w:val="Hyperlink"/>
            <w:szCs w:val="18"/>
          </w:rPr>
          <w:t>RGGI</w:t>
        </w:r>
      </w:hyperlink>
      <w:r w:rsidRPr="00694A8C">
        <w:rPr>
          <w:szCs w:val="18"/>
        </w:rPr>
        <w:t xml:space="preserve">, </w:t>
      </w:r>
      <w:r w:rsidRPr="002F6221">
        <w:rPr>
          <w:i/>
          <w:szCs w:val="18"/>
        </w:rPr>
        <w:t>Quarterly Secondary Market Reports (2017–2018)</w:t>
      </w:r>
      <w:r w:rsidRPr="00667069">
        <w:rPr>
          <w:szCs w:val="18"/>
        </w:rPr>
        <w:t xml:space="preserve">, </w:t>
      </w:r>
      <w:hyperlink r:id="rId296" w:history="1">
        <w:r w:rsidRPr="002F6221">
          <w:rPr>
            <w:rStyle w:val="Hyperlink"/>
            <w:szCs w:val="18"/>
          </w:rPr>
          <w:t>https://www.rggi.org/auctions/market-monitor-reports</w:t>
        </w:r>
      </w:hyperlink>
      <w:r w:rsidRPr="00694A8C">
        <w:rPr>
          <w:szCs w:val="18"/>
        </w:rPr>
        <w:t>; State o</w:t>
      </w:r>
      <w:r w:rsidRPr="002F6221">
        <w:rPr>
          <w:szCs w:val="18"/>
        </w:rPr>
        <w:t xml:space="preserve">f Massachusetts, “Electricity Generator Emissions Limits (310 CMR 7.74), webpage (2019), see </w:t>
      </w:r>
      <w:r w:rsidRPr="00667069">
        <w:rPr>
          <w:i/>
          <w:szCs w:val="18"/>
        </w:rPr>
        <w:t>Massachusetts Carbon Allowance Market Monitor Reports</w:t>
      </w:r>
      <w:r w:rsidRPr="001F3125">
        <w:rPr>
          <w:szCs w:val="18"/>
        </w:rPr>
        <w:t xml:space="preserve">, </w:t>
      </w:r>
      <w:hyperlink r:id="rId297" w:history="1">
        <w:r w:rsidRPr="00A85A83">
          <w:rPr>
            <w:rStyle w:val="Hyperlink"/>
            <w:szCs w:val="18"/>
          </w:rPr>
          <w:t>https://www.mass.gov/guides/electricity-generator-emissions-limits-310-cmr-774#massachusetts-carbon-allowance-registry-auctions</w:t>
        </w:r>
      </w:hyperlink>
      <w:r w:rsidRPr="001C4394">
        <w:rPr>
          <w:szCs w:val="18"/>
        </w:rPr>
        <w:t>.</w:t>
      </w:r>
      <w:r>
        <w:rPr>
          <w:szCs w:val="18"/>
        </w:rPr>
        <w:t xml:space="preserve"> </w:t>
      </w:r>
    </w:p>
  </w:footnote>
  <w:footnote w:id="316">
    <w:p w14:paraId="786492A4" w14:textId="77777777" w:rsidR="00E231DA" w:rsidRPr="003A1975" w:rsidRDefault="00E231DA" w:rsidP="00D97E2B">
      <w:pPr>
        <w:pStyle w:val="FootnoteText"/>
        <w:rPr>
          <w:color w:val="FF0000"/>
        </w:rPr>
      </w:pPr>
      <w:r w:rsidRPr="0012420E">
        <w:rPr>
          <w:rStyle w:val="FootnoteReference"/>
        </w:rPr>
        <w:footnoteRef/>
      </w:r>
      <w:r w:rsidRPr="006374C5">
        <w:t xml:space="preserve"> Avoided CO</w:t>
      </w:r>
      <w:r w:rsidRPr="006374C5">
        <w:rPr>
          <w:vertAlign w:val="subscript"/>
        </w:rPr>
        <w:t>2</w:t>
      </w:r>
      <w:r w:rsidRPr="006374C5">
        <w:t xml:space="preserve"> emissions from native nuclear generation in 2018 are estimated to be </w:t>
      </w:r>
      <w:r>
        <w:t>approximately 9.7 million </w:t>
      </w:r>
      <w:r w:rsidRPr="0012420E">
        <w:t>metric tons based on a</w:t>
      </w:r>
      <w:r>
        <w:t xml:space="preserve">verage </w:t>
      </w:r>
      <w:r w:rsidRPr="0012420E">
        <w:t>system CO</w:t>
      </w:r>
      <w:r w:rsidRPr="006374C5">
        <w:rPr>
          <w:vertAlign w:val="subscript"/>
        </w:rPr>
        <w:t>2</w:t>
      </w:r>
      <w:r w:rsidRPr="006374C5">
        <w:t xml:space="preserve"> emission rate of </w:t>
      </w:r>
      <w:r>
        <w:t>approximately 309</w:t>
      </w:r>
      <w:r w:rsidRPr="006374C5">
        <w:t xml:space="preserve"> </w:t>
      </w:r>
      <w:r>
        <w:t>kilogr</w:t>
      </w:r>
      <w:r w:rsidRPr="00407D7F">
        <w:t>ams</w:t>
      </w:r>
      <w:r w:rsidRPr="00223560">
        <w:t>/MWh</w:t>
      </w:r>
      <w:r w:rsidRPr="00407D7F">
        <w:t>.</w:t>
      </w:r>
    </w:p>
  </w:footnote>
  <w:footnote w:id="317">
    <w:p w14:paraId="455AA247" w14:textId="77777777" w:rsidR="00E231DA" w:rsidRPr="0009307D" w:rsidRDefault="00E231DA" w:rsidP="00D97E2B">
      <w:pPr>
        <w:pStyle w:val="FootnoteText"/>
        <w:rPr>
          <w:szCs w:val="18"/>
        </w:rPr>
      </w:pPr>
      <w:r w:rsidRPr="0073665C">
        <w:rPr>
          <w:rStyle w:val="FootnoteReference"/>
          <w:sz w:val="18"/>
          <w:szCs w:val="18"/>
        </w:rPr>
        <w:footnoteRef/>
      </w:r>
      <w:r w:rsidRPr="007676BF">
        <w:rPr>
          <w:szCs w:val="18"/>
        </w:rPr>
        <w:t xml:space="preserve"> </w:t>
      </w:r>
      <w:r w:rsidRPr="0009307D">
        <w:rPr>
          <w:szCs w:val="18"/>
        </w:rPr>
        <w:t>The rule assess</w:t>
      </w:r>
      <w:r>
        <w:rPr>
          <w:szCs w:val="18"/>
        </w:rPr>
        <w:t>ed</w:t>
      </w:r>
      <w:r w:rsidRPr="0009307D">
        <w:rPr>
          <w:szCs w:val="18"/>
        </w:rPr>
        <w:t xml:space="preserve"> the environmental effects of storing spent nuclear fuel at a reactor site for various periods following the reactor’s licensed life for operation</w:t>
      </w:r>
      <w:r>
        <w:rPr>
          <w:szCs w:val="18"/>
        </w:rPr>
        <w:t>, allowing dry cask storage of spent nuclear fuel at reactor sites</w:t>
      </w:r>
      <w:r w:rsidRPr="0009307D">
        <w:rPr>
          <w:szCs w:val="18"/>
        </w:rPr>
        <w:t>.</w:t>
      </w:r>
      <w:r>
        <w:rPr>
          <w:szCs w:val="18"/>
        </w:rPr>
        <w:t xml:space="preserve"> </w:t>
      </w:r>
      <w:r w:rsidRPr="007676BF">
        <w:rPr>
          <w:szCs w:val="18"/>
        </w:rPr>
        <w:t>N</w:t>
      </w:r>
      <w:r>
        <w:rPr>
          <w:szCs w:val="18"/>
        </w:rPr>
        <w:t>RC</w:t>
      </w:r>
      <w:r w:rsidRPr="007676BF">
        <w:rPr>
          <w:szCs w:val="18"/>
        </w:rPr>
        <w:t xml:space="preserve">, </w:t>
      </w:r>
      <w:r w:rsidRPr="007676BF">
        <w:rPr>
          <w:i/>
          <w:szCs w:val="18"/>
        </w:rPr>
        <w:t>Continued Storage of Spent Nuclear Fuel</w:t>
      </w:r>
      <w:r w:rsidRPr="007676BF">
        <w:rPr>
          <w:szCs w:val="18"/>
        </w:rPr>
        <w:t>, final rule, 79 Fed. Reg. 56238 (September</w:t>
      </w:r>
      <w:r>
        <w:rPr>
          <w:szCs w:val="18"/>
        </w:rPr>
        <w:t> </w:t>
      </w:r>
      <w:r w:rsidRPr="007676BF">
        <w:rPr>
          <w:szCs w:val="18"/>
        </w:rPr>
        <w:t xml:space="preserve">19, 2014). </w:t>
      </w:r>
    </w:p>
  </w:footnote>
  <w:footnote w:id="318">
    <w:p w14:paraId="41104BA5" w14:textId="116E43AD" w:rsidR="00E231DA" w:rsidRPr="00537437" w:rsidRDefault="00E231DA" w:rsidP="00D97E2B">
      <w:pPr>
        <w:pStyle w:val="FootnoteText"/>
        <w:rPr>
          <w:szCs w:val="18"/>
        </w:rPr>
      </w:pPr>
      <w:r w:rsidRPr="00DB50ED">
        <w:rPr>
          <w:rStyle w:val="FootnoteReference"/>
          <w:sz w:val="18"/>
          <w:szCs w:val="18"/>
        </w:rPr>
        <w:footnoteRef/>
      </w:r>
      <w:r w:rsidRPr="00DB50ED">
        <w:rPr>
          <w:szCs w:val="18"/>
        </w:rPr>
        <w:t xml:space="preserve"> ISO New </w:t>
      </w:r>
      <w:r w:rsidRPr="003226EB">
        <w:rPr>
          <w:szCs w:val="18"/>
        </w:rPr>
        <w:t>England, 2019</w:t>
      </w:r>
      <w:r w:rsidRPr="003226EB">
        <w:rPr>
          <w:i/>
          <w:szCs w:val="18"/>
        </w:rPr>
        <w:t xml:space="preserve"> </w:t>
      </w:r>
      <w:r w:rsidRPr="00DB50ED">
        <w:rPr>
          <w:szCs w:val="18"/>
        </w:rPr>
        <w:t xml:space="preserve">CELT Report, Tab 2.1, “Generator List with Existing and Expected SCC” (showing the seasonal rating of generating units), </w:t>
      </w:r>
      <w:hyperlink r:id="rId298" w:history="1">
        <w:r w:rsidRPr="00DB50ED">
          <w:rPr>
            <w:rStyle w:val="Hyperlink"/>
          </w:rPr>
          <w:t>https://www.iso-ne.com/static-assets/documents/2019/04/2019_celt_report.xls</w:t>
        </w:r>
      </w:hyperlink>
      <w:r w:rsidRPr="00DB50ED">
        <w:t xml:space="preserve">. Also see: “2019 Daily Generation by Fuel Type,” webpage (2019), </w:t>
      </w:r>
      <w:hyperlink r:id="rId299" w:history="1">
        <w:r w:rsidRPr="00DB50ED">
          <w:rPr>
            <w:rStyle w:val="Hyperlink"/>
          </w:rPr>
          <w:t>https://www.iso-ne.com/isoexpress/web/reports/operations/-/tree/daily-gen-fuel-type</w:t>
        </w:r>
      </w:hyperlink>
      <w:r w:rsidRPr="00DB50ED">
        <w:t>.</w:t>
      </w:r>
    </w:p>
  </w:footnote>
  <w:footnote w:id="319">
    <w:p w14:paraId="2932C838" w14:textId="64EEFE16" w:rsidR="00E231DA" w:rsidRPr="009E72AE" w:rsidRDefault="00E231DA" w:rsidP="00D97E2B">
      <w:pPr>
        <w:pStyle w:val="FootnoteText"/>
        <w:rPr>
          <w:szCs w:val="18"/>
        </w:rPr>
      </w:pPr>
      <w:r w:rsidRPr="00704E09">
        <w:rPr>
          <w:rStyle w:val="FootnoteReference"/>
          <w:sz w:val="18"/>
          <w:szCs w:val="18"/>
        </w:rPr>
        <w:footnoteRef/>
      </w:r>
      <w:r w:rsidRPr="007676BF">
        <w:rPr>
          <w:szCs w:val="18"/>
        </w:rPr>
        <w:t xml:space="preserve"> FERC issues initial and renewal hydroelectric project licenses for 30 to 50 years </w:t>
      </w:r>
      <w:r w:rsidRPr="009713E1">
        <w:rPr>
          <w:szCs w:val="18"/>
        </w:rPr>
        <w:t xml:space="preserve">typically, although it may issue temporary annual licenses to continue an expired license during a relicensing review. </w:t>
      </w:r>
      <w:r>
        <w:rPr>
          <w:szCs w:val="18"/>
        </w:rPr>
        <w:t xml:space="preserve">Refer to: </w:t>
      </w:r>
      <w:r w:rsidRPr="009713E1">
        <w:rPr>
          <w:szCs w:val="18"/>
        </w:rPr>
        <w:t>FERC, “</w:t>
      </w:r>
      <w:r w:rsidRPr="00E75E28">
        <w:rPr>
          <w:szCs w:val="18"/>
        </w:rPr>
        <w:t>Pending Licenses, Relicenses and Exemptions</w:t>
      </w:r>
      <w:r w:rsidRPr="00F4798A">
        <w:rPr>
          <w:szCs w:val="18"/>
        </w:rPr>
        <w:t xml:space="preserve">,” </w:t>
      </w:r>
      <w:r>
        <w:rPr>
          <w:szCs w:val="18"/>
        </w:rPr>
        <w:t xml:space="preserve">spreadsheet </w:t>
      </w:r>
      <w:r w:rsidRPr="00F4798A">
        <w:rPr>
          <w:szCs w:val="18"/>
        </w:rPr>
        <w:t>(</w:t>
      </w:r>
      <w:r>
        <w:rPr>
          <w:szCs w:val="18"/>
        </w:rPr>
        <w:t>August 22</w:t>
      </w:r>
      <w:r w:rsidRPr="00F4798A">
        <w:rPr>
          <w:szCs w:val="18"/>
        </w:rPr>
        <w:t>, 2019)</w:t>
      </w:r>
      <w:r>
        <w:rPr>
          <w:szCs w:val="18"/>
        </w:rPr>
        <w:t xml:space="preserve">, </w:t>
      </w:r>
      <w:hyperlink r:id="rId300" w:history="1">
        <w:r w:rsidRPr="00DB3C25">
          <w:rPr>
            <w:rStyle w:val="Hyperlink"/>
            <w:szCs w:val="18"/>
          </w:rPr>
          <w:t>https://www.ferc.gov/industries/hydropower/gen-info/licensing/pending-lre.xls</w:t>
        </w:r>
      </w:hyperlink>
      <w:r>
        <w:rPr>
          <w:szCs w:val="18"/>
        </w:rPr>
        <w:t>; and “</w:t>
      </w:r>
      <w:r>
        <w:t>A</w:t>
      </w:r>
      <w:r w:rsidRPr="00F4798A">
        <w:t xml:space="preserve">ctive </w:t>
      </w:r>
      <w:r>
        <w:t>L</w:t>
      </w:r>
      <w:r w:rsidRPr="00F4798A">
        <w:t>icenses,</w:t>
      </w:r>
      <w:r>
        <w:t xml:space="preserve">” spreadsheet (August 13, 2019), </w:t>
      </w:r>
      <w:hyperlink w:history="1"/>
      <w:hyperlink r:id="rId301" w:history="1">
        <w:r w:rsidRPr="000D3AEC">
          <w:rPr>
            <w:rStyle w:val="Hyperlink"/>
            <w:szCs w:val="18"/>
          </w:rPr>
          <w:t>https://www.ferc.gov/industries/hydropower/gen-info/licensing/pending-lre.xls</w:t>
        </w:r>
      </w:hyperlink>
      <w:r>
        <w:rPr>
          <w:szCs w:val="18"/>
        </w:rPr>
        <w:t>.</w:t>
      </w:r>
    </w:p>
  </w:footnote>
  <w:footnote w:id="320">
    <w:p w14:paraId="1C37C691" w14:textId="77777777" w:rsidR="00E231DA" w:rsidRPr="00CF64A5" w:rsidRDefault="00E231DA" w:rsidP="00D97E2B">
      <w:pPr>
        <w:pStyle w:val="FootnoteText"/>
        <w:rPr>
          <w:szCs w:val="18"/>
        </w:rPr>
      </w:pPr>
      <w:r w:rsidRPr="007676BF">
        <w:rPr>
          <w:rStyle w:val="FootnoteReference"/>
          <w:sz w:val="18"/>
          <w:szCs w:val="18"/>
        </w:rPr>
        <w:footnoteRef/>
      </w:r>
      <w:r w:rsidRPr="007676BF">
        <w:rPr>
          <w:szCs w:val="18"/>
        </w:rPr>
        <w:t xml:space="preserve"> </w:t>
      </w:r>
      <w:r w:rsidRPr="001C0517">
        <w:rPr>
          <w:szCs w:val="18"/>
        </w:rPr>
        <w:t>FERC issued revised schedules for remaining field work, consultation, and analyses studies required for amended license applications through most of 2019</w:t>
      </w:r>
      <w:r w:rsidRPr="00537437">
        <w:rPr>
          <w:szCs w:val="18"/>
        </w:rPr>
        <w:t>.</w:t>
      </w:r>
      <w:r>
        <w:rPr>
          <w:szCs w:val="18"/>
        </w:rPr>
        <w:t xml:space="preserve"> </w:t>
      </w:r>
      <w:r w:rsidRPr="001C0517">
        <w:rPr>
          <w:szCs w:val="18"/>
        </w:rPr>
        <w:t xml:space="preserve">FERC, </w:t>
      </w:r>
      <w:r w:rsidRPr="001C0517">
        <w:rPr>
          <w:i/>
          <w:szCs w:val="18"/>
        </w:rPr>
        <w:t>Revised Process Plan and Schedule—Wilder, Bellows Falls, and Vernon Hydroelectric Projects</w:t>
      </w:r>
      <w:r w:rsidRPr="001C0517">
        <w:rPr>
          <w:szCs w:val="18"/>
        </w:rPr>
        <w:t xml:space="preserve"> (February 15, 2018), </w:t>
      </w:r>
      <w:hyperlink r:id="rId302" w:history="1">
        <w:r w:rsidRPr="001C0517">
          <w:rPr>
            <w:rStyle w:val="Hyperlink"/>
            <w:szCs w:val="18"/>
          </w:rPr>
          <w:t>https://elibrary.ferc.gov/idmws/common/OpenNat.asp?fileID=14822954</w:t>
        </w:r>
      </w:hyperlink>
      <w:r w:rsidRPr="001C0517">
        <w:rPr>
          <w:szCs w:val="18"/>
        </w:rPr>
        <w:t xml:space="preserve">; </w:t>
      </w:r>
      <w:hyperlink r:id="rId303" w:history="1">
        <w:r w:rsidRPr="001C0517">
          <w:rPr>
            <w:rStyle w:val="Hyperlink"/>
            <w:i/>
            <w:color w:val="auto"/>
            <w:szCs w:val="18"/>
          </w:rPr>
          <w:t>Modification to Integrated Licensing Process Schedule, TransCanada Hydro Northeast, Inc., and Firstlight Hydro Generating Company</w:t>
        </w:r>
      </w:hyperlink>
      <w:r w:rsidRPr="001C0517">
        <w:rPr>
          <w:szCs w:val="18"/>
        </w:rPr>
        <w:t xml:space="preserve"> (December 21, 2012), </w:t>
      </w:r>
      <w:hyperlink r:id="rId304" w:history="1">
        <w:r w:rsidRPr="001C0517">
          <w:rPr>
            <w:rStyle w:val="Hyperlink"/>
            <w:szCs w:val="18"/>
          </w:rPr>
          <w:t>https://elibrary.ferc.gov/idmws/common/OpenNat.asp?fileID=13140524</w:t>
        </w:r>
      </w:hyperlink>
      <w:r w:rsidRPr="001C0517">
        <w:rPr>
          <w:szCs w:val="18"/>
        </w:rPr>
        <w:t xml:space="preserve">; Connecticut River Joint Commission, </w:t>
      </w:r>
      <w:hyperlink r:id="rId305" w:history="1">
        <w:r w:rsidRPr="001C0517">
          <w:rPr>
            <w:rStyle w:val="Hyperlink"/>
            <w:i/>
            <w:color w:val="auto"/>
            <w:szCs w:val="18"/>
          </w:rPr>
          <w:t>Relicensing of Connecticut River Dams</w:t>
        </w:r>
      </w:hyperlink>
      <w:r w:rsidRPr="001C0517">
        <w:rPr>
          <w:szCs w:val="18"/>
        </w:rPr>
        <w:t xml:space="preserve"> (accessed March 8, 2019). </w:t>
      </w:r>
    </w:p>
  </w:footnote>
  <w:footnote w:id="321">
    <w:p w14:paraId="22C96153" w14:textId="77777777" w:rsidR="00E231DA" w:rsidRDefault="00E231DA">
      <w:pPr>
        <w:pStyle w:val="FootnoteText"/>
      </w:pPr>
      <w:r w:rsidRPr="00895B79">
        <w:rPr>
          <w:rStyle w:val="FootnoteReference"/>
        </w:rPr>
        <w:footnoteRef/>
      </w:r>
      <w:r w:rsidRPr="00895B79">
        <w:t xml:space="preserve"> </w:t>
      </w:r>
      <w:r>
        <w:t>According to t</w:t>
      </w:r>
      <w:r w:rsidRPr="00895B79">
        <w:rPr>
          <w:szCs w:val="18"/>
        </w:rPr>
        <w:t>he</w:t>
      </w:r>
      <w:r w:rsidRPr="00895B79">
        <w:rPr>
          <w:rFonts w:eastAsia="Times New Roman"/>
          <w:szCs w:val="24"/>
        </w:rPr>
        <w:t xml:space="preserve"> Institute of Electrical and Electronics Enginee</w:t>
      </w:r>
      <w:r w:rsidRPr="0030699B">
        <w:rPr>
          <w:rFonts w:eastAsia="Times New Roman"/>
          <w:szCs w:val="24"/>
        </w:rPr>
        <w:t>rs</w:t>
      </w:r>
      <w:r w:rsidRPr="0030699B">
        <w:rPr>
          <w:szCs w:val="18"/>
        </w:rPr>
        <w:t xml:space="preserve"> (IEEE)</w:t>
      </w:r>
      <w:r>
        <w:rPr>
          <w:szCs w:val="18"/>
        </w:rPr>
        <w:t xml:space="preserve">, </w:t>
      </w:r>
      <w:r w:rsidRPr="0030699B">
        <w:rPr>
          <w:i/>
          <w:szCs w:val="18"/>
        </w:rPr>
        <w:t>flexible alternating-current transmission system</w:t>
      </w:r>
      <w:r w:rsidRPr="00F300A2">
        <w:rPr>
          <w:szCs w:val="18"/>
        </w:rPr>
        <w:t>s incorporate power-electronics-based controllers and other static controllers to enhance controllability and power-transfer capability</w:t>
      </w:r>
      <w:r>
        <w:rPr>
          <w:szCs w:val="18"/>
        </w:rPr>
        <w:t xml:space="preserve"> in power systems</w:t>
      </w:r>
      <w:r w:rsidRPr="00F300A2">
        <w:rPr>
          <w:szCs w:val="18"/>
        </w:rPr>
        <w:t xml:space="preserve">. See the IEEE’s Power and Energy Society’s webpage: </w:t>
      </w:r>
      <w:hyperlink r:id="rId306" w:history="1">
        <w:r w:rsidRPr="00F300A2">
          <w:rPr>
            <w:rStyle w:val="Hyperlink"/>
            <w:color w:val="auto"/>
            <w:szCs w:val="18"/>
          </w:rPr>
          <w:t>http://www.ieee-pes.org/nari-hingorani-facts-award</w:t>
        </w:r>
      </w:hyperlink>
      <w:r w:rsidRPr="00F300A2">
        <w:rPr>
          <w:szCs w:val="18"/>
        </w:rPr>
        <w:t>.</w:t>
      </w:r>
    </w:p>
  </w:footnote>
  <w:footnote w:id="322">
    <w:p w14:paraId="22A76CEB" w14:textId="77777777" w:rsidR="00E231DA" w:rsidRDefault="00E231DA" w:rsidP="00505568">
      <w:pPr>
        <w:pStyle w:val="FootnoteText"/>
      </w:pPr>
      <w:r>
        <w:rPr>
          <w:rStyle w:val="FootnoteReference"/>
        </w:rPr>
        <w:footnoteRef/>
      </w:r>
      <w:r>
        <w:t xml:space="preserve"> “All PV” accounts for behind-the-meter PV, FCM PV, and non-FCM PV.</w:t>
      </w:r>
    </w:p>
  </w:footnote>
  <w:footnote w:id="323">
    <w:p w14:paraId="0C0A3CF4" w14:textId="1AA2BBBD" w:rsidR="00E231DA" w:rsidRDefault="00E231DA" w:rsidP="00D725C0">
      <w:pPr>
        <w:pStyle w:val="FootnoteText"/>
      </w:pPr>
      <w:r w:rsidRPr="00B01314">
        <w:rPr>
          <w:rStyle w:val="FootnoteReference"/>
        </w:rPr>
        <w:footnoteRef/>
      </w:r>
      <w:r w:rsidRPr="00B01314">
        <w:t xml:space="preserve"> </w:t>
      </w:r>
      <w:r>
        <w:t xml:space="preserve">ISO New England, </w:t>
      </w:r>
      <w:r w:rsidRPr="00B01314">
        <w:rPr>
          <w:i/>
        </w:rPr>
        <w:t xml:space="preserve">2016 Economic Study: NEPOOL Scenario Analysis Report: Implications of Public Policies on ISO New England Market Design, System Reliability and Operability, Resource Costs and Revenues, and Emissions </w:t>
      </w:r>
      <w:r w:rsidRPr="00B01314">
        <w:t>(</w:t>
      </w:r>
      <w:r>
        <w:t>November 20</w:t>
      </w:r>
      <w:r w:rsidRPr="00B01314">
        <w:t xml:space="preserve">, 2017), </w:t>
      </w:r>
      <w:r w:rsidRPr="00693EF3">
        <w:t>h</w:t>
      </w:r>
      <w:hyperlink r:id="rId307" w:history="1">
        <w:r w:rsidRPr="00C06E47">
          <w:rPr>
            <w:rStyle w:val="Hyperlink"/>
          </w:rPr>
          <w:t>ttps://www.iso-ne.com/static-assets/documents/2017/11/final_2016_phase1_nepool_scenario_analysis_economic_study.docx</w:t>
        </w:r>
      </w:hyperlink>
      <w:r>
        <w:t>.</w:t>
      </w:r>
    </w:p>
  </w:footnote>
  <w:footnote w:id="324">
    <w:p w14:paraId="7FD11E59" w14:textId="70FC1F59" w:rsidR="00E231DA" w:rsidRDefault="00E231DA" w:rsidP="00D725C0">
      <w:pPr>
        <w:pStyle w:val="FootnoteText"/>
      </w:pPr>
      <w:r w:rsidRPr="00773B42">
        <w:rPr>
          <w:rStyle w:val="FootnoteReference"/>
        </w:rPr>
        <w:footnoteRef/>
      </w:r>
      <w:r w:rsidRPr="00773B42">
        <w:t xml:space="preserve"> </w:t>
      </w:r>
      <w:r w:rsidRPr="00A75620">
        <w:t>As part of the 2016 Economic Study, the ISO met with the PAC to discuss many of the challenges of integrating renewable resources.</w:t>
      </w:r>
      <w:r>
        <w:t xml:space="preserve"> </w:t>
      </w:r>
      <w:r w:rsidRPr="00773B42">
        <w:t xml:space="preserve">EPRI, </w:t>
      </w:r>
      <w:r w:rsidRPr="00F15075">
        <w:rPr>
          <w:i/>
        </w:rPr>
        <w:t xml:space="preserve">Grid Impacts and Challenges Arising from the Integration of Inverter-Based Variable Resources, </w:t>
      </w:r>
      <w:r w:rsidRPr="006C2AC8">
        <w:t xml:space="preserve">PAC </w:t>
      </w:r>
      <w:hyperlink r:id="rId308" w:history="1">
        <w:r w:rsidRPr="006C2AC8">
          <w:rPr>
            <w:rStyle w:val="Hyperlink"/>
          </w:rPr>
          <w:t>presentation</w:t>
        </w:r>
        <w:r w:rsidRPr="00FB6883">
          <w:rPr>
            <w:rStyle w:val="Hyperlink"/>
          </w:rPr>
          <w:t xml:space="preserve"> (October 19, 2016), </w:t>
        </w:r>
        <w:r w:rsidRPr="000B46BF">
          <w:rPr>
            <w:rStyle w:val="Hyperlink"/>
          </w:rPr>
          <w:t>https://www.iso-ne.com/static-assets/documents/2016/10/a3_integration_and_planning_of_large_amounts_of_inverter_based_resources.pptx</w:t>
        </w:r>
      </w:hyperlink>
      <w:r w:rsidRPr="00773B42">
        <w:t>.</w:t>
      </w:r>
    </w:p>
  </w:footnote>
  <w:footnote w:id="325">
    <w:p w14:paraId="14864800" w14:textId="77777777" w:rsidR="00E231DA" w:rsidRDefault="00E231DA" w:rsidP="00D725C0">
      <w:pPr>
        <w:pStyle w:val="FootnoteText"/>
      </w:pPr>
      <w:r>
        <w:rPr>
          <w:rStyle w:val="FootnoteReference"/>
        </w:rPr>
        <w:footnoteRef/>
      </w:r>
      <w:r>
        <w:t xml:space="preserve"> Light load conditions can present high-voltage issues and trigger overgeneration situations.</w:t>
      </w:r>
    </w:p>
  </w:footnote>
  <w:footnote w:id="326">
    <w:p w14:paraId="7E84F1A7" w14:textId="77777777" w:rsidR="00E231DA" w:rsidRPr="00653493" w:rsidRDefault="00E231DA" w:rsidP="00D725C0">
      <w:pPr>
        <w:pStyle w:val="FootnoteText"/>
      </w:pPr>
      <w:r w:rsidRPr="00653493">
        <w:rPr>
          <w:rStyle w:val="FootnoteReference"/>
        </w:rPr>
        <w:footnoteRef/>
      </w:r>
      <w:r w:rsidRPr="00653493">
        <w:t xml:space="preserve"> Analysis Group, </w:t>
      </w:r>
      <w:r w:rsidRPr="008D2EE5">
        <w:rPr>
          <w:i/>
        </w:rPr>
        <w:t>Capacity Market Impacts and Implications of Alternative Resource Expansion Scenarios: An Element of the ISO New England 2016 Economic Analysis</w:t>
      </w:r>
      <w:r>
        <w:rPr>
          <w:i/>
        </w:rPr>
        <w:t xml:space="preserve"> </w:t>
      </w:r>
      <w:r w:rsidRPr="00653493">
        <w:t>(</w:t>
      </w:r>
      <w:r>
        <w:t>July 3</w:t>
      </w:r>
      <w:r w:rsidRPr="00653493">
        <w:t xml:space="preserve">, 2017), </w:t>
      </w:r>
      <w:hyperlink r:id="rId309" w:history="1">
        <w:r w:rsidRPr="00D17ADD">
          <w:rPr>
            <w:rStyle w:val="Hyperlink"/>
          </w:rPr>
          <w:t>https://www.iso-ne.com/static-assets/documents/2017/07/final_analysis_group_2016_economic_analysis_capacity_market_impacts.pdf</w:t>
        </w:r>
      </w:hyperlink>
      <w:r w:rsidRPr="00D17ADD">
        <w:t xml:space="preserve">. </w:t>
      </w:r>
    </w:p>
  </w:footnote>
  <w:footnote w:id="327">
    <w:p w14:paraId="4D3782B6" w14:textId="77777777" w:rsidR="00E231DA" w:rsidRDefault="00E231DA" w:rsidP="001F4447">
      <w:pPr>
        <w:pStyle w:val="FootnoteText"/>
      </w:pPr>
      <w:r>
        <w:rPr>
          <w:rStyle w:val="FootnoteReference"/>
        </w:rPr>
        <w:footnoteRef/>
      </w:r>
      <w:r>
        <w:t xml:space="preserve"> ISO New England, </w:t>
      </w:r>
      <w:r w:rsidRPr="00C444B6">
        <w:rPr>
          <w:i/>
        </w:rPr>
        <w:t>2016 Economic Study Results: Peak-Gas-Day/Hour Capacity and Energy Analysis</w:t>
      </w:r>
      <w:r>
        <w:t xml:space="preserve">, PAC presentation (May 25, 2017), </w:t>
      </w:r>
      <w:hyperlink r:id="rId310" w:history="1">
        <w:r w:rsidRPr="001F4447">
          <w:rPr>
            <w:rStyle w:val="Hyperlink"/>
          </w:rPr>
          <w:t>https://www.iso-ne.com/static-assets/documents/2017/08/a3_2016_economic_study_natural_gas_capacity_and_energy_analysis_rev1.pdf</w:t>
        </w:r>
      </w:hyperlink>
      <w:r>
        <w:t>.</w:t>
      </w:r>
    </w:p>
  </w:footnote>
  <w:footnote w:id="328">
    <w:p w14:paraId="659E6172" w14:textId="587815C3" w:rsidR="00E231DA" w:rsidRPr="00A91001" w:rsidRDefault="00E231DA" w:rsidP="00D725C0">
      <w:pPr>
        <w:pStyle w:val="FootnoteText"/>
      </w:pPr>
      <w:r w:rsidRPr="000B46BF">
        <w:rPr>
          <w:rStyle w:val="FootnoteReference"/>
        </w:rPr>
        <w:footnoteRef/>
      </w:r>
      <w:r w:rsidRPr="000B46BF">
        <w:t xml:space="preserve"> ISO New England, </w:t>
      </w:r>
      <w:r w:rsidRPr="000B46BF">
        <w:rPr>
          <w:i/>
        </w:rPr>
        <w:t>2016 Economic Phase II Study—Regulation, Ramping, and Reserve</w:t>
      </w:r>
      <w:r w:rsidRPr="000B46BF">
        <w:t>, PAC presentation (December</w:t>
      </w:r>
      <w:r>
        <w:t> </w:t>
      </w:r>
      <w:r w:rsidRPr="000B46BF">
        <w:t xml:space="preserve">20, 2017), </w:t>
      </w:r>
      <w:hyperlink r:id="rId311" w:history="1">
        <w:r w:rsidRPr="000B46BF">
          <w:rPr>
            <w:rStyle w:val="Hyperlink"/>
          </w:rPr>
          <w:t>https://www.iso-ne.com/static-assets/documents/2017/12/a2_2016_economic_study_phase_2_regulation_ramping_reserves_introduction.pdf</w:t>
        </w:r>
      </w:hyperlink>
      <w:r>
        <w:rPr>
          <w:rStyle w:val="Hyperlink"/>
        </w:rPr>
        <w:t>;</w:t>
      </w:r>
      <w:r w:rsidRPr="000B46BF">
        <w:t xml:space="preserve"> and</w:t>
      </w:r>
      <w:r>
        <w:t xml:space="preserve"> </w:t>
      </w:r>
      <w:r w:rsidRPr="00F35652">
        <w:t xml:space="preserve">Amro Farid, </w:t>
      </w:r>
      <w:r w:rsidRPr="00F35652">
        <w:rPr>
          <w:i/>
        </w:rPr>
        <w:t>2016 Economic Study Phase II: Regulation, Ramping, and Reserves—Scenario Results</w:t>
      </w:r>
      <w:r>
        <w:t xml:space="preserve"> (</w:t>
      </w:r>
      <w:r w:rsidRPr="000B46BF">
        <w:t>Thayer School of Engineering</w:t>
      </w:r>
      <w:r>
        <w:t xml:space="preserve">, Dartmouth College, December 20, 2017), </w:t>
      </w:r>
      <w:hyperlink r:id="rId312" w:history="1">
        <w:r w:rsidRPr="00A91001">
          <w:rPr>
            <w:rStyle w:val="Hyperlink"/>
          </w:rPr>
          <w:t>https://www.iso-ne.com/static-assets/documents/2017/12/a2_2016_economic_study_phase_2_ramping_regulation_reservers_scenario_results.pdf</w:t>
        </w:r>
      </w:hyperlink>
      <w:r w:rsidRPr="00A91001">
        <w:rPr>
          <w:rStyle w:val="Hyperlink"/>
        </w:rPr>
        <w:t>.</w:t>
      </w:r>
    </w:p>
  </w:footnote>
  <w:footnote w:id="329">
    <w:p w14:paraId="080D50BF" w14:textId="77777777" w:rsidR="00E231DA" w:rsidRDefault="00E231DA" w:rsidP="00D725C0">
      <w:pPr>
        <w:pStyle w:val="FootnoteText"/>
      </w:pPr>
      <w:r w:rsidRPr="00A91001">
        <w:rPr>
          <w:rStyle w:val="FootnoteReference"/>
        </w:rPr>
        <w:footnoteRef/>
      </w:r>
      <w:r w:rsidRPr="00A91001">
        <w:t xml:space="preserve"> Semidispatchable resources reduce output to respect </w:t>
      </w:r>
      <w:r w:rsidRPr="004A3144">
        <w:t>system</w:t>
      </w:r>
      <w:r w:rsidRPr="00A91001">
        <w:t xml:space="preserve"> constraints by </w:t>
      </w:r>
      <w:r w:rsidRPr="00A91001">
        <w:rPr>
          <w:i/>
        </w:rPr>
        <w:t>spilling</w:t>
      </w:r>
      <w:r w:rsidRPr="00A91001">
        <w:t xml:space="preserve"> wind or sun but cannot increase output because they normally use all available wind and sun for energy production. Spilled renewable</w:t>
      </w:r>
      <w:r>
        <w:t xml:space="preserve">s </w:t>
      </w:r>
      <w:r w:rsidRPr="00A91001">
        <w:t>can include imports from Canada, hydro, wind, and photovoltaics.</w:t>
      </w:r>
    </w:p>
  </w:footnote>
  <w:footnote w:id="330">
    <w:p w14:paraId="01DF6C4F" w14:textId="79B3CC0B" w:rsidR="00E231DA" w:rsidRDefault="00E231DA" w:rsidP="00D725C0">
      <w:pPr>
        <w:pStyle w:val="FootnoteText"/>
      </w:pPr>
      <w:r w:rsidRPr="00F300A2">
        <w:rPr>
          <w:rStyle w:val="FootnoteReference"/>
        </w:rPr>
        <w:footnoteRef/>
      </w:r>
      <w:r w:rsidRPr="00F300A2">
        <w:t xml:space="preserve"> </w:t>
      </w:r>
      <w:r w:rsidRPr="00761909">
        <w:t>Anbaric, “2019 ISO New England Economic Study Request for Offshore Wind Impacts</w:t>
      </w:r>
      <w:r>
        <w:t>,”</w:t>
      </w:r>
      <w:r w:rsidRPr="00761909">
        <w:t xml:space="preserve"> (April 1, 2019), </w:t>
      </w:r>
      <w:hyperlink r:id="rId313" w:history="1">
        <w:r w:rsidRPr="00761909">
          <w:rPr>
            <w:rStyle w:val="Hyperlink"/>
          </w:rPr>
          <w:t>https://www.iso-ne.com/static-assets/documents/2019/04/anbaric_2019_economic_study_request.pdf</w:t>
        </w:r>
      </w:hyperlink>
      <w:r w:rsidRPr="00761909">
        <w:t xml:space="preserve">; NESCOE, “Request for 2019 Economic Study to Analyze Offshore Wind Integration,” </w:t>
      </w:r>
      <w:r w:rsidRPr="00761909">
        <w:rPr>
          <w:szCs w:val="18"/>
        </w:rPr>
        <w:t>(April 1, 2019),</w:t>
      </w:r>
      <w:hyperlink r:id="rId314" w:history="1">
        <w:r w:rsidRPr="00761909">
          <w:rPr>
            <w:rStyle w:val="Hyperlink"/>
            <w:szCs w:val="18"/>
          </w:rPr>
          <w:t xml:space="preserve"> https://www.iso-ne.com/static-assets/documents/2019/04/nescoe_2019_economic_study_request.pdf</w:t>
        </w:r>
      </w:hyperlink>
      <w:r w:rsidRPr="00761909">
        <w:rPr>
          <w:szCs w:val="18"/>
        </w:rPr>
        <w:t xml:space="preserve">; and RENEW, “2019 Economic Study Request: Economic Impact of Targeted Upgrades to the Orrington-South Interface Limit,”(April 1, 2019), </w:t>
      </w:r>
      <w:hyperlink r:id="rId315" w:history="1">
        <w:r w:rsidRPr="00761909">
          <w:rPr>
            <w:rStyle w:val="Hyperlink"/>
            <w:szCs w:val="18"/>
          </w:rPr>
          <w:t>https://www.iso-ne.com/static-assets/documents/2019/04/renew_2019_economic_study_request.pdf</w:t>
        </w:r>
      </w:hyperlink>
      <w:r w:rsidRPr="00761909">
        <w:rPr>
          <w:szCs w:val="18"/>
        </w:rPr>
        <w:t xml:space="preserve">. Also see: ISO New England, </w:t>
      </w:r>
      <w:r w:rsidRPr="00761909">
        <w:rPr>
          <w:i/>
          <w:szCs w:val="18"/>
        </w:rPr>
        <w:t>2019 Economic Studies—Draft Scope of Work and High-Level Assumptions</w:t>
      </w:r>
      <w:r w:rsidRPr="00761909">
        <w:rPr>
          <w:szCs w:val="18"/>
        </w:rPr>
        <w:t xml:space="preserve">, PAC presentation (May 21, 2019), </w:t>
      </w:r>
      <w:hyperlink r:id="rId316" w:history="1">
        <w:r w:rsidRPr="00761909">
          <w:rPr>
            <w:rStyle w:val="Hyperlink"/>
            <w:szCs w:val="18"/>
          </w:rPr>
          <w:t>https://www.iso-ne.com/static-assets/documents/2019/05/a2_2019_economic_study_draft_scope_of_work_and_high_level_assumptions.pptx</w:t>
        </w:r>
      </w:hyperlink>
      <w:r w:rsidRPr="00761909">
        <w:rPr>
          <w:szCs w:val="18"/>
        </w:rPr>
        <w:t>.</w:t>
      </w:r>
    </w:p>
  </w:footnote>
  <w:footnote w:id="331">
    <w:p w14:paraId="734AB9A9" w14:textId="77777777" w:rsidR="00E231DA" w:rsidRDefault="00E231DA" w:rsidP="00ED6479">
      <w:pPr>
        <w:pStyle w:val="FootnoteText"/>
      </w:pPr>
      <w:r w:rsidRPr="002F1F99">
        <w:rPr>
          <w:rStyle w:val="FootnoteReference"/>
        </w:rPr>
        <w:footnoteRef/>
      </w:r>
      <w:r w:rsidRPr="002F1F99">
        <w:t xml:space="preserve"> </w:t>
      </w:r>
      <w:r w:rsidRPr="002F1F99">
        <w:rPr>
          <w:szCs w:val="18"/>
        </w:rPr>
        <w:t xml:space="preserve">For additional information on these entities refer to the following: DOE NREL, </w:t>
      </w:r>
      <w:hyperlink r:id="rId317" w:history="1">
        <w:r w:rsidRPr="002F1F99">
          <w:rPr>
            <w:rStyle w:val="Hyperlink"/>
            <w:szCs w:val="18"/>
          </w:rPr>
          <w:t>https://www.nrel.gov/</w:t>
        </w:r>
      </w:hyperlink>
      <w:r w:rsidRPr="002F1F99">
        <w:rPr>
          <w:szCs w:val="18"/>
        </w:rPr>
        <w:t>; EIP</w:t>
      </w:r>
      <w:r w:rsidRPr="00F300A2">
        <w:rPr>
          <w:szCs w:val="18"/>
        </w:rPr>
        <w:t>C</w:t>
      </w:r>
      <w:r w:rsidRPr="002F1F99">
        <w:rPr>
          <w:szCs w:val="18"/>
        </w:rPr>
        <w:t>,</w:t>
      </w:r>
      <w:r w:rsidRPr="00F300A2">
        <w:rPr>
          <w:szCs w:val="18"/>
        </w:rPr>
        <w:t xml:space="preserve"> </w:t>
      </w:r>
      <w:hyperlink r:id="rId318" w:history="1">
        <w:r w:rsidRPr="002F1F99">
          <w:rPr>
            <w:rStyle w:val="Hyperlink"/>
            <w:szCs w:val="18"/>
          </w:rPr>
          <w:t>https://eipconline.com/</w:t>
        </w:r>
      </w:hyperlink>
      <w:r w:rsidRPr="002F1F99">
        <w:rPr>
          <w:szCs w:val="18"/>
        </w:rPr>
        <w:t xml:space="preserve">; EPRI, </w:t>
      </w:r>
      <w:hyperlink r:id="rId319" w:history="1">
        <w:r w:rsidRPr="00F300A2">
          <w:rPr>
            <w:rStyle w:val="Hyperlink"/>
            <w:color w:val="auto"/>
            <w:szCs w:val="18"/>
          </w:rPr>
          <w:t>http://www.epri.com/</w:t>
        </w:r>
      </w:hyperlink>
      <w:r w:rsidRPr="002F1F99">
        <w:rPr>
          <w:rStyle w:val="Hyperlink"/>
          <w:color w:val="auto"/>
          <w:szCs w:val="18"/>
        </w:rPr>
        <w:t xml:space="preserve">; </w:t>
      </w:r>
      <w:r w:rsidRPr="002F1F99">
        <w:rPr>
          <w:szCs w:val="18"/>
        </w:rPr>
        <w:t>IEEE,</w:t>
      </w:r>
      <w:r w:rsidRPr="00F300A2">
        <w:rPr>
          <w:szCs w:val="18"/>
        </w:rPr>
        <w:t xml:space="preserve"> </w:t>
      </w:r>
      <w:hyperlink r:id="rId320" w:history="1">
        <w:r w:rsidRPr="00F300A2">
          <w:rPr>
            <w:rStyle w:val="Hyperlink"/>
            <w:szCs w:val="18"/>
          </w:rPr>
          <w:t>http://www.ieee.org/index.html</w:t>
        </w:r>
        <w:r w:rsidRPr="002F1F99">
          <w:rPr>
            <w:rStyle w:val="Hyperlink"/>
            <w:szCs w:val="18"/>
          </w:rPr>
          <w:t>;</w:t>
        </w:r>
      </w:hyperlink>
      <w:r w:rsidRPr="002F1F99">
        <w:rPr>
          <w:rStyle w:val="Hyperlink"/>
          <w:color w:val="auto"/>
          <w:szCs w:val="18"/>
        </w:rPr>
        <w:t xml:space="preserve"> </w:t>
      </w:r>
      <w:r w:rsidRPr="002F1F99">
        <w:rPr>
          <w:szCs w:val="18"/>
        </w:rPr>
        <w:t xml:space="preserve">CIGRE, </w:t>
      </w:r>
      <w:hyperlink r:id="rId321" w:history="1">
        <w:r w:rsidRPr="002F1F99">
          <w:rPr>
            <w:rStyle w:val="Hyperlink"/>
            <w:szCs w:val="18"/>
          </w:rPr>
          <w:t>https://www.cigre.org/</w:t>
        </w:r>
      </w:hyperlink>
      <w:r w:rsidRPr="002F1F99">
        <w:rPr>
          <w:szCs w:val="18"/>
        </w:rPr>
        <w:t xml:space="preserve">; and PSERC, </w:t>
      </w:r>
      <w:hyperlink r:id="rId322" w:history="1">
        <w:r w:rsidRPr="00F300A2">
          <w:rPr>
            <w:rStyle w:val="Hyperlink"/>
            <w:color w:val="auto"/>
            <w:szCs w:val="18"/>
          </w:rPr>
          <w:t>http://www.pserc.wisc.edu/home/index.aspx</w:t>
        </w:r>
      </w:hyperlink>
      <w:r w:rsidRPr="00F300A2">
        <w:rPr>
          <w:rStyle w:val="Hyperlink"/>
          <w:color w:val="auto"/>
          <w:szCs w:val="18"/>
        </w:rPr>
        <w:t>.</w:t>
      </w:r>
    </w:p>
  </w:footnote>
  <w:footnote w:id="332">
    <w:p w14:paraId="14C1739F" w14:textId="77777777" w:rsidR="00E231DA" w:rsidRDefault="00E231DA" w:rsidP="00BC233C">
      <w:pPr>
        <w:pStyle w:val="FootnoteText"/>
      </w:pPr>
      <w:r>
        <w:rPr>
          <w:rStyle w:val="FootnoteReference"/>
        </w:rPr>
        <w:footnoteRef/>
      </w:r>
      <w:r>
        <w:t xml:space="preserve"> NREL, </w:t>
      </w:r>
      <w:r w:rsidRPr="00B14FDF">
        <w:rPr>
          <w:i/>
        </w:rPr>
        <w:t>2018 Standard Scenarios Report: A U.S. Electricity Sector Outlook</w:t>
      </w:r>
      <w:r>
        <w:t xml:space="preserve"> (November 2018), </w:t>
      </w:r>
      <w:hyperlink r:id="rId323" w:history="1">
        <w:r w:rsidRPr="00BC233C">
          <w:rPr>
            <w:rStyle w:val="Hyperlink"/>
          </w:rPr>
          <w:t>https://www.nrel.gov/docs/fy19osti/71913.pdf</w:t>
        </w:r>
      </w:hyperlink>
      <w:r>
        <w:t xml:space="preserve">; “Standard Scenarios,” webpage (n.d.), </w:t>
      </w:r>
      <w:hyperlink r:id="rId324" w:history="1">
        <w:r w:rsidRPr="00292B79">
          <w:rPr>
            <w:rStyle w:val="Hyperlink"/>
          </w:rPr>
          <w:t>https://www.nrel.gov/analysis/standard-scenarios.html</w:t>
        </w:r>
      </w:hyperlink>
      <w:r>
        <w:t xml:space="preserve">; and </w:t>
      </w:r>
      <w:r w:rsidRPr="00F300A2">
        <w:rPr>
          <w:i/>
        </w:rPr>
        <w:t>T</w:t>
      </w:r>
      <w:r w:rsidRPr="00B14FDF">
        <w:rPr>
          <w:i/>
        </w:rPr>
        <w:t>he Western Wind and Solar Integration Study Phase 2</w:t>
      </w:r>
      <w:r>
        <w:t xml:space="preserve"> (September 2013), </w:t>
      </w:r>
      <w:hyperlink r:id="rId325" w:history="1">
        <w:r w:rsidRPr="00292B79">
          <w:rPr>
            <w:rStyle w:val="Hyperlink"/>
          </w:rPr>
          <w:t>https://www.nrel.gov/docs/fy13osti/55588.pdf</w:t>
        </w:r>
      </w:hyperlink>
      <w:r>
        <w:t xml:space="preserve">. </w:t>
      </w:r>
    </w:p>
  </w:footnote>
  <w:footnote w:id="333">
    <w:p w14:paraId="5C7D6277" w14:textId="77777777" w:rsidR="00E231DA" w:rsidRPr="003F2232" w:rsidRDefault="00E231DA" w:rsidP="00D725C0">
      <w:pPr>
        <w:pStyle w:val="FootnoteText"/>
      </w:pPr>
      <w:r w:rsidRPr="00E81BBE">
        <w:rPr>
          <w:rStyle w:val="FootnoteReference"/>
        </w:rPr>
        <w:footnoteRef/>
      </w:r>
      <w:r w:rsidRPr="00E81BBE">
        <w:t xml:space="preserve"> The </w:t>
      </w:r>
      <w:r>
        <w:t>architecture</w:t>
      </w:r>
      <w:r w:rsidRPr="00E81BBE">
        <w:t xml:space="preserve"> of the grid remains an open issue for assigning control responsibility to the distribution system </w:t>
      </w:r>
      <w:r w:rsidRPr="003F2232">
        <w:t>operator, transmission system operator, or both.</w:t>
      </w:r>
    </w:p>
  </w:footnote>
  <w:footnote w:id="334">
    <w:p w14:paraId="7B4A1E19" w14:textId="3D47EB63" w:rsidR="00E231DA" w:rsidRDefault="00E231DA">
      <w:pPr>
        <w:pStyle w:val="FootnoteText"/>
      </w:pPr>
      <w:r w:rsidRPr="003F2232">
        <w:rPr>
          <w:rStyle w:val="FootnoteReference"/>
        </w:rPr>
        <w:footnoteRef/>
      </w:r>
      <w:r w:rsidRPr="003F2232">
        <w:t xml:space="preserve"> A </w:t>
      </w:r>
      <w:r w:rsidRPr="003F2232">
        <w:rPr>
          <w:i/>
          <w:szCs w:val="18"/>
        </w:rPr>
        <w:t xml:space="preserve">critical load </w:t>
      </w:r>
      <w:r w:rsidRPr="00DB3C25">
        <w:rPr>
          <w:szCs w:val="18"/>
        </w:rPr>
        <w:t xml:space="preserve">must have reliable service and is usually restored as early as possible during system restoration. Examples include police and fire stations, </w:t>
      </w:r>
      <w:r>
        <w:rPr>
          <w:szCs w:val="18"/>
        </w:rPr>
        <w:t xml:space="preserve">emergency shelters, </w:t>
      </w:r>
      <w:r w:rsidRPr="00DB3C25">
        <w:rPr>
          <w:szCs w:val="18"/>
        </w:rPr>
        <w:t xml:space="preserve">healthcare facilities, pharmacies, grocery stores, gas stations, and the like.  </w:t>
      </w:r>
    </w:p>
  </w:footnote>
  <w:footnote w:id="335">
    <w:p w14:paraId="513768EA" w14:textId="77777777" w:rsidR="00E231DA" w:rsidRDefault="00E231DA">
      <w:pPr>
        <w:pStyle w:val="FootnoteText"/>
      </w:pPr>
      <w:r>
        <w:rPr>
          <w:rStyle w:val="FootnoteReference"/>
        </w:rPr>
        <w:footnoteRef/>
      </w:r>
      <w:r>
        <w:t xml:space="preserve"> David J. Smith, “Philadelphia Navy Yard Advanced Microgrid,” IDEA 2015 infographic presentation, Boston, MA (The Burns Group, June 29, 2015), </w:t>
      </w:r>
      <w:hyperlink r:id="rId326" w:history="1">
        <w:r w:rsidRPr="006F4154">
          <w:rPr>
            <w:rStyle w:val="Hyperlink"/>
          </w:rPr>
          <w:t>http://www.burns-group.com/wp-content/uploads/2016/10/The_Navy_Yard_Advanced_Microgrid_IDEA_2015.pdf</w:t>
        </w:r>
      </w:hyperlink>
      <w:r>
        <w:t>.</w:t>
      </w:r>
    </w:p>
  </w:footnote>
  <w:footnote w:id="336">
    <w:p w14:paraId="7BEF4323" w14:textId="1795705C" w:rsidR="00E231DA" w:rsidRDefault="00E231DA">
      <w:pPr>
        <w:pStyle w:val="FootnoteText"/>
      </w:pPr>
      <w:r w:rsidRPr="00F60FD6">
        <w:rPr>
          <w:rStyle w:val="FootnoteReference"/>
        </w:rPr>
        <w:footnoteRef/>
      </w:r>
      <w:r w:rsidRPr="00F60FD6">
        <w:t xml:space="preserve"> With regard to hydroelectric plants, “peaking” usually applies to daily storage and “ponding’ applies to storage for longer periods, such as on weekends, for seasons, and even </w:t>
      </w:r>
      <w:r w:rsidRPr="00B31FEF">
        <w:t>for multiyear periods, as is the case with many facilities in Hydro-Québec.</w:t>
      </w:r>
    </w:p>
  </w:footnote>
  <w:footnote w:id="337">
    <w:p w14:paraId="55C0B23F" w14:textId="77777777" w:rsidR="00E231DA" w:rsidRDefault="00E231DA">
      <w:pPr>
        <w:pStyle w:val="FootnoteText"/>
      </w:pPr>
      <w:r>
        <w:rPr>
          <w:rStyle w:val="FootnoteReference"/>
        </w:rPr>
        <w:footnoteRef/>
      </w:r>
      <w:r>
        <w:t xml:space="preserve"> </w:t>
      </w:r>
      <w:r w:rsidRPr="00511085">
        <w:rPr>
          <w:i/>
        </w:rPr>
        <w:t>Blackstart</w:t>
      </w:r>
      <w:r>
        <w:t xml:space="preserve"> </w:t>
      </w:r>
      <w:r w:rsidRPr="00645B29">
        <w:t>generating unit</w:t>
      </w:r>
      <w:r>
        <w:t>s</w:t>
      </w:r>
      <w:r w:rsidRPr="00645B29">
        <w:t xml:space="preserve"> </w:t>
      </w:r>
      <w:r>
        <w:t xml:space="preserve">can start up </w:t>
      </w:r>
      <w:r w:rsidRPr="00645B29">
        <w:t xml:space="preserve">without an outside electricity supply, generally by </w:t>
      </w:r>
      <w:r>
        <w:t xml:space="preserve">using </w:t>
      </w:r>
      <w:r w:rsidRPr="00645B29">
        <w:t>batteries or compressed air.</w:t>
      </w:r>
    </w:p>
  </w:footnote>
  <w:footnote w:id="338">
    <w:p w14:paraId="5C830189" w14:textId="77777777" w:rsidR="00E231DA" w:rsidRPr="009459DF" w:rsidRDefault="00E231DA" w:rsidP="00D725C0">
      <w:pPr>
        <w:pStyle w:val="FootnoteText"/>
      </w:pPr>
      <w:r w:rsidRPr="009459DF">
        <w:rPr>
          <w:rStyle w:val="FootnoteReference"/>
        </w:rPr>
        <w:footnoteRef/>
      </w:r>
      <w:r w:rsidRPr="009459DF">
        <w:t xml:space="preserve"> Power traditionally flowed from the transmission system to distribution system. </w:t>
      </w:r>
    </w:p>
  </w:footnote>
  <w:footnote w:id="339">
    <w:p w14:paraId="28DEDF21" w14:textId="77777777" w:rsidR="00E231DA" w:rsidRPr="00F300A2" w:rsidRDefault="00E231DA">
      <w:pPr>
        <w:pStyle w:val="CommentText"/>
        <w:spacing w:after="80"/>
        <w:rPr>
          <w:sz w:val="18"/>
          <w:szCs w:val="18"/>
        </w:rPr>
      </w:pPr>
      <w:r w:rsidRPr="00770E94">
        <w:rPr>
          <w:rStyle w:val="FootnoteReference"/>
          <w:sz w:val="18"/>
          <w:szCs w:val="18"/>
        </w:rPr>
        <w:footnoteRef/>
      </w:r>
      <w:r w:rsidRPr="00770E94">
        <w:rPr>
          <w:sz w:val="18"/>
          <w:szCs w:val="18"/>
        </w:rPr>
        <w:t xml:space="preserve"> Dal</w:t>
      </w:r>
      <w:r>
        <w:rPr>
          <w:sz w:val="18"/>
          <w:szCs w:val="18"/>
        </w:rPr>
        <w:t xml:space="preserve">e </w:t>
      </w:r>
      <w:r w:rsidRPr="00F300A2">
        <w:rPr>
          <w:sz w:val="18"/>
          <w:szCs w:val="18"/>
        </w:rPr>
        <w:t xml:space="preserve">Osborn, </w:t>
      </w:r>
      <w:r w:rsidRPr="00F300A2">
        <w:rPr>
          <w:i/>
          <w:sz w:val="18"/>
          <w:szCs w:val="18"/>
        </w:rPr>
        <w:t xml:space="preserve">ARPA-E Transmission Planning, </w:t>
      </w:r>
      <w:r w:rsidRPr="00F300A2">
        <w:rPr>
          <w:sz w:val="18"/>
          <w:szCs w:val="18"/>
        </w:rPr>
        <w:t xml:space="preserve">presentation (MISO, September 29, 2016), </w:t>
      </w:r>
      <w:hyperlink r:id="rId327" w:history="1">
        <w:r w:rsidRPr="00F300A2">
          <w:rPr>
            <w:rStyle w:val="Hyperlink"/>
            <w:sz w:val="18"/>
            <w:szCs w:val="18"/>
          </w:rPr>
          <w:t>https://arpa-e.energy.gov/sites/default/files/ARPA-E%20Dale%20Osborn.pdf</w:t>
        </w:r>
      </w:hyperlink>
      <w:r w:rsidRPr="00F300A2">
        <w:rPr>
          <w:sz w:val="18"/>
          <w:szCs w:val="18"/>
        </w:rPr>
        <w:t xml:space="preserve">, and </w:t>
      </w:r>
      <w:r w:rsidRPr="00F300A2">
        <w:rPr>
          <w:i/>
          <w:sz w:val="18"/>
          <w:szCs w:val="18"/>
        </w:rPr>
        <w:t>HVDC for DOE</w:t>
      </w:r>
      <w:r w:rsidRPr="00F300A2">
        <w:rPr>
          <w:sz w:val="18"/>
          <w:szCs w:val="18"/>
        </w:rPr>
        <w:t xml:space="preserve">, presentation (September 28, 2016), </w:t>
      </w:r>
      <w:hyperlink r:id="rId328" w:history="1">
        <w:r w:rsidRPr="00F300A2">
          <w:rPr>
            <w:color w:val="000000"/>
            <w:sz w:val="18"/>
            <w:szCs w:val="18"/>
          </w:rPr>
          <w:t>https://www.energy.gov/sites/prod/files/2016/10/f33/2_HVDC%20Panel%20-%20Dale%20Osborn%2C%20MISO.pdf</w:t>
        </w:r>
      </w:hyperlink>
      <w:r w:rsidRPr="00F300A2">
        <w:rPr>
          <w:color w:val="000000"/>
          <w:sz w:val="18"/>
          <w:szCs w:val="18"/>
        </w:rPr>
        <w:t>.</w:t>
      </w:r>
    </w:p>
  </w:footnote>
  <w:footnote w:id="340">
    <w:p w14:paraId="0922C038" w14:textId="77777777" w:rsidR="00E231DA" w:rsidRPr="0060099F" w:rsidRDefault="00E231DA" w:rsidP="00D725C0">
      <w:pPr>
        <w:spacing w:after="80" w:line="240" w:lineRule="auto"/>
        <w:rPr>
          <w:sz w:val="18"/>
          <w:szCs w:val="18"/>
        </w:rPr>
      </w:pPr>
      <w:r w:rsidRPr="009459DF">
        <w:rPr>
          <w:rStyle w:val="FootnoteReference"/>
          <w:sz w:val="18"/>
          <w:szCs w:val="18"/>
        </w:rPr>
        <w:footnoteRef/>
      </w:r>
      <w:r w:rsidRPr="009459DF">
        <w:rPr>
          <w:sz w:val="18"/>
          <w:szCs w:val="18"/>
        </w:rPr>
        <w:t xml:space="preserve"> Grid transformation encompasses smart grid technologies. IEEE describes </w:t>
      </w:r>
      <w:r w:rsidRPr="009459DF">
        <w:rPr>
          <w:iCs/>
          <w:sz w:val="18"/>
          <w:szCs w:val="18"/>
        </w:rPr>
        <w:t>the</w:t>
      </w:r>
      <w:r w:rsidRPr="009459DF">
        <w:rPr>
          <w:i/>
          <w:iCs/>
          <w:sz w:val="18"/>
          <w:szCs w:val="18"/>
        </w:rPr>
        <w:t xml:space="preserve"> smart grid </w:t>
      </w:r>
      <w:r w:rsidRPr="009459DF">
        <w:rPr>
          <w:sz w:val="18"/>
          <w:szCs w:val="18"/>
        </w:rPr>
        <w:t>as a “next-generation” electrical power system that typically employs the increased use of communications and information technolog</w:t>
      </w:r>
      <w:r>
        <w:rPr>
          <w:sz w:val="18"/>
          <w:szCs w:val="18"/>
        </w:rPr>
        <w:t>ies</w:t>
      </w:r>
      <w:r w:rsidRPr="009459DF">
        <w:rPr>
          <w:sz w:val="18"/>
          <w:szCs w:val="18"/>
        </w:rPr>
        <w:t xml:space="preserve"> for </w:t>
      </w:r>
      <w:r w:rsidRPr="002F1F99">
        <w:rPr>
          <w:sz w:val="18"/>
          <w:szCs w:val="18"/>
        </w:rPr>
        <w:t xml:space="preserve">generating, delivering, and consuming electrical energy. See the IEEE’s “Smart Grid Community” webpage (2019) for a full discussion of smart grid technology: </w:t>
      </w:r>
      <w:hyperlink r:id="rId329" w:history="1">
        <w:r w:rsidRPr="002F1F99">
          <w:rPr>
            <w:rStyle w:val="Hyperlink"/>
            <w:color w:val="auto"/>
            <w:sz w:val="18"/>
            <w:szCs w:val="18"/>
          </w:rPr>
          <w:t>https://www.ieee.org/membership-catalog/productdetail/showProductDetailPage.html?product=CMYSG735</w:t>
        </w:r>
      </w:hyperlink>
      <w:r w:rsidRPr="002F1F99">
        <w:rPr>
          <w:sz w:val="18"/>
          <w:szCs w:val="18"/>
        </w:rPr>
        <w:t>.</w:t>
      </w:r>
    </w:p>
  </w:footnote>
  <w:footnote w:id="341">
    <w:p w14:paraId="1534E5E9" w14:textId="77777777" w:rsidR="00E231DA" w:rsidRPr="0060099F" w:rsidRDefault="00E231DA" w:rsidP="00D725C0">
      <w:pPr>
        <w:spacing w:after="80" w:line="240" w:lineRule="auto"/>
        <w:rPr>
          <w:sz w:val="18"/>
          <w:szCs w:val="18"/>
        </w:rPr>
      </w:pPr>
      <w:r w:rsidRPr="002D2653">
        <w:rPr>
          <w:rStyle w:val="FootnoteReference"/>
          <w:sz w:val="18"/>
          <w:szCs w:val="18"/>
        </w:rPr>
        <w:footnoteRef/>
      </w:r>
      <w:r w:rsidRPr="002D2653">
        <w:rPr>
          <w:sz w:val="18"/>
          <w:szCs w:val="18"/>
        </w:rPr>
        <w:t xml:space="preserve"> ISO/RTO Council, “North American Wholesale Electricity Demand-Response Program Comparison, 2018 Edition</w:t>
      </w:r>
      <w:r>
        <w:rPr>
          <w:sz w:val="18"/>
          <w:szCs w:val="18"/>
        </w:rPr>
        <w:t>,</w:t>
      </w:r>
      <w:r w:rsidRPr="002D2653">
        <w:rPr>
          <w:sz w:val="18"/>
          <w:szCs w:val="18"/>
        </w:rPr>
        <w:t xml:space="preserve">” webpage and Excel spreadsheet (November 2018), </w:t>
      </w:r>
      <w:hyperlink r:id="rId330" w:history="1">
        <w:r w:rsidRPr="003824A7">
          <w:rPr>
            <w:sz w:val="18"/>
            <w:szCs w:val="18"/>
          </w:rPr>
          <w:t>https://isorto.org/reports-and-filings/</w:t>
        </w:r>
      </w:hyperlink>
      <w:r w:rsidRPr="003824A7">
        <w:rPr>
          <w:sz w:val="18"/>
          <w:szCs w:val="18"/>
        </w:rPr>
        <w:t xml:space="preserve"> </w:t>
      </w:r>
      <w:r w:rsidRPr="00502D19">
        <w:rPr>
          <w:sz w:val="18"/>
          <w:szCs w:val="18"/>
        </w:rPr>
        <w:t>and</w:t>
      </w:r>
      <w:r w:rsidRPr="002D2653">
        <w:rPr>
          <w:sz w:val="18"/>
          <w:szCs w:val="18"/>
        </w:rPr>
        <w:t xml:space="preserve"> </w:t>
      </w:r>
      <w:hyperlink r:id="rId331" w:history="1">
        <w:r w:rsidRPr="002D2653">
          <w:rPr>
            <w:rStyle w:val="Hyperlink"/>
            <w:sz w:val="18"/>
            <w:szCs w:val="18"/>
          </w:rPr>
          <w:t>https://isorto.org/wp-content/uploads/2018/12/2018-Demand-Response-Program-Comparison.xlsx</w:t>
        </w:r>
      </w:hyperlink>
      <w:r w:rsidRPr="002D2653">
        <w:rPr>
          <w:rStyle w:val="Hyperlink"/>
          <w:sz w:val="18"/>
          <w:szCs w:val="18"/>
        </w:rPr>
        <w:t>.</w:t>
      </w:r>
    </w:p>
  </w:footnote>
  <w:footnote w:id="342">
    <w:p w14:paraId="2964CCA6" w14:textId="77777777" w:rsidR="00E231DA" w:rsidRPr="00FE3A65" w:rsidRDefault="00E231DA" w:rsidP="00D725C0">
      <w:pPr>
        <w:spacing w:after="80" w:line="240" w:lineRule="auto"/>
        <w:rPr>
          <w:sz w:val="18"/>
          <w:szCs w:val="18"/>
        </w:rPr>
      </w:pPr>
      <w:r w:rsidRPr="0060099F">
        <w:rPr>
          <w:rStyle w:val="FootnoteReference"/>
          <w:sz w:val="18"/>
          <w:szCs w:val="18"/>
        </w:rPr>
        <w:footnoteRef/>
      </w:r>
      <w:r w:rsidRPr="0060099F">
        <w:rPr>
          <w:sz w:val="18"/>
          <w:szCs w:val="18"/>
        </w:rPr>
        <w:t xml:space="preserve"> </w:t>
      </w:r>
      <w:r w:rsidRPr="00502D19">
        <w:rPr>
          <w:rStyle w:val="Hyperlink"/>
          <w:color w:val="auto"/>
          <w:sz w:val="18"/>
          <w:szCs w:val="18"/>
        </w:rPr>
        <w:t xml:space="preserve">Also refer to </w:t>
      </w:r>
      <w:r>
        <w:rPr>
          <w:rStyle w:val="Hyperlink"/>
          <w:color w:val="auto"/>
          <w:sz w:val="18"/>
          <w:szCs w:val="18"/>
        </w:rPr>
        <w:t xml:space="preserve">IEEE’s </w:t>
      </w:r>
      <w:r w:rsidRPr="00502D19">
        <w:rPr>
          <w:sz w:val="18"/>
          <w:szCs w:val="18"/>
        </w:rPr>
        <w:t xml:space="preserve">Power and Energy Society at </w:t>
      </w:r>
      <w:hyperlink r:id="rId332" w:history="1">
        <w:r w:rsidRPr="00EB2862">
          <w:rPr>
            <w:rStyle w:val="Hyperlink"/>
            <w:sz w:val="18"/>
            <w:szCs w:val="18"/>
          </w:rPr>
          <w:t>http://www.ieee-pes.org/</w:t>
        </w:r>
      </w:hyperlink>
      <w:r w:rsidRPr="00EB2862">
        <w:rPr>
          <w:rStyle w:val="Hyperlink"/>
          <w:sz w:val="18"/>
          <w:szCs w:val="18"/>
        </w:rPr>
        <w:t xml:space="preserve">, which publishes </w:t>
      </w:r>
      <w:r w:rsidRPr="00EB2862">
        <w:rPr>
          <w:i/>
          <w:sz w:val="18"/>
          <w:szCs w:val="18"/>
        </w:rPr>
        <w:t xml:space="preserve">Power and Energy </w:t>
      </w:r>
      <w:r w:rsidRPr="00FE3A65">
        <w:rPr>
          <w:i/>
          <w:sz w:val="18"/>
          <w:szCs w:val="18"/>
        </w:rPr>
        <w:t>Magazine</w:t>
      </w:r>
      <w:r w:rsidRPr="00FE3A65">
        <w:rPr>
          <w:sz w:val="18"/>
          <w:szCs w:val="18"/>
        </w:rPr>
        <w:t>, written for technical and nontechnical readers alike.</w:t>
      </w:r>
    </w:p>
  </w:footnote>
  <w:footnote w:id="343">
    <w:p w14:paraId="2A83B966" w14:textId="0316C4DF" w:rsidR="00E231DA" w:rsidRDefault="00E231DA">
      <w:pPr>
        <w:pStyle w:val="FootnoteText"/>
      </w:pPr>
      <w:r w:rsidRPr="00FE3A65">
        <w:rPr>
          <w:rStyle w:val="FootnoteReference"/>
        </w:rPr>
        <w:footnoteRef/>
      </w:r>
      <w:r w:rsidRPr="00FE3A65">
        <w:t xml:space="preserve"> </w:t>
      </w:r>
      <w:r w:rsidRPr="00FE3A65">
        <w:rPr>
          <w:i/>
        </w:rPr>
        <w:t xml:space="preserve">Interoperability </w:t>
      </w:r>
      <w:r w:rsidRPr="00FE3A65">
        <w:t>refers to the ability of computer systems or software to exchange and make use of information, including between devices made by different manufacturers.</w:t>
      </w:r>
      <w:r w:rsidRPr="00BD707F">
        <w:t xml:space="preserve"> </w:t>
      </w:r>
      <w:r>
        <w:rPr>
          <w:szCs w:val="18"/>
        </w:rPr>
        <w:t>IEEE,</w:t>
      </w:r>
      <w:r w:rsidRPr="009538A2">
        <w:rPr>
          <w:szCs w:val="18"/>
        </w:rPr>
        <w:t xml:space="preserve"> “IEEE 1547 Standard for Interconnecting Distributed Resources with Electric Power Systems,” webpage (201</w:t>
      </w:r>
      <w:r>
        <w:rPr>
          <w:szCs w:val="18"/>
        </w:rPr>
        <w:t>6</w:t>
      </w:r>
      <w:r w:rsidRPr="009538A2">
        <w:rPr>
          <w:szCs w:val="18"/>
        </w:rPr>
        <w:t xml:space="preserve">), </w:t>
      </w:r>
      <w:hyperlink r:id="rId333" w:history="1">
        <w:r w:rsidRPr="009538A2">
          <w:rPr>
            <w:rStyle w:val="Hyperlink"/>
            <w:color w:val="auto"/>
            <w:szCs w:val="18"/>
          </w:rPr>
          <w:t>http://grouper.ieee.org/groups/scc21/1547/1547_index.html</w:t>
        </w:r>
      </w:hyperlink>
      <w:r w:rsidRPr="009538A2">
        <w:rPr>
          <w:szCs w:val="18"/>
        </w:rPr>
        <w:t>.</w:t>
      </w:r>
    </w:p>
  </w:footnote>
  <w:footnote w:id="344">
    <w:p w14:paraId="2EF268D3" w14:textId="77777777" w:rsidR="00E231DA" w:rsidRPr="002F1F99" w:rsidRDefault="00E231DA" w:rsidP="00D725C0">
      <w:pPr>
        <w:pStyle w:val="FootnoteText"/>
      </w:pPr>
      <w:r w:rsidRPr="00605D6E">
        <w:rPr>
          <w:rStyle w:val="FootnoteReference"/>
        </w:rPr>
        <w:footnoteRef/>
      </w:r>
      <w:r w:rsidRPr="00605D6E">
        <w:t xml:space="preserve"> </w:t>
      </w:r>
      <w:r w:rsidRPr="0002396A">
        <w:rPr>
          <w:i/>
        </w:rPr>
        <w:t>Ride-through capabilities</w:t>
      </w:r>
      <w:r w:rsidRPr="00502D19">
        <w:t xml:space="preserve"> reduce unwante</w:t>
      </w:r>
      <w:r w:rsidRPr="00986EC5">
        <w:t xml:space="preserve">d </w:t>
      </w:r>
      <w:r w:rsidRPr="00F71FBD">
        <w:t>tripping</w:t>
      </w:r>
      <w:r w:rsidRPr="00986EC5">
        <w:t xml:space="preserve"> of D</w:t>
      </w:r>
      <w:r w:rsidRPr="00502D19">
        <w:t xml:space="preserve">ERs </w:t>
      </w:r>
      <w:r>
        <w:t>resulting from</w:t>
      </w:r>
      <w:r w:rsidRPr="00502D19">
        <w:t xml:space="preserve"> contingency events on the </w:t>
      </w:r>
      <w:r w:rsidRPr="00C14CDC">
        <w:t>transmission and distribution systems.</w:t>
      </w:r>
    </w:p>
  </w:footnote>
  <w:footnote w:id="345">
    <w:p w14:paraId="24AC2884" w14:textId="500BE924" w:rsidR="00E231DA" w:rsidRDefault="00E231DA" w:rsidP="00E2765D">
      <w:pPr>
        <w:pStyle w:val="FootnoteText"/>
      </w:pPr>
      <w:r w:rsidRPr="002C7F9F">
        <w:rPr>
          <w:rStyle w:val="FootnoteReference"/>
        </w:rPr>
        <w:footnoteRef/>
      </w:r>
      <w:r w:rsidRPr="002C7F9F">
        <w:t xml:space="preserve"> System contingencies in California and Australia tripped a large number of DERs and resulted in a large-scale blackout. See Charlie Vartanian, et al., </w:t>
      </w:r>
      <w:r w:rsidRPr="002C7F9F">
        <w:rPr>
          <w:i/>
        </w:rPr>
        <w:t>Power and Energy Magazine</w:t>
      </w:r>
      <w:r w:rsidRPr="002C7F9F">
        <w:t>, Vol. 16, No. 6 (November/December 2018), pp</w:t>
      </w:r>
      <w:r>
        <w:t> </w:t>
      </w:r>
      <w:r w:rsidRPr="002C7F9F">
        <w:t xml:space="preserve">55–56, on California events, and Aaron Bloom, et al, </w:t>
      </w:r>
      <w:r w:rsidRPr="002C7F9F">
        <w:rPr>
          <w:i/>
        </w:rPr>
        <w:t>Po</w:t>
      </w:r>
      <w:r w:rsidRPr="00502D19">
        <w:rPr>
          <w:i/>
        </w:rPr>
        <w:t>wer and Energy Magazine,</w:t>
      </w:r>
      <w:r w:rsidRPr="00502D19">
        <w:t xml:space="preserve"> Vol. 15, No. 6 (November/December 2017), pp 24–25</w:t>
      </w:r>
      <w:r>
        <w:t>,</w:t>
      </w:r>
      <w:r w:rsidRPr="00502D19">
        <w:t xml:space="preserve"> on Australia even</w:t>
      </w:r>
      <w:r w:rsidRPr="00E2765D">
        <w:t>ts</w:t>
      </w:r>
      <w:r w:rsidRPr="002C7F9F">
        <w:t>.</w:t>
      </w:r>
      <w:r>
        <w:t xml:space="preserve"> Issues of </w:t>
      </w:r>
      <w:r w:rsidRPr="0002396A">
        <w:rPr>
          <w:i/>
        </w:rPr>
        <w:t>Power and Energy Magazine</w:t>
      </w:r>
      <w:r>
        <w:t xml:space="preserve"> are available at: </w:t>
      </w:r>
      <w:hyperlink r:id="rId334" w:history="1">
        <w:r w:rsidRPr="008264EB">
          <w:rPr>
            <w:rStyle w:val="Hyperlink"/>
          </w:rPr>
          <w:t>http://magazine.ieee-pes.org/</w:t>
        </w:r>
      </w:hyperlink>
      <w:r>
        <w:t>, Also r</w:t>
      </w:r>
      <w:r w:rsidRPr="00216FB7">
        <w:t xml:space="preserve">efer to the Section </w:t>
      </w:r>
      <w:r w:rsidRPr="00216FB7">
        <w:fldChar w:fldCharType="begin"/>
      </w:r>
      <w:r w:rsidRPr="00216FB7">
        <w:instrText xml:space="preserve"> REF _Ref12183529 \r \h </w:instrText>
      </w:r>
      <w:r>
        <w:instrText xml:space="preserve"> \* MERGEFORMAT </w:instrText>
      </w:r>
      <w:r w:rsidRPr="00216FB7">
        <w:fldChar w:fldCharType="separate"/>
      </w:r>
      <w:r>
        <w:t>6.3</w:t>
      </w:r>
      <w:r w:rsidRPr="00216FB7">
        <w:fldChar w:fldCharType="end"/>
      </w:r>
      <w:r w:rsidRPr="00216FB7">
        <w:t xml:space="preserve"> discussion on NERC’s emerging issues </w:t>
      </w:r>
      <w:r>
        <w:t xml:space="preserve">(i.e., in Europe) </w:t>
      </w:r>
      <w:r w:rsidRPr="00216FB7">
        <w:t>and the need for improved system restoration models and adaptive protection.</w:t>
      </w:r>
    </w:p>
  </w:footnote>
  <w:footnote w:id="346">
    <w:p w14:paraId="7B9B1CD4" w14:textId="77777777" w:rsidR="00E231DA" w:rsidRPr="00BF476F" w:rsidRDefault="00E231DA" w:rsidP="00D725C0">
      <w:pPr>
        <w:pStyle w:val="FootnoteText"/>
      </w:pPr>
      <w:r w:rsidRPr="00157DF5">
        <w:rPr>
          <w:rStyle w:val="FootnoteReference"/>
        </w:rPr>
        <w:footnoteRef/>
      </w:r>
      <w:r w:rsidRPr="00157DF5">
        <w:t xml:space="preserve"> </w:t>
      </w:r>
      <w:r w:rsidRPr="00BF476F">
        <w:t xml:space="preserve">Ratios under </w:t>
      </w:r>
      <w:r>
        <w:t>3.0</w:t>
      </w:r>
      <w:r w:rsidRPr="00BF476F">
        <w:t>, as is the case in much of Maine, pose particular technical challenges for establishing acceptable control system performance of the interconnecting IBR.</w:t>
      </w:r>
    </w:p>
  </w:footnote>
  <w:footnote w:id="347">
    <w:p w14:paraId="08ADD8CC" w14:textId="23746840" w:rsidR="00E231DA" w:rsidRDefault="00E231DA" w:rsidP="00D725C0">
      <w:pPr>
        <w:spacing w:after="80" w:line="240" w:lineRule="auto"/>
      </w:pPr>
      <w:r w:rsidRPr="0060099F">
        <w:rPr>
          <w:rStyle w:val="FootnoteReference"/>
          <w:sz w:val="18"/>
          <w:szCs w:val="18"/>
        </w:rPr>
        <w:footnoteRef/>
      </w:r>
      <w:r w:rsidRPr="0060099F">
        <w:rPr>
          <w:sz w:val="18"/>
          <w:szCs w:val="18"/>
        </w:rPr>
        <w:t xml:space="preserve"> The 2026 SEMA/RI Solution Study (se</w:t>
      </w:r>
      <w:r w:rsidRPr="002472E2">
        <w:rPr>
          <w:sz w:val="18"/>
          <w:szCs w:val="18"/>
        </w:rPr>
        <w:t xml:space="preserve">e </w:t>
      </w:r>
      <w:r w:rsidRPr="00502D19">
        <w:rPr>
          <w:sz w:val="18"/>
          <w:szCs w:val="18"/>
        </w:rPr>
        <w:t>Section</w:t>
      </w:r>
      <w:r>
        <w:rPr>
          <w:sz w:val="18"/>
          <w:szCs w:val="18"/>
        </w:rPr>
        <w:t xml:space="preserve"> </w:t>
      </w:r>
      <w:r>
        <w:rPr>
          <w:sz w:val="18"/>
          <w:szCs w:val="18"/>
        </w:rPr>
        <w:fldChar w:fldCharType="begin"/>
      </w:r>
      <w:r>
        <w:rPr>
          <w:sz w:val="18"/>
          <w:szCs w:val="18"/>
        </w:rPr>
        <w:instrText xml:space="preserve"> REF _Ref485733796 \r \h </w:instrText>
      </w:r>
      <w:r>
        <w:rPr>
          <w:sz w:val="18"/>
          <w:szCs w:val="18"/>
        </w:rPr>
      </w:r>
      <w:r>
        <w:rPr>
          <w:sz w:val="18"/>
          <w:szCs w:val="18"/>
        </w:rPr>
        <w:fldChar w:fldCharType="separate"/>
      </w:r>
      <w:r>
        <w:rPr>
          <w:sz w:val="18"/>
          <w:szCs w:val="18"/>
        </w:rPr>
        <w:t>5.5.5</w:t>
      </w:r>
      <w:r>
        <w:rPr>
          <w:sz w:val="18"/>
          <w:szCs w:val="18"/>
        </w:rPr>
        <w:fldChar w:fldCharType="end"/>
      </w:r>
      <w:r w:rsidRPr="0060099F">
        <w:rPr>
          <w:sz w:val="18"/>
          <w:szCs w:val="18"/>
        </w:rPr>
        <w:t>) used cloud</w:t>
      </w:r>
      <w:r>
        <w:rPr>
          <w:sz w:val="18"/>
          <w:szCs w:val="18"/>
        </w:rPr>
        <w:t>-</w:t>
      </w:r>
      <w:r w:rsidRPr="0060099F">
        <w:rPr>
          <w:sz w:val="18"/>
          <w:szCs w:val="18"/>
        </w:rPr>
        <w:t>computing systems to evaluate various transmission solutions in a very short period.</w:t>
      </w:r>
    </w:p>
  </w:footnote>
  <w:footnote w:id="348">
    <w:p w14:paraId="1062AD41" w14:textId="0DCA30A8" w:rsidR="00E231DA" w:rsidRPr="007104D4" w:rsidRDefault="00E231DA" w:rsidP="00D725C0">
      <w:pPr>
        <w:pStyle w:val="FootnoteText"/>
      </w:pPr>
      <w:r>
        <w:rPr>
          <w:rStyle w:val="FootnoteReference"/>
        </w:rPr>
        <w:footnoteRef/>
      </w:r>
      <w:r>
        <w:t xml:space="preserve"> A severe</w:t>
      </w:r>
      <w:r w:rsidRPr="002179A7">
        <w:t xml:space="preserve"> oscillation on the Eastern Interconnection occurred on </w:t>
      </w:r>
      <w:r>
        <w:t xml:space="preserve">January </w:t>
      </w:r>
      <w:r w:rsidRPr="002179A7">
        <w:t>11</w:t>
      </w:r>
      <w:r>
        <w:t>, 20</w:t>
      </w:r>
      <w:r w:rsidRPr="002179A7">
        <w:t xml:space="preserve">19. The source of the </w:t>
      </w:r>
      <w:r>
        <w:t>0</w:t>
      </w:r>
      <w:r w:rsidRPr="002179A7">
        <w:t>.25 Hz oscillation was identified as a failed control signal to a plant in F</w:t>
      </w:r>
      <w:r>
        <w:t>lorida</w:t>
      </w:r>
      <w:r w:rsidRPr="002179A7">
        <w:t xml:space="preserve">, which resulted in a local 200 MW </w:t>
      </w:r>
      <w:r w:rsidRPr="007104D4">
        <w:t>power swing and 50 MW in New England.</w:t>
      </w:r>
    </w:p>
  </w:footnote>
  <w:footnote w:id="349">
    <w:p w14:paraId="349D515C" w14:textId="77777777" w:rsidR="00E231DA" w:rsidRPr="00EF17EA" w:rsidRDefault="00E231DA" w:rsidP="00D725C0">
      <w:pPr>
        <w:pStyle w:val="FootnoteText"/>
        <w:rPr>
          <w:szCs w:val="18"/>
        </w:rPr>
      </w:pPr>
      <w:r w:rsidRPr="00F300A2">
        <w:rPr>
          <w:rStyle w:val="FootnoteReference"/>
          <w:sz w:val="18"/>
          <w:szCs w:val="18"/>
        </w:rPr>
        <w:footnoteRef/>
      </w:r>
      <w:r w:rsidRPr="00F300A2">
        <w:rPr>
          <w:szCs w:val="18"/>
        </w:rPr>
        <w:t xml:space="preserve"> ISO New England, Operating Procedure No. 22,</w:t>
      </w:r>
      <w:r w:rsidRPr="00F300A2">
        <w:rPr>
          <w:i/>
          <w:szCs w:val="18"/>
        </w:rPr>
        <w:t xml:space="preserve"> Disturbance Monitoring Requirements</w:t>
      </w:r>
      <w:r w:rsidRPr="00F300A2">
        <w:rPr>
          <w:szCs w:val="18"/>
        </w:rPr>
        <w:t xml:space="preserve"> (February 8, 2018), </w:t>
      </w:r>
      <w:hyperlink r:id="rId335" w:history="1">
        <w:r w:rsidRPr="00F300A2">
          <w:rPr>
            <w:szCs w:val="18"/>
          </w:rPr>
          <w:t>https://www.iso-ne.com/static-assets/documents/rules_proceds/operating/isone/op22/op22_rto_final.pdf</w:t>
        </w:r>
      </w:hyperlink>
      <w:r>
        <w:rPr>
          <w:szCs w:val="18"/>
        </w:rPr>
        <w:t>.</w:t>
      </w:r>
      <w:r w:rsidRPr="00F300A2">
        <w:rPr>
          <w:szCs w:val="18"/>
        </w:rPr>
        <w:t xml:space="preserve"> The region is expected to get 10 more PMUs, increasing from 46 units as of May 1, 2019, to 56 units.</w:t>
      </w:r>
    </w:p>
  </w:footnote>
  <w:footnote w:id="350">
    <w:p w14:paraId="1246F97C" w14:textId="212E7A10" w:rsidR="00E231DA" w:rsidRPr="004933EC" w:rsidRDefault="00E231DA">
      <w:pPr>
        <w:pStyle w:val="FootnoteText"/>
      </w:pPr>
      <w:r w:rsidRPr="00433A01">
        <w:rPr>
          <w:rStyle w:val="FootnoteReference"/>
        </w:rPr>
        <w:footnoteRef/>
      </w:r>
      <w:r w:rsidRPr="00433A01">
        <w:t xml:space="preserve"> </w:t>
      </w:r>
      <w:r w:rsidRPr="00B33264">
        <w:t>Dispatchable generators were required to offer into the Day-Ahead Energy Market beginning May 31, 2019, and for the June 1, 2019, operating day to address curtailment issues. See the ISO’s “Do Not Exceed Dispatch Project</w:t>
      </w:r>
      <w:r>
        <w:t xml:space="preserve">” webpage (June 14, 2019), </w:t>
      </w:r>
      <w:hyperlink r:id="rId336" w:history="1">
        <w:r w:rsidRPr="003A5A9D">
          <w:rPr>
            <w:rStyle w:val="Hyperlink"/>
          </w:rPr>
          <w:t>https://www.iso-ne.com/participate/support/customer-readiness-outlook/do-not-exceed-dispatch#project-overview</w:t>
        </w:r>
      </w:hyperlink>
      <w:r w:rsidRPr="004933EC">
        <w:t>.</w:t>
      </w:r>
    </w:p>
  </w:footnote>
  <w:footnote w:id="351">
    <w:p w14:paraId="47DDD354" w14:textId="65C66E61" w:rsidR="00E231DA" w:rsidRDefault="00E231DA" w:rsidP="00B33264">
      <w:pPr>
        <w:pStyle w:val="FootnoteText"/>
      </w:pPr>
      <w:r w:rsidRPr="004933EC">
        <w:rPr>
          <w:rStyle w:val="FootnoteReference"/>
        </w:rPr>
        <w:footnoteRef/>
      </w:r>
      <w:r w:rsidRPr="004933EC">
        <w:t xml:space="preserve"> </w:t>
      </w:r>
      <w:r w:rsidRPr="004933EC">
        <w:rPr>
          <w:szCs w:val="18"/>
        </w:rPr>
        <w:t xml:space="preserve">The rules apply to all resource types with a few exceptions: solar, settlement-only resources, external transactions, nuclear, and demand response not part of PRD. </w:t>
      </w:r>
      <w:r w:rsidRPr="004933EC">
        <w:t xml:space="preserve">See FERC, </w:t>
      </w:r>
      <w:r w:rsidRPr="004933EC">
        <w:rPr>
          <w:i/>
        </w:rPr>
        <w:t>Order Accepting Proposed Tariff Revisions</w:t>
      </w:r>
      <w:r w:rsidRPr="004933EC">
        <w:t xml:space="preserve">, Docket Nos. ER17-68-000 and ER17-68-001, 157 FERC ¶ 61,189 (December 9, 2016), </w:t>
      </w:r>
      <w:hyperlink w:history="1"/>
      <w:hyperlink r:id="rId337" w:history="1">
        <w:r w:rsidRPr="003A5A9D">
          <w:rPr>
            <w:rStyle w:val="Hyperlink"/>
          </w:rPr>
          <w:t>https://www.iso-ne.com/static-assets/documents/2016/12/er17-68-000_12-9-16_order_accept_resource_dispatchability_revisions.pdf</w:t>
        </w:r>
      </w:hyperlink>
      <w:r w:rsidRPr="00AC526B">
        <w:t xml:space="preserve">, and </w:t>
      </w:r>
      <w:r w:rsidRPr="004933EC">
        <w:t xml:space="preserve">ISO New England, </w:t>
      </w:r>
      <w:r w:rsidRPr="004933EC">
        <w:rPr>
          <w:i/>
        </w:rPr>
        <w:t>Resource-Dispatchability Requirements</w:t>
      </w:r>
      <w:r w:rsidRPr="004933EC">
        <w:t xml:space="preserve">, presentation (June 14, 2016), slide 6, </w:t>
      </w:r>
      <w:hyperlink r:id="rId338" w:history="1">
        <w:r w:rsidRPr="003A5A9D">
          <w:rPr>
            <w:rStyle w:val="Hyperlink"/>
          </w:rPr>
          <w:t>https://www.iso-ne.com/static-assets/documents/2016/06/a4_presentation_resource_dispatchability_requirements.pptx</w:t>
        </w:r>
      </w:hyperlink>
      <w:r w:rsidRPr="004933EC">
        <w:rPr>
          <w:szCs w:val="18"/>
        </w:rPr>
        <w:t>.</w:t>
      </w:r>
    </w:p>
  </w:footnote>
  <w:footnote w:id="352">
    <w:p w14:paraId="240109B8" w14:textId="77777777" w:rsidR="00E231DA" w:rsidRDefault="00E231DA">
      <w:pPr>
        <w:pStyle w:val="FootnoteText"/>
      </w:pPr>
      <w:r>
        <w:rPr>
          <w:rStyle w:val="FootnoteReference"/>
        </w:rPr>
        <w:footnoteRef/>
      </w:r>
      <w:r>
        <w:t xml:space="preserve"> For more information on this tax credit, see the DSIRE webpage, “</w:t>
      </w:r>
      <w:r w:rsidRPr="00BC5B80">
        <w:t>Renewable Electricity Production Tax Credit</w:t>
      </w:r>
      <w:r>
        <w:t xml:space="preserve">“ (updated February 28, 2018), </w:t>
      </w:r>
      <w:hyperlink r:id="rId339" w:history="1">
        <w:r w:rsidRPr="00BC5B80">
          <w:rPr>
            <w:rStyle w:val="Hyperlink"/>
          </w:rPr>
          <w:t>https://programs.dsireusa.org/system/program/detail/734</w:t>
        </w:r>
      </w:hyperlink>
      <w:r>
        <w:t>.</w:t>
      </w:r>
    </w:p>
  </w:footnote>
  <w:footnote w:id="353">
    <w:p w14:paraId="56DEA744" w14:textId="77777777" w:rsidR="00E231DA" w:rsidRPr="005B50F5" w:rsidRDefault="00E231DA" w:rsidP="003C16D0">
      <w:pPr>
        <w:pStyle w:val="FootnoteText"/>
      </w:pPr>
      <w:r w:rsidRPr="005B50F5">
        <w:rPr>
          <w:rStyle w:val="FootnoteReference"/>
        </w:rPr>
        <w:footnoteRef/>
      </w:r>
      <w:r w:rsidRPr="005B50F5">
        <w:t xml:space="preserve"> FERC, </w:t>
      </w:r>
      <w:r w:rsidRPr="005B50F5">
        <w:rPr>
          <w:i/>
        </w:rPr>
        <w:t>Demand-Response Compensation in Organized Wholesale Energy Markets</w:t>
      </w:r>
      <w:r w:rsidRPr="005B50F5">
        <w:t xml:space="preserve">, final rule, Docket No. RM10-17-000, Order No. 745 (March 15, 2011), </w:t>
      </w:r>
      <w:hyperlink r:id="rId340" w:history="1">
        <w:r w:rsidRPr="005B50F5">
          <w:rPr>
            <w:rStyle w:val="Hyperlink"/>
          </w:rPr>
          <w:t>https://www.ferc.gov/EventCalendar/Files/20110315105757-RM10-17-000.pdf</w:t>
        </w:r>
      </w:hyperlink>
      <w:r w:rsidRPr="005B50F5">
        <w:t>.</w:t>
      </w:r>
    </w:p>
  </w:footnote>
  <w:footnote w:id="354">
    <w:p w14:paraId="36C3CA39" w14:textId="77777777" w:rsidR="00E231DA" w:rsidRPr="005B50F5" w:rsidRDefault="00E231DA" w:rsidP="00896268">
      <w:pPr>
        <w:pStyle w:val="FootnoteText"/>
      </w:pPr>
      <w:r w:rsidRPr="005B50F5">
        <w:rPr>
          <w:rStyle w:val="FootnoteReference"/>
        </w:rPr>
        <w:footnoteRef/>
      </w:r>
      <w:r w:rsidRPr="005B50F5">
        <w:t xml:space="preserve"> ISO New England, “Price-Responsive Demand Key Project,” webpage (2019), </w:t>
      </w:r>
      <w:hyperlink r:id="rId341" w:history="1">
        <w:r w:rsidRPr="005B50F5">
          <w:rPr>
            <w:rStyle w:val="Hyperlink"/>
          </w:rPr>
          <w:t>https://www.iso-ne.com/committees/key-projects/implemented/price-responsive-demand</w:t>
        </w:r>
      </w:hyperlink>
      <w:r w:rsidRPr="005B50F5">
        <w:t>.</w:t>
      </w:r>
    </w:p>
  </w:footnote>
  <w:footnote w:id="355">
    <w:p w14:paraId="1031C37A" w14:textId="77777777" w:rsidR="00E231DA" w:rsidRDefault="00E231DA" w:rsidP="005B50F5">
      <w:pPr>
        <w:pStyle w:val="FootnoteText"/>
      </w:pPr>
      <w:r w:rsidRPr="005B50F5">
        <w:rPr>
          <w:rStyle w:val="FootnoteReference"/>
        </w:rPr>
        <w:footnoteRef/>
      </w:r>
      <w:r w:rsidRPr="005B50F5">
        <w:t xml:space="preserve"> FERC, </w:t>
      </w:r>
      <w:r w:rsidRPr="005B50F5">
        <w:rPr>
          <w:i/>
        </w:rPr>
        <w:t>Electric</w:t>
      </w:r>
      <w:r>
        <w:rPr>
          <w:i/>
        </w:rPr>
        <w:t>-</w:t>
      </w:r>
      <w:r w:rsidRPr="005B50F5">
        <w:rPr>
          <w:i/>
        </w:rPr>
        <w:t>Storage Participation in Markets Operated by Regional Transmission Organizations and Independent System Operators</w:t>
      </w:r>
      <w:r w:rsidRPr="005B50F5">
        <w:t>, Order No. 841, final rule, 162 FERC ¶ 61,127 (February 15, 2018),</w:t>
      </w:r>
      <w:hyperlink r:id="rId342" w:history="1">
        <w:r w:rsidRPr="005B50F5">
          <w:rPr>
            <w:rStyle w:val="Hyperlink"/>
          </w:rPr>
          <w:t xml:space="preserve"> https://www.iso-ne.com/static-assets/documents/2018/09/a06_tc_2018_09_18_order.pdf</w:t>
        </w:r>
      </w:hyperlink>
      <w:r>
        <w:rPr>
          <w:rStyle w:val="Hyperlink"/>
        </w:rPr>
        <w:t>,</w:t>
      </w:r>
      <w:r w:rsidRPr="005B50F5">
        <w:t xml:space="preserve"> an</w:t>
      </w:r>
      <w:r w:rsidRPr="008045E6">
        <w:t xml:space="preserve">d ISO and NEPOOL, </w:t>
      </w:r>
      <w:r w:rsidRPr="008045E6">
        <w:rPr>
          <w:i/>
        </w:rPr>
        <w:t>Revisions to ISO New England Inc. Transmission Markets and Services Tariff in Compliance with FERC Order 841: Docket ER19-470</w:t>
      </w:r>
      <w:r w:rsidRPr="008045E6">
        <w:t xml:space="preserve">, compliance filing (December 3, 2018), p. 4, </w:t>
      </w:r>
      <w:hyperlink r:id="rId343" w:history="1">
        <w:r w:rsidRPr="008045E6">
          <w:rPr>
            <w:rStyle w:val="Hyperlink"/>
          </w:rPr>
          <w:t>https://www.iso-ne.com/static-assets/documents/2018/12/rev_in_compliance_with_order_841.pdf</w:t>
        </w:r>
      </w:hyperlink>
      <w:r>
        <w:t>.</w:t>
      </w:r>
    </w:p>
  </w:footnote>
  <w:footnote w:id="356">
    <w:p w14:paraId="6024DFD5" w14:textId="77777777" w:rsidR="00E231DA" w:rsidRDefault="00E231DA" w:rsidP="005B50F5">
      <w:pPr>
        <w:pStyle w:val="FootnoteText"/>
      </w:pPr>
      <w:r w:rsidRPr="005B50F5">
        <w:rPr>
          <w:rStyle w:val="FootnoteReference"/>
        </w:rPr>
        <w:footnoteRef/>
      </w:r>
      <w:r w:rsidRPr="005B50F5">
        <w:t xml:space="preserve"> ISO New England and NEPOOL, “ISO New England Inc. and New England Power Pool; Docket No. ER19-__-000; Enhanced Storage Participation Revisions,” FERC filing (October 10, 2018), p. 1, </w:t>
      </w:r>
      <w:hyperlink r:id="rId344" w:history="1">
        <w:r w:rsidRPr="005B50F5">
          <w:rPr>
            <w:rStyle w:val="Hyperlink"/>
          </w:rPr>
          <w:t>https://www.iso-ne.com/static-assets/documents/2018/10/er19-84-000_enhanced_storage_revisions.pdf</w:t>
        </w:r>
      </w:hyperlink>
      <w:r w:rsidRPr="005B50F5">
        <w:t>.</w:t>
      </w:r>
    </w:p>
  </w:footnote>
  <w:footnote w:id="357">
    <w:p w14:paraId="01ABD748" w14:textId="77777777" w:rsidR="00E231DA" w:rsidRPr="00580ADF" w:rsidRDefault="00E231DA" w:rsidP="00A22EB7">
      <w:pPr>
        <w:spacing w:after="80" w:line="240" w:lineRule="auto"/>
        <w:rPr>
          <w:sz w:val="18"/>
          <w:szCs w:val="18"/>
        </w:rPr>
      </w:pPr>
      <w:r w:rsidRPr="00580ADF">
        <w:rPr>
          <w:rStyle w:val="FootnoteReference"/>
          <w:sz w:val="18"/>
          <w:szCs w:val="18"/>
        </w:rPr>
        <w:footnoteRef/>
      </w:r>
      <w:r w:rsidRPr="00580ADF">
        <w:rPr>
          <w:sz w:val="18"/>
          <w:szCs w:val="18"/>
        </w:rPr>
        <w:t xml:space="preserve"> More information about NESCOE is available at </w:t>
      </w:r>
      <w:hyperlink r:id="rId345" w:history="1">
        <w:r w:rsidRPr="00580ADF">
          <w:rPr>
            <w:rStyle w:val="Hyperlink"/>
            <w:color w:val="auto"/>
            <w:sz w:val="18"/>
            <w:szCs w:val="18"/>
          </w:rPr>
          <w:t>www.nescoe.com</w:t>
        </w:r>
      </w:hyperlink>
      <w:r w:rsidRPr="00580ADF">
        <w:rPr>
          <w:sz w:val="18"/>
          <w:szCs w:val="18"/>
        </w:rPr>
        <w:t>.</w:t>
      </w:r>
    </w:p>
  </w:footnote>
  <w:footnote w:id="358">
    <w:p w14:paraId="386EA406" w14:textId="77777777" w:rsidR="00E231DA" w:rsidRPr="00B33264" w:rsidRDefault="00E231DA" w:rsidP="00A22EB7">
      <w:pPr>
        <w:spacing w:after="80" w:line="240" w:lineRule="auto"/>
        <w:rPr>
          <w:rFonts w:cs="Arial"/>
          <w:sz w:val="18"/>
          <w:szCs w:val="18"/>
        </w:rPr>
      </w:pPr>
      <w:r w:rsidRPr="00580ADF">
        <w:rPr>
          <w:rStyle w:val="FootnoteReference"/>
          <w:rFonts w:cs="Arial"/>
          <w:sz w:val="18"/>
          <w:szCs w:val="18"/>
        </w:rPr>
        <w:footnoteRef/>
      </w:r>
      <w:r w:rsidRPr="00580ADF">
        <w:rPr>
          <w:rFonts w:cs="Arial"/>
          <w:sz w:val="18"/>
          <w:szCs w:val="18"/>
        </w:rPr>
        <w:t xml:space="preserve"> ISO New England, “Presentations, Speeches, and Other Materials,” webpage</w:t>
      </w:r>
      <w:r>
        <w:rPr>
          <w:rFonts w:cs="Arial"/>
          <w:sz w:val="18"/>
          <w:szCs w:val="18"/>
        </w:rPr>
        <w:t xml:space="preserve"> (2019)</w:t>
      </w:r>
      <w:r w:rsidRPr="00580ADF">
        <w:rPr>
          <w:rFonts w:cs="Arial"/>
          <w:sz w:val="18"/>
          <w:szCs w:val="18"/>
        </w:rPr>
        <w:t xml:space="preserve">, “External Affairs Monthly Issues </w:t>
      </w:r>
      <w:r w:rsidRPr="00B33264">
        <w:rPr>
          <w:rFonts w:cs="Arial"/>
          <w:sz w:val="18"/>
          <w:szCs w:val="18"/>
        </w:rPr>
        <w:t xml:space="preserve">Memo” filter by document type, </w:t>
      </w:r>
      <w:hyperlink r:id="rId346" w:history="1">
        <w:r w:rsidRPr="00B33264">
          <w:rPr>
            <w:rStyle w:val="Hyperlink"/>
            <w:rFonts w:cs="Arial"/>
            <w:color w:val="auto"/>
            <w:sz w:val="18"/>
            <w:szCs w:val="18"/>
          </w:rPr>
          <w:t>http://www.iso-ne.com/about/government-industry-affairs/materials</w:t>
        </w:r>
      </w:hyperlink>
      <w:r w:rsidRPr="00B33264">
        <w:rPr>
          <w:rFonts w:cs="Arial"/>
          <w:sz w:val="18"/>
          <w:szCs w:val="18"/>
        </w:rPr>
        <w:t>.</w:t>
      </w:r>
    </w:p>
  </w:footnote>
  <w:footnote w:id="359">
    <w:p w14:paraId="07973CDF" w14:textId="77777777" w:rsidR="00E231DA" w:rsidRPr="00B33264" w:rsidRDefault="00E231DA">
      <w:pPr>
        <w:pStyle w:val="FootnoteText"/>
      </w:pPr>
      <w:r w:rsidRPr="00B33264">
        <w:rPr>
          <w:rStyle w:val="FootnoteReference"/>
        </w:rPr>
        <w:footnoteRef/>
      </w:r>
      <w:r w:rsidRPr="00B33264">
        <w:t xml:space="preserve"> More information on NASEO, the NCEP and NARUC is available at </w:t>
      </w:r>
      <w:hyperlink r:id="rId347" w:history="1">
        <w:r w:rsidRPr="00B33264">
          <w:rPr>
            <w:rStyle w:val="Hyperlink"/>
          </w:rPr>
          <w:t>https://www.naseo.org/</w:t>
        </w:r>
      </w:hyperlink>
      <w:r w:rsidRPr="00B33264">
        <w:t xml:space="preserve">, </w:t>
      </w:r>
      <w:hyperlink r:id="rId348" w:history="1">
        <w:r w:rsidRPr="00B33264">
          <w:rPr>
            <w:rStyle w:val="Hyperlink"/>
          </w:rPr>
          <w:t>http://electricitypolicy.org/about/</w:t>
        </w:r>
      </w:hyperlink>
      <w:r w:rsidRPr="00B33264">
        <w:t xml:space="preserve">, and </w:t>
      </w:r>
      <w:hyperlink r:id="rId349" w:history="1">
        <w:r w:rsidRPr="00B33264">
          <w:rPr>
            <w:rStyle w:val="Hyperlink"/>
          </w:rPr>
          <w:t>https://www.naruc.org/</w:t>
        </w:r>
      </w:hyperlink>
      <w:r w:rsidRPr="00B33264">
        <w:t>, respectively.</w:t>
      </w:r>
    </w:p>
  </w:footnote>
  <w:footnote w:id="360">
    <w:p w14:paraId="5006F474" w14:textId="77777777" w:rsidR="00E231DA" w:rsidRDefault="00E231DA" w:rsidP="00547C88">
      <w:pPr>
        <w:pStyle w:val="FootnoteText"/>
      </w:pPr>
      <w:r w:rsidRPr="00B33264">
        <w:rPr>
          <w:rStyle w:val="FootnoteReference"/>
        </w:rPr>
        <w:footnoteRef/>
      </w:r>
      <w:r w:rsidRPr="00B33264">
        <w:t xml:space="preserve"> NARUC and NASEO, “Task Force on Comprehensive Electricity Planning,” </w:t>
      </w:r>
      <w:r>
        <w:t xml:space="preserve">webpage </w:t>
      </w:r>
      <w:r w:rsidRPr="00B33264">
        <w:t xml:space="preserve">(2019), </w:t>
      </w:r>
      <w:hyperlink r:id="rId350" w:history="1">
        <w:r w:rsidRPr="00B33264">
          <w:rPr>
            <w:rStyle w:val="Hyperlink"/>
          </w:rPr>
          <w:t>http://bit.ly/NARUCNASEOFacts</w:t>
        </w:r>
      </w:hyperlink>
      <w:r w:rsidRPr="00B33264">
        <w:t>.</w:t>
      </w:r>
      <w:r>
        <w:t xml:space="preserve"> </w:t>
      </w:r>
    </w:p>
  </w:footnote>
  <w:footnote w:id="361">
    <w:p w14:paraId="35DCDDE2" w14:textId="23DD3EDB" w:rsidR="00E231DA" w:rsidRPr="00606B82" w:rsidRDefault="00E231DA"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The end-user sector in the NEPOOL stakeholder process and the ISO stakeholder committees also convey consumer interests. Additional information on the CLG is available at </w:t>
      </w:r>
      <w:hyperlink r:id="rId351" w:history="1">
        <w:r w:rsidRPr="009D1FE8">
          <w:rPr>
            <w:rStyle w:val="Hyperlink"/>
            <w:rFonts w:cs="Arial"/>
            <w:szCs w:val="18"/>
          </w:rPr>
          <w:t>http://www.iso-ne.com/committees/consumer-liaison</w:t>
        </w:r>
      </w:hyperlink>
      <w:r w:rsidRPr="00606B82">
        <w:rPr>
          <w:rFonts w:cs="Arial"/>
          <w:szCs w:val="18"/>
        </w:rPr>
        <w:t>.</w:t>
      </w:r>
    </w:p>
  </w:footnote>
  <w:footnote w:id="362">
    <w:p w14:paraId="7538F579" w14:textId="77777777" w:rsidR="00E231DA" w:rsidRPr="00606B82" w:rsidRDefault="00E231DA" w:rsidP="00A22EB7">
      <w:pPr>
        <w:pStyle w:val="FootnoteText"/>
        <w:rPr>
          <w:rFonts w:cs="Arial"/>
          <w:szCs w:val="18"/>
        </w:rPr>
      </w:pPr>
      <w:r w:rsidRPr="00606B82">
        <w:rPr>
          <w:rStyle w:val="FootnoteReference"/>
          <w:rFonts w:cs="Arial"/>
          <w:sz w:val="18"/>
          <w:szCs w:val="18"/>
        </w:rPr>
        <w:footnoteRef/>
      </w:r>
      <w:r w:rsidRPr="00606B82">
        <w:rPr>
          <w:rFonts w:cs="Arial"/>
          <w:szCs w:val="18"/>
        </w:rPr>
        <w:t xml:space="preserve"> ISO New England and C</w:t>
      </w:r>
      <w:r>
        <w:rPr>
          <w:rFonts w:cs="Arial"/>
          <w:szCs w:val="18"/>
        </w:rPr>
        <w:t>LGCC</w:t>
      </w:r>
      <w:r w:rsidRPr="00606B82">
        <w:rPr>
          <w:rFonts w:cs="Arial"/>
          <w:szCs w:val="18"/>
        </w:rPr>
        <w:t xml:space="preserve">, </w:t>
      </w:r>
      <w:r w:rsidRPr="00606B82">
        <w:rPr>
          <w:rFonts w:cs="Arial"/>
          <w:i/>
          <w:szCs w:val="18"/>
        </w:rPr>
        <w:t>201</w:t>
      </w:r>
      <w:r>
        <w:rPr>
          <w:rFonts w:cs="Arial"/>
          <w:i/>
          <w:szCs w:val="18"/>
        </w:rPr>
        <w:t xml:space="preserve">8 </w:t>
      </w:r>
      <w:r w:rsidRPr="00606B82">
        <w:rPr>
          <w:rFonts w:cs="Arial"/>
          <w:i/>
          <w:szCs w:val="18"/>
        </w:rPr>
        <w:t>Report of the Consumer Liaison Group</w:t>
      </w:r>
      <w:r w:rsidRPr="00606B82">
        <w:rPr>
          <w:rFonts w:cs="Arial"/>
          <w:szCs w:val="18"/>
        </w:rPr>
        <w:t xml:space="preserve"> (March 1</w:t>
      </w:r>
      <w:r>
        <w:rPr>
          <w:rFonts w:cs="Arial"/>
          <w:szCs w:val="18"/>
        </w:rPr>
        <w:t>2</w:t>
      </w:r>
      <w:r w:rsidRPr="00606B82">
        <w:rPr>
          <w:rFonts w:cs="Arial"/>
          <w:szCs w:val="18"/>
        </w:rPr>
        <w:t>, 201</w:t>
      </w:r>
      <w:r>
        <w:rPr>
          <w:rFonts w:cs="Arial"/>
          <w:szCs w:val="18"/>
        </w:rPr>
        <w:t>9</w:t>
      </w:r>
      <w:r w:rsidRPr="00606B82">
        <w:rPr>
          <w:rFonts w:cs="Arial"/>
          <w:szCs w:val="18"/>
        </w:rPr>
        <w:t xml:space="preserve">), </w:t>
      </w:r>
      <w:hyperlink r:id="rId352" w:history="1">
        <w:r w:rsidRPr="00580ADF">
          <w:rPr>
            <w:rStyle w:val="Hyperlink"/>
          </w:rPr>
          <w:t>https://www.iso-ne.com/static-assets/documents/2019/03/2018_report_of_the_consumer_liaison_group_final.pdf</w:t>
        </w:r>
      </w:hyperlink>
      <w:r>
        <w:t>.</w:t>
      </w:r>
    </w:p>
  </w:footnote>
  <w:footnote w:id="363">
    <w:p w14:paraId="7E7FE62C" w14:textId="5B95E583" w:rsidR="00E231DA" w:rsidRPr="00DD66C1" w:rsidRDefault="00E231DA" w:rsidP="00C500DF">
      <w:pPr>
        <w:pStyle w:val="FootnoteText"/>
        <w:rPr>
          <w:szCs w:val="18"/>
        </w:rPr>
      </w:pPr>
      <w:r w:rsidRPr="00DD66C1">
        <w:rPr>
          <w:rStyle w:val="FootnoteReference"/>
          <w:sz w:val="18"/>
          <w:szCs w:val="18"/>
        </w:rPr>
        <w:footnoteRef/>
      </w:r>
      <w:r w:rsidRPr="00DD66C1">
        <w:rPr>
          <w:szCs w:val="18"/>
        </w:rPr>
        <w:t xml:space="preserve"> </w:t>
      </w:r>
      <w:r>
        <w:rPr>
          <w:szCs w:val="18"/>
        </w:rPr>
        <w:t xml:space="preserve">For the full text of the governors’ statement, see: </w:t>
      </w:r>
      <w:r w:rsidRPr="00DD66C1">
        <w:rPr>
          <w:szCs w:val="18"/>
        </w:rPr>
        <w:t xml:space="preserve">Ned Lamont, Janet Mills, et al., “New England Governors’ Commitment to Regional Cooperation on Energy Issues,“ signed proclamation by the six New England governors (March 15, 2019), </w:t>
      </w:r>
      <w:hyperlink r:id="rId353" w:history="1">
        <w:r w:rsidRPr="00DD66C1">
          <w:rPr>
            <w:rStyle w:val="Hyperlink"/>
            <w:szCs w:val="18"/>
          </w:rPr>
          <w:t>https://www.coneg.org/wp-content/uploads/2019/03/New-England-Governors-Statement-of-Cooperation-on-Regional-Energy-3-15-19.pdf</w:t>
        </w:r>
      </w:hyperlink>
      <w:r w:rsidRPr="00DD66C1">
        <w:t>.</w:t>
      </w:r>
    </w:p>
  </w:footnote>
  <w:footnote w:id="364">
    <w:p w14:paraId="7601EDE6" w14:textId="77777777" w:rsidR="00E231DA" w:rsidRPr="00A22EB7" w:rsidRDefault="00E231DA" w:rsidP="00A22EB7">
      <w:pPr>
        <w:spacing w:after="80" w:line="240" w:lineRule="auto"/>
        <w:rPr>
          <w:sz w:val="18"/>
          <w:szCs w:val="18"/>
        </w:rPr>
      </w:pPr>
      <w:r w:rsidRPr="008D2406">
        <w:rPr>
          <w:rStyle w:val="FootnoteReference"/>
          <w:sz w:val="18"/>
          <w:szCs w:val="18"/>
        </w:rPr>
        <w:footnoteRef/>
      </w:r>
      <w:r w:rsidRPr="008D2406">
        <w:rPr>
          <w:sz w:val="18"/>
          <w:szCs w:val="18"/>
        </w:rPr>
        <w:t xml:space="preserve"> NEG ECP, “Resolution Concerning Energy Security and Affordability,” Resolution 42-2 (August 13, 2018), </w:t>
      </w:r>
      <w:hyperlink r:id="rId354" w:history="1">
        <w:r w:rsidRPr="003824A7">
          <w:rPr>
            <w:sz w:val="18"/>
            <w:szCs w:val="18"/>
          </w:rPr>
          <w:t>https://www.coneg.org/wp-content/uploads/transferred/Data/Sites/1/media/documents/correspondence/42-2_en.pdf</w:t>
        </w:r>
      </w:hyperlink>
      <w:r w:rsidRPr="003824A7">
        <w:rPr>
          <w:sz w:val="18"/>
          <w:szCs w:val="18"/>
        </w:rPr>
        <w:t xml:space="preserve">; and </w:t>
      </w:r>
      <w:r w:rsidRPr="003824A7">
        <w:rPr>
          <w:i/>
          <w:sz w:val="18"/>
          <w:szCs w:val="18"/>
        </w:rPr>
        <w:t>2017 Update of the Regional Climate Change Action Plan</w:t>
      </w:r>
      <w:r w:rsidRPr="003824A7">
        <w:rPr>
          <w:sz w:val="18"/>
          <w:szCs w:val="18"/>
        </w:rPr>
        <w:t xml:space="preserve"> (August 28, 2017), </w:t>
      </w:r>
      <w:hyperlink r:id="rId355" w:history="1">
        <w:r w:rsidRPr="001F634E">
          <w:rPr>
            <w:rStyle w:val="Hyperlink"/>
            <w:sz w:val="18"/>
            <w:szCs w:val="18"/>
          </w:rPr>
          <w:t>https://www.coneg.org/wp-content/uploads/transferred/Data/Sites/1/media/documents/reports/2017-rccap-final.pdf</w:t>
        </w:r>
      </w:hyperlink>
      <w:r>
        <w:rPr>
          <w:sz w:val="18"/>
          <w:szCs w:val="18"/>
        </w:rPr>
        <w:t>.</w:t>
      </w:r>
    </w:p>
  </w:footnote>
  <w:footnote w:id="365">
    <w:p w14:paraId="43107928" w14:textId="77777777" w:rsidR="00E231DA" w:rsidRPr="00A35A0B" w:rsidRDefault="00E231DA" w:rsidP="00E60E99">
      <w:pPr>
        <w:pStyle w:val="FootnoteText"/>
      </w:pPr>
      <w:r>
        <w:rPr>
          <w:rStyle w:val="FootnoteReference"/>
        </w:rPr>
        <w:footnoteRef/>
      </w:r>
      <w:r>
        <w:t xml:space="preserve"> </w:t>
      </w:r>
      <w:r w:rsidRPr="00A35A0B">
        <w:t>C</w:t>
      </w:r>
      <w:r>
        <w:t>T</w:t>
      </w:r>
      <w:r w:rsidRPr="00A35A0B">
        <w:t xml:space="preserve"> D</w:t>
      </w:r>
      <w:r>
        <w:t>EEP</w:t>
      </w:r>
      <w:r w:rsidRPr="00A35A0B">
        <w:t xml:space="preserve">, </w:t>
      </w:r>
      <w:r w:rsidRPr="00A35A0B">
        <w:rPr>
          <w:i/>
        </w:rPr>
        <w:t>Comprehensive Energy Strategy</w:t>
      </w:r>
      <w:r>
        <w:rPr>
          <w:i/>
        </w:rPr>
        <w:t xml:space="preserve"> </w:t>
      </w:r>
      <w:r>
        <w:t>(</w:t>
      </w:r>
      <w:r w:rsidRPr="00A35A0B">
        <w:t>February 8, 2018</w:t>
      </w:r>
      <w:r>
        <w:t xml:space="preserve">), </w:t>
      </w:r>
      <w:hyperlink r:id="rId356" w:history="1">
        <w:r>
          <w:rPr>
            <w:rStyle w:val="Hyperlink"/>
          </w:rPr>
          <w:t>http://www.ct.gov/deep/lib/deep/energy/ces/2018_comprehensive_energy_strategy.pdf</w:t>
        </w:r>
      </w:hyperlink>
      <w:r>
        <w:rPr>
          <w:rStyle w:val="Hyperlink"/>
        </w:rPr>
        <w:t>.</w:t>
      </w:r>
    </w:p>
  </w:footnote>
  <w:footnote w:id="366">
    <w:p w14:paraId="6A04BCE2" w14:textId="77777777" w:rsidR="00E231DA" w:rsidRDefault="00E231DA" w:rsidP="00E60E99">
      <w:pPr>
        <w:pStyle w:val="FootnoteText"/>
      </w:pPr>
      <w:r>
        <w:rPr>
          <w:rStyle w:val="FootnoteReference"/>
        </w:rPr>
        <w:footnoteRef/>
      </w:r>
      <w:r>
        <w:t xml:space="preserve"> CT </w:t>
      </w:r>
      <w:r w:rsidRPr="00A35A0B">
        <w:t>D</w:t>
      </w:r>
      <w:r>
        <w:t xml:space="preserve">EEP, “Energy Filings,” webpage; see </w:t>
      </w:r>
      <w:r w:rsidRPr="00D04E3D">
        <w:t xml:space="preserve">Procurement of Clean Energy and Renewable Resources Pursuant to Public Acts </w:t>
      </w:r>
      <w:r w:rsidRPr="00F300A2">
        <w:t>13-303, 15-107 and 17-144</w:t>
      </w:r>
      <w:r>
        <w:t xml:space="preserve"> (n.d.), </w:t>
      </w:r>
      <w:hyperlink r:id="rId357" w:history="1">
        <w:r>
          <w:rPr>
            <w:rStyle w:val="Hyperlink"/>
          </w:rPr>
          <w:t>http://www.dpuc.state.ct.us/DEEPEnergy.nsf/$EnergyView?OpenForm&amp;Start=1&amp;Count=30&amp;Expand=16.8&amp;Seq=3</w:t>
        </w:r>
      </w:hyperlink>
      <w:r>
        <w:rPr>
          <w:rStyle w:val="Hyperlink"/>
        </w:rPr>
        <w:t>.</w:t>
      </w:r>
    </w:p>
  </w:footnote>
  <w:footnote w:id="367">
    <w:p w14:paraId="52CF23A2" w14:textId="77777777" w:rsidR="00E231DA" w:rsidRDefault="00E231DA" w:rsidP="00E60E99">
      <w:pPr>
        <w:pStyle w:val="FootnoteText"/>
      </w:pPr>
      <w:r>
        <w:rPr>
          <w:rStyle w:val="FootnoteReference"/>
        </w:rPr>
        <w:footnoteRef/>
      </w:r>
      <w:r>
        <w:t xml:space="preserve"> CT </w:t>
      </w:r>
      <w:r w:rsidRPr="00A35A0B">
        <w:t>D</w:t>
      </w:r>
      <w:r>
        <w:t xml:space="preserve">EEP, “Energy Filings,” webpage, see </w:t>
      </w:r>
      <w:r w:rsidRPr="00D04E3D">
        <w:t>Procurement for Zero-Carbon Resources Pursuant to CT General Statutes – 16a-3m</w:t>
      </w:r>
      <w:r>
        <w:t xml:space="preserve"> (n.d.)</w:t>
      </w:r>
      <w:r w:rsidRPr="00D814EF">
        <w:t>,</w:t>
      </w:r>
      <w:r>
        <w:t xml:space="preserve"> </w:t>
      </w:r>
      <w:hyperlink r:id="rId358" w:history="1">
        <w:r>
          <w:rPr>
            <w:rStyle w:val="Hyperlink"/>
          </w:rPr>
          <w:t>http://www.dpuc.state.ct.us/DEEPEnergy.nsf/$EnergyView?OpenForm&amp;Start=1&amp;Count=30&amp;Expand=15&amp;Seq=4</w:t>
        </w:r>
      </w:hyperlink>
      <w:r>
        <w:rPr>
          <w:rStyle w:val="Hyperlink"/>
        </w:rPr>
        <w:t>.</w:t>
      </w:r>
      <w:r>
        <w:t xml:space="preserve"> </w:t>
      </w:r>
    </w:p>
  </w:footnote>
  <w:footnote w:id="368">
    <w:p w14:paraId="6F96EF84" w14:textId="77777777" w:rsidR="00E231DA" w:rsidRDefault="00E231DA" w:rsidP="00E60E99">
      <w:pPr>
        <w:pStyle w:val="FootnoteText"/>
      </w:pPr>
      <w:r>
        <w:rPr>
          <w:rStyle w:val="FootnoteReference"/>
        </w:rPr>
        <w:footnoteRef/>
      </w:r>
      <w:r>
        <w:t xml:space="preserve"> CT </w:t>
      </w:r>
      <w:r w:rsidRPr="00A35A0B">
        <w:t>D</w:t>
      </w:r>
      <w:r>
        <w:t xml:space="preserve">EEP, “Energy Filings,” webpage, see </w:t>
      </w:r>
      <w:r w:rsidRPr="00F300A2">
        <w:t>Public Act 19-71 – Section 1—Procurement of Offshore Wind Facilities</w:t>
      </w:r>
      <w:r>
        <w:t xml:space="preserve"> (n.d.), </w:t>
      </w:r>
      <w:hyperlink r:id="rId359" w:history="1">
        <w:r>
          <w:rPr>
            <w:rStyle w:val="Hyperlink"/>
          </w:rPr>
          <w:t>http://www.dpuc.state.ct.us/DEEPEnergy.nsf/$EnergyView?OpenForm&amp;Start=21&amp;Count=30&amp;Expand=44&amp;Seq=6</w:t>
        </w:r>
      </w:hyperlink>
      <w:r>
        <w:rPr>
          <w:rStyle w:val="Hyperlink"/>
        </w:rPr>
        <w:t>.</w:t>
      </w:r>
      <w:r>
        <w:t xml:space="preserve"> </w:t>
      </w:r>
    </w:p>
  </w:footnote>
  <w:footnote w:id="369">
    <w:p w14:paraId="0C6F89DA" w14:textId="77777777" w:rsidR="00E231DA" w:rsidRPr="00A35A0B" w:rsidRDefault="00E231DA" w:rsidP="00E60E99">
      <w:pPr>
        <w:pStyle w:val="FootnoteText"/>
        <w:rPr>
          <w:i/>
        </w:rPr>
      </w:pPr>
      <w:r>
        <w:rPr>
          <w:rStyle w:val="FootnoteReference"/>
        </w:rPr>
        <w:footnoteRef/>
      </w:r>
      <w:r>
        <w:t xml:space="preserve"> CT General Assembly, </w:t>
      </w:r>
      <w:r w:rsidRPr="00E20832">
        <w:rPr>
          <w:i/>
        </w:rPr>
        <w:t>A</w:t>
      </w:r>
      <w:r w:rsidRPr="00D04E3D">
        <w:rPr>
          <w:i/>
        </w:rPr>
        <w:t>n Act Concerning a Green Economy and Environmental Protection</w:t>
      </w:r>
      <w:r>
        <w:t>,</w:t>
      </w:r>
      <w:r w:rsidRPr="00293634">
        <w:t xml:space="preserve"> </w:t>
      </w:r>
      <w:r>
        <w:t xml:space="preserve">Public Act No. 19-35 (June 2019), </w:t>
      </w:r>
      <w:hyperlink r:id="rId360" w:history="1">
        <w:r>
          <w:rPr>
            <w:rStyle w:val="Hyperlink"/>
          </w:rPr>
          <w:t>https://cga.ct.gov/asp/cgabillstatus/cgabillstatus.asp?selBillType=Bill&amp;bill_num=5002&amp;which_year=2019</w:t>
        </w:r>
      </w:hyperlink>
      <w:r>
        <w:rPr>
          <w:rStyle w:val="Hyperlink"/>
        </w:rPr>
        <w:t>.</w:t>
      </w:r>
      <w:r>
        <w:t xml:space="preserve"> </w:t>
      </w:r>
    </w:p>
  </w:footnote>
  <w:footnote w:id="370">
    <w:p w14:paraId="2E081D14" w14:textId="77777777" w:rsidR="00E231DA" w:rsidRPr="00D04E3D" w:rsidRDefault="00E231DA" w:rsidP="00E60E99">
      <w:pPr>
        <w:pStyle w:val="FootnoteText"/>
        <w:rPr>
          <w:szCs w:val="18"/>
        </w:rPr>
      </w:pPr>
      <w:r w:rsidRPr="00175FE8">
        <w:rPr>
          <w:rStyle w:val="FootnoteReference"/>
          <w:sz w:val="18"/>
          <w:szCs w:val="18"/>
        </w:rPr>
        <w:footnoteRef/>
      </w:r>
      <w:r w:rsidRPr="00175FE8">
        <w:rPr>
          <w:szCs w:val="18"/>
        </w:rPr>
        <w:t xml:space="preserve"> </w:t>
      </w:r>
      <w:r>
        <w:rPr>
          <w:szCs w:val="18"/>
        </w:rPr>
        <w:t xml:space="preserve">State of Maine, </w:t>
      </w:r>
      <w:r w:rsidRPr="00175FE8">
        <w:rPr>
          <w:i/>
          <w:szCs w:val="18"/>
        </w:rPr>
        <w:t>Resolve, to Study Transmission Grid Reliability and Rate Stability in Northern Maine</w:t>
      </w:r>
      <w:r w:rsidRPr="00175FE8">
        <w:rPr>
          <w:szCs w:val="18"/>
        </w:rPr>
        <w:t>, H.P 1271</w:t>
      </w:r>
      <w:r>
        <w:rPr>
          <w:szCs w:val="18"/>
        </w:rPr>
        <w:t>—</w:t>
      </w:r>
      <w:r w:rsidRPr="00175FE8">
        <w:rPr>
          <w:szCs w:val="18"/>
        </w:rPr>
        <w:t>L.D. 179</w:t>
      </w:r>
      <w:r w:rsidRPr="00D04E3D">
        <w:rPr>
          <w:szCs w:val="18"/>
        </w:rPr>
        <w:t xml:space="preserve">6, Session Laws of Maine Chapter 71 Resolves (June 17, 2019), </w:t>
      </w:r>
      <w:hyperlink r:id="rId361" w:history="1">
        <w:r w:rsidRPr="00D04E3D">
          <w:rPr>
            <w:rStyle w:val="Hyperlink"/>
            <w:szCs w:val="18"/>
          </w:rPr>
          <w:t>http://www.mainelegislature.org/legis/bills/getPDF.asp?paper=HP1275&amp;item=3&amp;snum=129</w:t>
        </w:r>
      </w:hyperlink>
      <w:r w:rsidRPr="00D04E3D">
        <w:rPr>
          <w:rStyle w:val="Hyperlink"/>
          <w:szCs w:val="18"/>
        </w:rPr>
        <w:t>.</w:t>
      </w:r>
      <w:r w:rsidRPr="00D04E3D">
        <w:rPr>
          <w:szCs w:val="18"/>
        </w:rPr>
        <w:t xml:space="preserve"> </w:t>
      </w:r>
    </w:p>
  </w:footnote>
  <w:footnote w:id="371">
    <w:p w14:paraId="08505A8A" w14:textId="77777777" w:rsidR="00E231DA" w:rsidRPr="00175FE8" w:rsidRDefault="00E231DA" w:rsidP="00E60E99">
      <w:pPr>
        <w:pStyle w:val="FootnoteText"/>
        <w:rPr>
          <w:szCs w:val="18"/>
        </w:rPr>
      </w:pPr>
      <w:r w:rsidRPr="008B4C47">
        <w:rPr>
          <w:rStyle w:val="FootnoteReference"/>
          <w:sz w:val="18"/>
          <w:szCs w:val="18"/>
        </w:rPr>
        <w:footnoteRef/>
      </w:r>
      <w:r w:rsidRPr="00D04E3D">
        <w:rPr>
          <w:szCs w:val="18"/>
        </w:rPr>
        <w:t xml:space="preserve"> State</w:t>
      </w:r>
      <w:r>
        <w:rPr>
          <w:szCs w:val="18"/>
        </w:rPr>
        <w:t xml:space="preserve"> of Maine,</w:t>
      </w:r>
      <w:r w:rsidRPr="00175FE8">
        <w:rPr>
          <w:szCs w:val="18"/>
        </w:rPr>
        <w:t xml:space="preserve"> </w:t>
      </w:r>
      <w:r w:rsidRPr="00175FE8">
        <w:rPr>
          <w:i/>
          <w:szCs w:val="18"/>
        </w:rPr>
        <w:t>Resolve, To Increase Energy Independence for Maine</w:t>
      </w:r>
      <w:r w:rsidRPr="00175FE8">
        <w:rPr>
          <w:szCs w:val="18"/>
        </w:rPr>
        <w:t>, H.P. 479</w:t>
      </w:r>
      <w:r>
        <w:rPr>
          <w:szCs w:val="18"/>
        </w:rPr>
        <w:t>—</w:t>
      </w:r>
      <w:r w:rsidRPr="00175FE8">
        <w:rPr>
          <w:szCs w:val="18"/>
        </w:rPr>
        <w:t>L.D.658</w:t>
      </w:r>
      <w:r>
        <w:rPr>
          <w:szCs w:val="18"/>
        </w:rPr>
        <w:t xml:space="preserve"> (May 17, 2019), </w:t>
      </w:r>
      <w:hyperlink r:id="rId362" w:history="1">
        <w:r w:rsidRPr="00175FE8">
          <w:rPr>
            <w:rStyle w:val="Hyperlink"/>
            <w:szCs w:val="18"/>
          </w:rPr>
          <w:t>http://www.mainelegislature.org/legis/bills/getPDF.asp?paper=HP0479&amp;item=3&amp;snum=129</w:t>
        </w:r>
      </w:hyperlink>
      <w:r>
        <w:rPr>
          <w:rStyle w:val="Hyperlink"/>
          <w:szCs w:val="18"/>
        </w:rPr>
        <w:t>.</w:t>
      </w:r>
    </w:p>
  </w:footnote>
  <w:footnote w:id="372">
    <w:p w14:paraId="0DAE248C" w14:textId="77777777" w:rsidR="00E231DA" w:rsidRPr="00175FE8" w:rsidRDefault="00E231DA" w:rsidP="00E60E99">
      <w:pPr>
        <w:pStyle w:val="FootnoteText"/>
        <w:rPr>
          <w:i/>
          <w:szCs w:val="18"/>
        </w:rPr>
      </w:pPr>
      <w:r w:rsidRPr="00D04E3D">
        <w:rPr>
          <w:rStyle w:val="FootnoteReference"/>
          <w:sz w:val="18"/>
          <w:szCs w:val="18"/>
        </w:rPr>
        <w:footnoteRef/>
      </w:r>
      <w:r w:rsidRPr="00D04E3D">
        <w:rPr>
          <w:szCs w:val="18"/>
        </w:rPr>
        <w:t xml:space="preserve"> 129th Maine Legislature, First Legislative Session—2019, </w:t>
      </w:r>
      <w:r w:rsidRPr="00D04E3D">
        <w:rPr>
          <w:i/>
          <w:szCs w:val="18"/>
        </w:rPr>
        <w:t>An Act To Reform Maine’s Renewable Portfolio Standard</w:t>
      </w:r>
      <w:r w:rsidRPr="00D04E3D">
        <w:rPr>
          <w:szCs w:val="18"/>
        </w:rPr>
        <w:t>,</w:t>
      </w:r>
      <w:r w:rsidRPr="00175FE8">
        <w:rPr>
          <w:szCs w:val="18"/>
        </w:rPr>
        <w:t xml:space="preserve"> L.D. 1494</w:t>
      </w:r>
      <w:r>
        <w:rPr>
          <w:szCs w:val="18"/>
        </w:rPr>
        <w:t xml:space="preserve"> (April 4, 2019), </w:t>
      </w:r>
      <w:hyperlink r:id="rId363" w:history="1">
        <w:r w:rsidRPr="00292B79">
          <w:rPr>
            <w:rStyle w:val="Hyperlink"/>
            <w:szCs w:val="18"/>
          </w:rPr>
          <w:t>http://legislature.maine.gov/bills/display_ps.asp?PID=1456&amp;snum=129&amp;paper=SP0457</w:t>
        </w:r>
      </w:hyperlink>
      <w:r>
        <w:rPr>
          <w:szCs w:val="18"/>
        </w:rPr>
        <w:t>.</w:t>
      </w:r>
      <w:r w:rsidRPr="00175FE8">
        <w:rPr>
          <w:szCs w:val="18"/>
        </w:rPr>
        <w:t xml:space="preserve"> </w:t>
      </w:r>
    </w:p>
  </w:footnote>
  <w:footnote w:id="373">
    <w:p w14:paraId="6CBCBC1D" w14:textId="7FB3654F" w:rsidR="00E231DA" w:rsidRDefault="00E231DA" w:rsidP="00F300A2">
      <w:pPr>
        <w:pStyle w:val="FootnoteText"/>
        <w:spacing w:after="0"/>
      </w:pPr>
      <w:r w:rsidRPr="00E21C2B">
        <w:rPr>
          <w:rStyle w:val="FootnoteReference"/>
        </w:rPr>
        <w:footnoteRef/>
      </w:r>
      <w:r w:rsidRPr="00E21C2B">
        <w:t xml:space="preserve"> </w:t>
      </w:r>
      <w:r w:rsidRPr="00F300A2">
        <w:rPr>
          <w:szCs w:val="18"/>
        </w:rPr>
        <w:t>129</w:t>
      </w:r>
      <w:r w:rsidRPr="00F300A2">
        <w:rPr>
          <w:szCs w:val="18"/>
          <w:vertAlign w:val="superscript"/>
        </w:rPr>
        <w:t>th</w:t>
      </w:r>
      <w:r w:rsidRPr="00F300A2">
        <w:rPr>
          <w:szCs w:val="18"/>
        </w:rPr>
        <w:t xml:space="preserve"> Maine Legislature, First Legislative Session—2019, </w:t>
      </w:r>
      <w:r w:rsidRPr="00F300A2">
        <w:rPr>
          <w:i/>
          <w:szCs w:val="18"/>
        </w:rPr>
        <w:t>An Act to Reduce Electricity Costs through Nonwire Alternatives</w:t>
      </w:r>
      <w:r w:rsidRPr="00F300A2">
        <w:rPr>
          <w:szCs w:val="18"/>
        </w:rPr>
        <w:t>, L.D. 1181 (March 12, 2019),</w:t>
      </w:r>
      <w:r w:rsidRPr="00E21C2B">
        <w:rPr>
          <w:szCs w:val="18"/>
        </w:rPr>
        <w:t xml:space="preserve"> </w:t>
      </w:r>
      <w:hyperlink r:id="rId364" w:history="1">
        <w:r w:rsidRPr="00F300A2">
          <w:rPr>
            <w:color w:val="000000"/>
            <w:szCs w:val="18"/>
          </w:rPr>
          <w:t>http://legislature.maine.gov/bills/display_ps.asp?PID=1456&amp;snum=129&amp;paper=HP0855</w:t>
        </w:r>
      </w:hyperlink>
      <w:r w:rsidRPr="00F300A2">
        <w:rPr>
          <w:color w:val="000000"/>
          <w:szCs w:val="18"/>
        </w:rPr>
        <w:t>.</w:t>
      </w:r>
    </w:p>
  </w:footnote>
  <w:footnote w:id="374">
    <w:p w14:paraId="1F8999A6" w14:textId="77777777" w:rsidR="00E231DA" w:rsidRPr="009D6317" w:rsidRDefault="00E231DA">
      <w:pPr>
        <w:pStyle w:val="FootnoteText"/>
        <w:rPr>
          <w:szCs w:val="18"/>
        </w:rPr>
      </w:pPr>
      <w:r w:rsidRPr="009D6317">
        <w:rPr>
          <w:rStyle w:val="FootnoteReference"/>
          <w:sz w:val="18"/>
          <w:szCs w:val="18"/>
        </w:rPr>
        <w:footnoteRef/>
      </w:r>
      <w:r w:rsidRPr="009D6317">
        <w:rPr>
          <w:szCs w:val="18"/>
        </w:rPr>
        <w:t xml:space="preserve"> 129</w:t>
      </w:r>
      <w:r w:rsidRPr="009D6317">
        <w:rPr>
          <w:szCs w:val="18"/>
          <w:vertAlign w:val="superscript"/>
        </w:rPr>
        <w:t>th</w:t>
      </w:r>
      <w:r w:rsidRPr="009D6317">
        <w:rPr>
          <w:szCs w:val="18"/>
        </w:rPr>
        <w:t xml:space="preserve"> Maine Legislature, First Legislative Session—2019, </w:t>
      </w:r>
      <w:r w:rsidRPr="009D6317">
        <w:rPr>
          <w:i/>
          <w:szCs w:val="18"/>
        </w:rPr>
        <w:t>An Act to Transform Maine’s Heat Pump Market to Advance Economic Security and Climate Objectives</w:t>
      </w:r>
      <w:r w:rsidRPr="009D6317">
        <w:rPr>
          <w:szCs w:val="18"/>
        </w:rPr>
        <w:t xml:space="preserve">, L.D. 1766 (May 21, 2019), </w:t>
      </w:r>
      <w:hyperlink r:id="rId365" w:history="1">
        <w:r w:rsidRPr="009D6317">
          <w:rPr>
            <w:rStyle w:val="Hyperlink"/>
            <w:szCs w:val="18"/>
          </w:rPr>
          <w:t>http://www.mainelegislature.org/legis/bills/display_ps.asp?ld=1766&amp;PID=1456&amp;snum=129</w:t>
        </w:r>
      </w:hyperlink>
      <w:r w:rsidRPr="009D6317">
        <w:rPr>
          <w:rStyle w:val="Hyperlink"/>
          <w:szCs w:val="18"/>
        </w:rPr>
        <w:t>.</w:t>
      </w:r>
    </w:p>
  </w:footnote>
  <w:footnote w:id="375">
    <w:p w14:paraId="7CD84B8B" w14:textId="77777777" w:rsidR="00E231DA" w:rsidRPr="009D6317" w:rsidRDefault="00E231DA" w:rsidP="00E21C2B">
      <w:pPr>
        <w:pStyle w:val="FootnoteText"/>
        <w:rPr>
          <w:szCs w:val="18"/>
        </w:rPr>
      </w:pPr>
      <w:r w:rsidRPr="009D6317">
        <w:rPr>
          <w:rStyle w:val="FootnoteReference"/>
          <w:sz w:val="18"/>
          <w:szCs w:val="18"/>
        </w:rPr>
        <w:footnoteRef/>
      </w:r>
      <w:r w:rsidRPr="009D6317">
        <w:rPr>
          <w:szCs w:val="18"/>
        </w:rPr>
        <w:t>129</w:t>
      </w:r>
      <w:r w:rsidRPr="009D6317">
        <w:rPr>
          <w:szCs w:val="18"/>
          <w:vertAlign w:val="superscript"/>
        </w:rPr>
        <w:t>th</w:t>
      </w:r>
      <w:r w:rsidRPr="009D6317">
        <w:rPr>
          <w:szCs w:val="18"/>
        </w:rPr>
        <w:t xml:space="preserve"> Maine Legislature, First Legislative Session—2019, </w:t>
      </w:r>
      <w:r w:rsidRPr="009D6317">
        <w:rPr>
          <w:i/>
          <w:szCs w:val="18"/>
        </w:rPr>
        <w:t>An Act to Eliminate Gross Metering</w:t>
      </w:r>
      <w:r w:rsidRPr="009D6317">
        <w:rPr>
          <w:szCs w:val="18"/>
        </w:rPr>
        <w:t xml:space="preserve">, L.D. 91 (January 15, 2019), </w:t>
      </w:r>
      <w:hyperlink r:id="rId366" w:history="1">
        <w:r w:rsidRPr="009D6317">
          <w:rPr>
            <w:rStyle w:val="Hyperlink"/>
            <w:szCs w:val="18"/>
          </w:rPr>
          <w:t>http://www.mainelegislature.org/legis/bills/display_ps.asp?ld=91&amp;PID=1456&amp;snum=129</w:t>
        </w:r>
      </w:hyperlink>
      <w:r w:rsidRPr="009D6317">
        <w:rPr>
          <w:szCs w:val="18"/>
        </w:rPr>
        <w:t xml:space="preserve">. </w:t>
      </w:r>
    </w:p>
  </w:footnote>
  <w:footnote w:id="376">
    <w:p w14:paraId="10D71653" w14:textId="77777777" w:rsidR="00E231DA" w:rsidRPr="009D6317" w:rsidRDefault="00E231DA" w:rsidP="00D04E3D">
      <w:pPr>
        <w:pStyle w:val="FootnoteText"/>
        <w:rPr>
          <w:szCs w:val="18"/>
        </w:rPr>
      </w:pPr>
      <w:r w:rsidRPr="009D6317">
        <w:rPr>
          <w:rStyle w:val="FootnoteReference"/>
          <w:sz w:val="18"/>
          <w:szCs w:val="18"/>
        </w:rPr>
        <w:footnoteRef/>
      </w:r>
      <w:r w:rsidRPr="009D6317">
        <w:rPr>
          <w:szCs w:val="18"/>
        </w:rPr>
        <w:t xml:space="preserve"> </w:t>
      </w:r>
      <w:r>
        <w:rPr>
          <w:szCs w:val="18"/>
        </w:rPr>
        <w:t>1</w:t>
      </w:r>
      <w:r w:rsidRPr="009D6317">
        <w:rPr>
          <w:szCs w:val="18"/>
        </w:rPr>
        <w:t>29</w:t>
      </w:r>
      <w:r w:rsidRPr="009D6317">
        <w:rPr>
          <w:szCs w:val="18"/>
          <w:vertAlign w:val="superscript"/>
        </w:rPr>
        <w:t>th</w:t>
      </w:r>
      <w:r w:rsidRPr="009D6317">
        <w:rPr>
          <w:szCs w:val="18"/>
        </w:rPr>
        <w:t xml:space="preserve"> Maine Legislature, First Legislative Session—2019, </w:t>
      </w:r>
      <w:r w:rsidRPr="009D6317">
        <w:rPr>
          <w:i/>
          <w:szCs w:val="18"/>
        </w:rPr>
        <w:t>An Act to Support Electrification of Certain Technologies for the Benefit of Maine Consumers and Utility Systems and the Environment</w:t>
      </w:r>
      <w:r w:rsidRPr="009D6317">
        <w:rPr>
          <w:szCs w:val="18"/>
        </w:rPr>
        <w:t xml:space="preserve">, L.D. 1463 (April 2, 2019), </w:t>
      </w:r>
      <w:hyperlink r:id="rId367" w:history="1">
        <w:r w:rsidRPr="009D6317">
          <w:rPr>
            <w:rStyle w:val="Hyperlink"/>
            <w:szCs w:val="18"/>
          </w:rPr>
          <w:t>http://www.mainelegislature.org/legis/bills/display_ps.asp?PID=1456&amp;snum=129&amp;paper=&amp;paperld=l&amp;ld=1464</w:t>
        </w:r>
      </w:hyperlink>
      <w:r w:rsidRPr="009D6317">
        <w:rPr>
          <w:rStyle w:val="Hyperlink"/>
          <w:szCs w:val="18"/>
        </w:rPr>
        <w:t>.</w:t>
      </w:r>
    </w:p>
  </w:footnote>
  <w:footnote w:id="377">
    <w:p w14:paraId="26802753" w14:textId="77777777" w:rsidR="00E231DA" w:rsidRPr="009D6317" w:rsidRDefault="00E231DA" w:rsidP="00CE6F2A">
      <w:pPr>
        <w:pStyle w:val="FootnoteText"/>
        <w:rPr>
          <w:szCs w:val="18"/>
        </w:rPr>
      </w:pPr>
      <w:r w:rsidRPr="009D6317">
        <w:rPr>
          <w:rStyle w:val="FootnoteReference"/>
          <w:sz w:val="18"/>
          <w:szCs w:val="18"/>
        </w:rPr>
        <w:footnoteRef/>
      </w:r>
      <w:r w:rsidRPr="009D6317">
        <w:rPr>
          <w:szCs w:val="18"/>
        </w:rPr>
        <w:t xml:space="preserve"> M</w:t>
      </w:r>
      <w:r>
        <w:rPr>
          <w:szCs w:val="18"/>
        </w:rPr>
        <w:t>E PUC</w:t>
      </w:r>
      <w:r w:rsidRPr="009D6317">
        <w:rPr>
          <w:szCs w:val="18"/>
        </w:rPr>
        <w:t>,</w:t>
      </w:r>
      <w:r w:rsidRPr="009D6317">
        <w:rPr>
          <w:i/>
          <w:szCs w:val="18"/>
        </w:rPr>
        <w:t xml:space="preserve"> Order Granting Certificate of Public Convenience and Necessity and Approving Stipulation </w:t>
      </w:r>
      <w:r w:rsidRPr="009D6317">
        <w:rPr>
          <w:szCs w:val="18"/>
        </w:rPr>
        <w:t xml:space="preserve">(May 3, 2019), </w:t>
      </w:r>
      <w:hyperlink r:id="rId368" w:history="1">
        <w:r w:rsidRPr="009D6317">
          <w:rPr>
            <w:rStyle w:val="Hyperlink"/>
            <w:color w:val="auto"/>
            <w:szCs w:val="18"/>
          </w:rPr>
          <w:t>https://mpuc-cms.maine.gov/CQM.Public.WebUI/Common/CaseMaster.aspx?CaseNumber=2017-00232</w:t>
        </w:r>
      </w:hyperlink>
      <w:r w:rsidRPr="009D6317">
        <w:rPr>
          <w:rStyle w:val="Hyperlink"/>
          <w:color w:val="auto"/>
          <w:szCs w:val="18"/>
        </w:rPr>
        <w:t>.</w:t>
      </w:r>
    </w:p>
  </w:footnote>
  <w:footnote w:id="378">
    <w:p w14:paraId="1D716555" w14:textId="77777777" w:rsidR="00E231DA" w:rsidRPr="009D6317" w:rsidRDefault="00E231DA" w:rsidP="00CE6F2A">
      <w:pPr>
        <w:pStyle w:val="NoSpacing"/>
        <w:numPr>
          <w:ilvl w:val="0"/>
          <w:numId w:val="0"/>
        </w:numPr>
        <w:spacing w:after="80" w:line="240" w:lineRule="auto"/>
        <w:rPr>
          <w:rFonts w:asciiTheme="minorHAnsi" w:hAnsiTheme="minorHAnsi"/>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Promote Energy Diversity</w:t>
      </w:r>
      <w:r w:rsidRPr="009D6317">
        <w:rPr>
          <w:color w:val="auto"/>
          <w:sz w:val="18"/>
          <w:szCs w:val="18"/>
        </w:rPr>
        <w:t xml:space="preserve">, Chapter 188 of the Acts of 2016 (August 8, 2016), </w:t>
      </w:r>
      <w:hyperlink r:id="rId369" w:history="1">
        <w:r w:rsidRPr="009D6317">
          <w:rPr>
            <w:rStyle w:val="Hyperlink"/>
            <w:rFonts w:cstheme="minorHAnsi"/>
            <w:color w:val="auto"/>
            <w:sz w:val="18"/>
            <w:szCs w:val="18"/>
          </w:rPr>
          <w:t>https://malegislature.gov/Laws/SessionLaws/Acts/2016/Chapter188</w:t>
        </w:r>
      </w:hyperlink>
      <w:r w:rsidRPr="009D6317">
        <w:rPr>
          <w:rStyle w:val="Hyperlink"/>
          <w:rFonts w:cstheme="minorHAnsi"/>
          <w:color w:val="auto"/>
          <w:sz w:val="18"/>
          <w:szCs w:val="18"/>
        </w:rPr>
        <w:t>.</w:t>
      </w:r>
      <w:r w:rsidRPr="009D6317">
        <w:rPr>
          <w:rFonts w:asciiTheme="minorHAnsi" w:hAnsiTheme="minorHAnsi"/>
          <w:color w:val="auto"/>
          <w:sz w:val="18"/>
          <w:szCs w:val="18"/>
        </w:rPr>
        <w:t xml:space="preserve"> </w:t>
      </w:r>
    </w:p>
  </w:footnote>
  <w:footnote w:id="379">
    <w:p w14:paraId="224940FA" w14:textId="77777777" w:rsidR="00E231DA" w:rsidRPr="006612C1" w:rsidRDefault="00E231DA" w:rsidP="00950D85">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w:t>
      </w:r>
      <w:r w:rsidRPr="006612C1">
        <w:rPr>
          <w:color w:val="auto"/>
          <w:sz w:val="18"/>
          <w:szCs w:val="18"/>
        </w:rPr>
        <w:t xml:space="preserve">tations is available at MACLEANENERGY.COM. “Massachusetts Clean Energy,” webpage (2019), </w:t>
      </w:r>
      <w:hyperlink r:id="rId370" w:history="1">
        <w:r w:rsidRPr="006612C1">
          <w:rPr>
            <w:rStyle w:val="Hyperlink"/>
            <w:rFonts w:cstheme="minorHAnsi"/>
            <w:color w:val="auto"/>
            <w:sz w:val="18"/>
            <w:szCs w:val="18"/>
          </w:rPr>
          <w:t>https://macleanenergy.com</w:t>
        </w:r>
      </w:hyperlink>
      <w:r w:rsidRPr="006612C1">
        <w:rPr>
          <w:rFonts w:cstheme="minorHAnsi"/>
          <w:color w:val="auto"/>
          <w:sz w:val="18"/>
          <w:szCs w:val="18"/>
        </w:rPr>
        <w:t>/</w:t>
      </w:r>
      <w:r w:rsidRPr="006612C1">
        <w:rPr>
          <w:color w:val="auto"/>
          <w:sz w:val="18"/>
          <w:szCs w:val="18"/>
        </w:rPr>
        <w:t>.</w:t>
      </w:r>
    </w:p>
  </w:footnote>
  <w:footnote w:id="380">
    <w:p w14:paraId="6F4E7B27" w14:textId="77777777" w:rsidR="00E231DA" w:rsidRPr="009D6317" w:rsidRDefault="00E231DA" w:rsidP="00950D85">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DPU, See Docket Nos. 18-76, 18-77, and 18-78, (April 12, 2019), </w:t>
      </w:r>
      <w:hyperlink r:id="rId371" w:history="1">
        <w:r w:rsidRPr="006612C1">
          <w:rPr>
            <w:rStyle w:val="Hyperlink"/>
            <w:rFonts w:cstheme="minorHAnsi"/>
            <w:color w:val="auto"/>
            <w:sz w:val="18"/>
            <w:szCs w:val="18"/>
          </w:rPr>
          <w:t>https://fileservice.eea.comacloud.net/FileService.Api/file/FileRoom/10617251</w:t>
        </w:r>
      </w:hyperlink>
      <w:r w:rsidRPr="006612C1">
        <w:rPr>
          <w:rStyle w:val="Hyperlink"/>
          <w:rFonts w:cstheme="minorHAnsi"/>
          <w:color w:val="auto"/>
          <w:sz w:val="18"/>
          <w:szCs w:val="18"/>
        </w:rPr>
        <w:t>.</w:t>
      </w:r>
      <w:r w:rsidRPr="006612C1">
        <w:rPr>
          <w:color w:val="auto"/>
          <w:sz w:val="18"/>
          <w:szCs w:val="18"/>
        </w:rPr>
        <w:t xml:space="preserve"> </w:t>
      </w:r>
    </w:p>
  </w:footnote>
  <w:footnote w:id="381">
    <w:p w14:paraId="30D77A2F" w14:textId="77777777" w:rsidR="00E231DA" w:rsidRPr="009D6317" w:rsidRDefault="00E231DA" w:rsidP="00950D85">
      <w:pPr>
        <w:pStyle w:val="NoSpacing"/>
        <w:numPr>
          <w:ilvl w:val="0"/>
          <w:numId w:val="0"/>
        </w:numPr>
        <w:spacing w:after="80" w:line="240" w:lineRule="auto"/>
        <w:rPr>
          <w:sz w:val="18"/>
          <w:szCs w:val="18"/>
        </w:rPr>
      </w:pPr>
      <w:r w:rsidRPr="009D6317">
        <w:rPr>
          <w:rStyle w:val="FootnoteReference"/>
          <w:rFonts w:cstheme="minorHAnsi"/>
          <w:color w:val="auto"/>
          <w:sz w:val="18"/>
          <w:szCs w:val="18"/>
        </w:rPr>
        <w:footnoteRef/>
      </w:r>
      <w:r w:rsidRPr="009D6317">
        <w:rPr>
          <w:color w:val="auto"/>
          <w:sz w:val="18"/>
          <w:szCs w:val="18"/>
        </w:rPr>
        <w:t xml:space="preserve"> Information relating to the solicitation is available at MACLEANENERGY.COM. “Massachusetts Clean Energy,” webpage, 83C II (2019) </w:t>
      </w:r>
      <w:hyperlink r:id="rId372" w:history="1">
        <w:r w:rsidRPr="009D6317">
          <w:rPr>
            <w:rStyle w:val="Hyperlink"/>
            <w:rFonts w:cstheme="minorHAnsi"/>
            <w:color w:val="auto"/>
            <w:sz w:val="18"/>
            <w:szCs w:val="18"/>
          </w:rPr>
          <w:t>https://macleanenergy.com/83c-ii/</w:t>
        </w:r>
      </w:hyperlink>
      <w:r w:rsidRPr="009D6317">
        <w:rPr>
          <w:color w:val="auto"/>
          <w:sz w:val="18"/>
          <w:szCs w:val="18"/>
        </w:rPr>
        <w:t>.</w:t>
      </w:r>
    </w:p>
  </w:footnote>
  <w:footnote w:id="382">
    <w:p w14:paraId="55773005" w14:textId="77777777" w:rsidR="00E231DA" w:rsidRPr="003A1975" w:rsidRDefault="00E231DA"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xml:space="preserve">, Chapter 227 of the Acts of 2018 (August 9, 2018), </w:t>
      </w:r>
      <w:hyperlink r:id="rId373" w:history="1">
        <w:r w:rsidRPr="009D6317">
          <w:rPr>
            <w:rStyle w:val="Hyperlink"/>
            <w:rFonts w:cstheme="minorHAnsi"/>
            <w:color w:val="auto"/>
            <w:sz w:val="18"/>
            <w:szCs w:val="18"/>
          </w:rPr>
          <w:t>https://malegislature.gov/Laws/SessionLaws/Acts/2018/Chapter227</w:t>
        </w:r>
      </w:hyperlink>
      <w:r w:rsidRPr="009D6317">
        <w:rPr>
          <w:color w:val="auto"/>
          <w:sz w:val="18"/>
          <w:szCs w:val="18"/>
        </w:rPr>
        <w:t>.</w:t>
      </w:r>
    </w:p>
  </w:footnote>
  <w:footnote w:id="383">
    <w:p w14:paraId="587A0C94" w14:textId="77777777" w:rsidR="00E231DA" w:rsidRPr="009D6317" w:rsidRDefault="00E231DA" w:rsidP="009D6317">
      <w:pPr>
        <w:pStyle w:val="NoSpacing"/>
        <w:numPr>
          <w:ilvl w:val="0"/>
          <w:numId w:val="0"/>
        </w:numPr>
        <w:spacing w:after="80" w:line="240" w:lineRule="auto"/>
        <w:rPr>
          <w:color w:val="auto"/>
          <w:sz w:val="18"/>
          <w:szCs w:val="18"/>
        </w:rPr>
      </w:pPr>
      <w:r w:rsidRPr="006612C1">
        <w:rPr>
          <w:rStyle w:val="FootnoteReference"/>
          <w:rFonts w:cstheme="minorHAnsi"/>
          <w:color w:val="auto"/>
          <w:sz w:val="18"/>
          <w:szCs w:val="18"/>
        </w:rPr>
        <w:footnoteRef/>
      </w:r>
      <w:r w:rsidRPr="006612C1">
        <w:rPr>
          <w:color w:val="auto"/>
          <w:sz w:val="18"/>
          <w:szCs w:val="18"/>
        </w:rPr>
        <w:t xml:space="preserve"> MA DOER,</w:t>
      </w:r>
      <w:r w:rsidRPr="006612C1">
        <w:rPr>
          <w:i/>
          <w:color w:val="auto"/>
          <w:sz w:val="18"/>
          <w:szCs w:val="18"/>
        </w:rPr>
        <w:t xml:space="preserve"> Offshore Wind Study </w:t>
      </w:r>
      <w:r w:rsidRPr="006612C1">
        <w:rPr>
          <w:color w:val="auto"/>
          <w:sz w:val="18"/>
          <w:szCs w:val="18"/>
        </w:rPr>
        <w:t xml:space="preserve">(May 2019), </w:t>
      </w:r>
      <w:hyperlink r:id="rId374" w:history="1">
        <w:r w:rsidRPr="006612C1">
          <w:rPr>
            <w:rStyle w:val="Hyperlink"/>
            <w:rFonts w:cstheme="minorHAnsi"/>
            <w:color w:val="auto"/>
            <w:sz w:val="18"/>
            <w:szCs w:val="18"/>
          </w:rPr>
          <w:t>https://www.mass.gov/files/documents/2019/05/31/OSW%20Study%20-%20Final.pdf</w:t>
        </w:r>
      </w:hyperlink>
      <w:r w:rsidRPr="006612C1">
        <w:rPr>
          <w:rStyle w:val="Hyperlink"/>
          <w:rFonts w:cstheme="minorHAnsi"/>
          <w:color w:val="auto"/>
          <w:sz w:val="18"/>
          <w:szCs w:val="18"/>
        </w:rPr>
        <w:t>.</w:t>
      </w:r>
      <w:r w:rsidRPr="009D6317">
        <w:rPr>
          <w:color w:val="auto"/>
          <w:sz w:val="18"/>
          <w:szCs w:val="18"/>
        </w:rPr>
        <w:t xml:space="preserve"> </w:t>
      </w:r>
    </w:p>
  </w:footnote>
  <w:footnote w:id="384">
    <w:p w14:paraId="5D415EA8" w14:textId="77777777" w:rsidR="00E231DA" w:rsidRPr="009D6317" w:rsidRDefault="00E231DA" w:rsidP="009D6317">
      <w:pPr>
        <w:pStyle w:val="NoSpacing"/>
        <w:numPr>
          <w:ilvl w:val="0"/>
          <w:numId w:val="0"/>
        </w:numPr>
        <w:spacing w:after="80" w:line="240" w:lineRule="auto"/>
        <w:rPr>
          <w:color w:val="auto"/>
          <w:sz w:val="18"/>
          <w:szCs w:val="18"/>
        </w:rPr>
      </w:pPr>
      <w:r w:rsidRPr="009D6317">
        <w:rPr>
          <w:rStyle w:val="FootnoteReference"/>
          <w:rFonts w:cstheme="minorHAnsi"/>
          <w:color w:val="auto"/>
          <w:sz w:val="18"/>
          <w:szCs w:val="18"/>
        </w:rPr>
        <w:footnoteRef/>
      </w:r>
      <w:r w:rsidRPr="009D6317">
        <w:rPr>
          <w:color w:val="auto"/>
          <w:sz w:val="18"/>
          <w:szCs w:val="18"/>
        </w:rPr>
        <w:t xml:space="preserve"> M</w:t>
      </w:r>
      <w:r>
        <w:rPr>
          <w:color w:val="auto"/>
          <w:sz w:val="18"/>
          <w:szCs w:val="18"/>
        </w:rPr>
        <w:t>A</w:t>
      </w:r>
      <w:r w:rsidRPr="009D6317">
        <w:rPr>
          <w:color w:val="auto"/>
          <w:sz w:val="18"/>
          <w:szCs w:val="18"/>
        </w:rPr>
        <w:t xml:space="preserve"> General Court, </w:t>
      </w:r>
      <w:r w:rsidRPr="009D6317">
        <w:rPr>
          <w:i/>
          <w:color w:val="auto"/>
          <w:sz w:val="18"/>
          <w:szCs w:val="18"/>
        </w:rPr>
        <w:t>An Act to Advance Clean Energy</w:t>
      </w:r>
      <w:r w:rsidRPr="009D6317">
        <w:rPr>
          <w:color w:val="auto"/>
          <w:sz w:val="18"/>
          <w:szCs w:val="18"/>
        </w:rPr>
        <w:t>, Chapter 227 of the Acts of 2018</w:t>
      </w:r>
      <w:r>
        <w:rPr>
          <w:color w:val="auto"/>
          <w:sz w:val="18"/>
          <w:szCs w:val="18"/>
        </w:rPr>
        <w:t xml:space="preserve"> (August 9, 2018)</w:t>
      </w:r>
      <w:r w:rsidRPr="009D6317">
        <w:rPr>
          <w:color w:val="auto"/>
          <w:sz w:val="18"/>
          <w:szCs w:val="18"/>
        </w:rPr>
        <w:t xml:space="preserve">, </w:t>
      </w:r>
      <w:hyperlink r:id="rId375" w:history="1">
        <w:r w:rsidRPr="009D6317">
          <w:rPr>
            <w:rStyle w:val="Hyperlink"/>
            <w:rFonts w:cstheme="minorHAnsi"/>
            <w:color w:val="auto"/>
            <w:sz w:val="18"/>
            <w:szCs w:val="18"/>
          </w:rPr>
          <w:t>https://malegislature.gov/Laws/SessionLaws/Acts/2018/Chapter227</w:t>
        </w:r>
      </w:hyperlink>
      <w:r>
        <w:rPr>
          <w:rStyle w:val="Hyperlink"/>
          <w:rFonts w:cstheme="minorHAnsi"/>
          <w:color w:val="auto"/>
          <w:sz w:val="18"/>
          <w:szCs w:val="18"/>
        </w:rPr>
        <w:t>.</w:t>
      </w:r>
    </w:p>
  </w:footnote>
  <w:footnote w:id="385">
    <w:p w14:paraId="2FD94B84" w14:textId="77777777" w:rsidR="00E231DA" w:rsidRPr="009F2F3F" w:rsidRDefault="00E231DA" w:rsidP="009D6317">
      <w:pPr>
        <w:pStyle w:val="NoSpacing"/>
        <w:numPr>
          <w:ilvl w:val="0"/>
          <w:numId w:val="0"/>
        </w:numPr>
        <w:spacing w:after="80" w:line="240" w:lineRule="auto"/>
        <w:rPr>
          <w:rFonts w:asciiTheme="minorHAnsi" w:hAnsiTheme="minorHAnsi"/>
          <w:sz w:val="18"/>
          <w:szCs w:val="18"/>
        </w:rPr>
      </w:pPr>
      <w:r w:rsidRPr="009D6317">
        <w:rPr>
          <w:rStyle w:val="FootnoteReference"/>
          <w:rFonts w:cstheme="minorHAnsi"/>
          <w:color w:val="auto"/>
          <w:sz w:val="18"/>
          <w:szCs w:val="18"/>
        </w:rPr>
        <w:footnoteRef/>
      </w:r>
      <w:r w:rsidRPr="009D6317">
        <w:rPr>
          <w:color w:val="auto"/>
          <w:sz w:val="18"/>
          <w:szCs w:val="18"/>
        </w:rPr>
        <w:t xml:space="preserve"> </w:t>
      </w:r>
      <w:r>
        <w:rPr>
          <w:color w:val="auto"/>
          <w:sz w:val="18"/>
          <w:szCs w:val="18"/>
        </w:rPr>
        <w:t xml:space="preserve">Mass Save, </w:t>
      </w:r>
      <w:r w:rsidRPr="009D6317">
        <w:rPr>
          <w:i/>
          <w:color w:val="auto"/>
          <w:sz w:val="18"/>
          <w:szCs w:val="18"/>
        </w:rPr>
        <w:t>Massachusetts Joint Statewide Electric and Gas Three-Year Energy Efficiency Plan 2019–2021</w:t>
      </w:r>
      <w:r>
        <w:rPr>
          <w:color w:val="auto"/>
          <w:sz w:val="18"/>
          <w:szCs w:val="18"/>
        </w:rPr>
        <w:t xml:space="preserve"> </w:t>
      </w:r>
      <w:r w:rsidRPr="009D6317">
        <w:rPr>
          <w:color w:val="auto"/>
          <w:sz w:val="18"/>
          <w:szCs w:val="18"/>
        </w:rPr>
        <w:t>(October</w:t>
      </w:r>
      <w:r>
        <w:rPr>
          <w:color w:val="auto"/>
          <w:sz w:val="18"/>
          <w:szCs w:val="18"/>
        </w:rPr>
        <w:t> </w:t>
      </w:r>
      <w:r w:rsidRPr="009D6317">
        <w:rPr>
          <w:color w:val="auto"/>
          <w:sz w:val="18"/>
          <w:szCs w:val="18"/>
        </w:rPr>
        <w:t xml:space="preserve">31, 2018), </w:t>
      </w:r>
      <w:hyperlink r:id="rId376" w:history="1">
        <w:r w:rsidRPr="009D6317">
          <w:rPr>
            <w:rStyle w:val="Hyperlink"/>
            <w:sz w:val="18"/>
            <w:szCs w:val="18"/>
          </w:rPr>
          <w:t>https://fileservice.eea.comacloud.net/FileService.Api/file/FileRoom/9998895</w:t>
        </w:r>
      </w:hyperlink>
      <w:r>
        <w:rPr>
          <w:color w:val="auto"/>
          <w:sz w:val="18"/>
          <w:szCs w:val="18"/>
        </w:rPr>
        <w:t>.</w:t>
      </w:r>
    </w:p>
  </w:footnote>
  <w:footnote w:id="386">
    <w:p w14:paraId="3E32E3CA" w14:textId="77777777" w:rsidR="00E231DA" w:rsidRPr="009D6317" w:rsidRDefault="00E231DA" w:rsidP="00E60E99">
      <w:pPr>
        <w:pStyle w:val="FootnoteText"/>
        <w:rPr>
          <w:szCs w:val="18"/>
        </w:rPr>
      </w:pPr>
      <w:r w:rsidRPr="009F2F3F">
        <w:rPr>
          <w:rStyle w:val="FootnoteReference"/>
          <w:sz w:val="18"/>
          <w:szCs w:val="18"/>
        </w:rPr>
        <w:footnoteRef/>
      </w:r>
      <w:r w:rsidRPr="009F2F3F">
        <w:rPr>
          <w:szCs w:val="18"/>
        </w:rPr>
        <w:t xml:space="preserve"> </w:t>
      </w:r>
      <w:r w:rsidRPr="009D6317">
        <w:rPr>
          <w:szCs w:val="18"/>
        </w:rPr>
        <w:t xml:space="preserve">NH </w:t>
      </w:r>
      <w:r>
        <w:rPr>
          <w:szCs w:val="18"/>
        </w:rPr>
        <w:t>Office of Strategic Initiatives, “</w:t>
      </w:r>
      <w:r w:rsidRPr="009D6317">
        <w:rPr>
          <w:szCs w:val="18"/>
        </w:rPr>
        <w:t>Offshore Renewable Energy Task Force,</w:t>
      </w:r>
      <w:r>
        <w:rPr>
          <w:szCs w:val="18"/>
        </w:rPr>
        <w:t xml:space="preserve">” webpage (2017), </w:t>
      </w:r>
      <w:hyperlink r:id="rId377" w:history="1">
        <w:r w:rsidRPr="009D6317">
          <w:rPr>
            <w:rStyle w:val="Hyperlink"/>
            <w:szCs w:val="18"/>
          </w:rPr>
          <w:t>https://www.nh.gov/osi/special-projects/offshore-renewable.htm</w:t>
        </w:r>
      </w:hyperlink>
      <w:r>
        <w:rPr>
          <w:szCs w:val="18"/>
        </w:rPr>
        <w:t>.</w:t>
      </w:r>
    </w:p>
  </w:footnote>
  <w:footnote w:id="387">
    <w:p w14:paraId="4159983F" w14:textId="77777777" w:rsidR="00E231DA" w:rsidRPr="009D6317" w:rsidRDefault="00E231DA" w:rsidP="009D6317">
      <w:pPr>
        <w:pStyle w:val="FootnoteText"/>
        <w:spacing w:after="0"/>
        <w:rPr>
          <w:szCs w:val="18"/>
        </w:rPr>
      </w:pPr>
      <w:r w:rsidRPr="009D6317">
        <w:rPr>
          <w:rStyle w:val="FootnoteReference"/>
          <w:sz w:val="18"/>
          <w:szCs w:val="18"/>
        </w:rPr>
        <w:footnoteRef/>
      </w:r>
      <w:r w:rsidRPr="009D6317">
        <w:rPr>
          <w:szCs w:val="18"/>
        </w:rPr>
        <w:t xml:space="preserve"> </w:t>
      </w:r>
      <w:r>
        <w:rPr>
          <w:szCs w:val="18"/>
        </w:rPr>
        <w:t>NH DES,</w:t>
      </w:r>
      <w:r w:rsidRPr="009D6317">
        <w:t xml:space="preserve"> </w:t>
      </w:r>
      <w:r>
        <w:t>“</w:t>
      </w:r>
      <w:r w:rsidRPr="009D6317">
        <w:rPr>
          <w:szCs w:val="18"/>
        </w:rPr>
        <w:t xml:space="preserve">Wastewater Treatment Plants Recognized </w:t>
      </w:r>
      <w:r>
        <w:rPr>
          <w:szCs w:val="18"/>
        </w:rPr>
        <w:t>f</w:t>
      </w:r>
      <w:r w:rsidRPr="009D6317">
        <w:rPr>
          <w:szCs w:val="18"/>
        </w:rPr>
        <w:t>or Improvements in Energy Efficiency</w:t>
      </w:r>
      <w:r>
        <w:rPr>
          <w:szCs w:val="18"/>
        </w:rPr>
        <w:t xml:space="preserve">: </w:t>
      </w:r>
    </w:p>
    <w:p w14:paraId="253276E4" w14:textId="77777777" w:rsidR="00E231DA" w:rsidRPr="009F2F3F" w:rsidRDefault="00E231DA" w:rsidP="00AD4D9D">
      <w:pPr>
        <w:pStyle w:val="FootnoteText"/>
        <w:rPr>
          <w:szCs w:val="18"/>
        </w:rPr>
      </w:pPr>
      <w:r w:rsidRPr="009D6317">
        <w:rPr>
          <w:szCs w:val="18"/>
        </w:rPr>
        <w:t>WWTPs Recognized Include Epping, North Conway, Pittsfield, Somersworth, Troy, Winnipesaukee River Basin Program</w:t>
      </w:r>
      <w:r>
        <w:rPr>
          <w:szCs w:val="18"/>
        </w:rPr>
        <w:t xml:space="preserve">,” press release (May 2, 2019), </w:t>
      </w:r>
      <w:hyperlink r:id="rId378" w:history="1">
        <w:r w:rsidRPr="009D6317">
          <w:rPr>
            <w:rStyle w:val="Hyperlink"/>
            <w:szCs w:val="18"/>
          </w:rPr>
          <w:t>https://www.des.nh.gov/media/pr/2019/20190502-wastewater-treatment.htm</w:t>
        </w:r>
      </w:hyperlink>
      <w:r>
        <w:rPr>
          <w:szCs w:val="18"/>
        </w:rPr>
        <w:t>.</w:t>
      </w:r>
      <w:r w:rsidRPr="009D6317">
        <w:rPr>
          <w:szCs w:val="18"/>
        </w:rPr>
        <w:t xml:space="preserve"> </w:t>
      </w:r>
    </w:p>
  </w:footnote>
  <w:footnote w:id="388">
    <w:p w14:paraId="1C07BFAE" w14:textId="77777777" w:rsidR="00E231DA" w:rsidRPr="009F2F3F" w:rsidRDefault="00E231DA" w:rsidP="009F2F3F">
      <w:pPr>
        <w:pStyle w:val="NoSpacing"/>
        <w:numPr>
          <w:ilvl w:val="0"/>
          <w:numId w:val="0"/>
        </w:numPr>
        <w:spacing w:after="80" w:line="240" w:lineRule="auto"/>
        <w:rPr>
          <w:color w:val="auto"/>
          <w:sz w:val="18"/>
          <w:szCs w:val="18"/>
        </w:rPr>
      </w:pPr>
      <w:r w:rsidRPr="009F2F3F">
        <w:rPr>
          <w:rStyle w:val="FootnoteReference"/>
          <w:rFonts w:cstheme="minorHAnsi"/>
          <w:color w:val="auto"/>
          <w:sz w:val="18"/>
          <w:szCs w:val="18"/>
        </w:rPr>
        <w:footnoteRef/>
      </w:r>
      <w:r w:rsidRPr="009F2F3F">
        <w:rPr>
          <w:color w:val="auto"/>
          <w:sz w:val="18"/>
          <w:szCs w:val="18"/>
        </w:rPr>
        <w:t xml:space="preserve"> </w:t>
      </w:r>
      <w:r>
        <w:rPr>
          <w:color w:val="auto"/>
          <w:sz w:val="18"/>
          <w:szCs w:val="18"/>
        </w:rPr>
        <w:t xml:space="preserve">RI Office of Energy Resources, “Governor’s 1,000 by ’20 Clean Energy Goal,” webpage (2019), </w:t>
      </w:r>
      <w:hyperlink r:id="rId379" w:history="1">
        <w:r w:rsidRPr="009F2F3F">
          <w:rPr>
            <w:rStyle w:val="Hyperlink"/>
            <w:sz w:val="18"/>
            <w:szCs w:val="18"/>
          </w:rPr>
          <w:t>http://www.energy.ri.gov/renewable-energy/governor-clean-energy-goal.php</w:t>
        </w:r>
      </w:hyperlink>
      <w:r>
        <w:rPr>
          <w:color w:val="auto"/>
          <w:sz w:val="18"/>
          <w:szCs w:val="18"/>
        </w:rPr>
        <w:t>.</w:t>
      </w:r>
    </w:p>
  </w:footnote>
  <w:footnote w:id="389">
    <w:p w14:paraId="7051282F" w14:textId="0F6F317B" w:rsidR="00E231DA" w:rsidRPr="009F2F3F" w:rsidRDefault="00E231DA" w:rsidP="009F2F3F">
      <w:pPr>
        <w:pStyle w:val="FootnoteText"/>
        <w:rPr>
          <w:szCs w:val="18"/>
        </w:rPr>
      </w:pPr>
      <w:r w:rsidRPr="009F2F3F">
        <w:rPr>
          <w:rStyle w:val="FootnoteReference"/>
          <w:sz w:val="18"/>
          <w:szCs w:val="18"/>
        </w:rPr>
        <w:footnoteRef/>
      </w:r>
      <w:r w:rsidRPr="009F2F3F">
        <w:rPr>
          <w:szCs w:val="18"/>
        </w:rPr>
        <w:t xml:space="preserve"> The Revolution Wind project is 700 MW in total capacity and holds </w:t>
      </w:r>
      <w:r>
        <w:rPr>
          <w:szCs w:val="18"/>
        </w:rPr>
        <w:t>q</w:t>
      </w:r>
      <w:r w:rsidRPr="009F2F3F">
        <w:rPr>
          <w:szCs w:val="18"/>
        </w:rPr>
        <w:t xml:space="preserve">ueue </w:t>
      </w:r>
      <w:r>
        <w:rPr>
          <w:szCs w:val="18"/>
        </w:rPr>
        <w:t>p</w:t>
      </w:r>
      <w:r w:rsidRPr="009F2F3F">
        <w:rPr>
          <w:szCs w:val="18"/>
        </w:rPr>
        <w:t>osition 781 in the ISO</w:t>
      </w:r>
      <w:r>
        <w:rPr>
          <w:szCs w:val="18"/>
        </w:rPr>
        <w:t xml:space="preserve">’s </w:t>
      </w:r>
      <w:r w:rsidRPr="009F2F3F">
        <w:rPr>
          <w:szCs w:val="18"/>
        </w:rPr>
        <w:t>Generator Interconnection Queue</w:t>
      </w:r>
      <w:r>
        <w:rPr>
          <w:szCs w:val="18"/>
        </w:rPr>
        <w:t xml:space="preserve">; see Section </w:t>
      </w:r>
      <w:r>
        <w:rPr>
          <w:szCs w:val="18"/>
        </w:rPr>
        <w:fldChar w:fldCharType="begin"/>
      </w:r>
      <w:r>
        <w:rPr>
          <w:szCs w:val="18"/>
        </w:rPr>
        <w:instrText xml:space="preserve"> REF _Ref11668385 \r \h </w:instrText>
      </w:r>
      <w:r>
        <w:rPr>
          <w:szCs w:val="18"/>
        </w:rPr>
      </w:r>
      <w:r>
        <w:rPr>
          <w:szCs w:val="18"/>
        </w:rPr>
        <w:fldChar w:fldCharType="separate"/>
      </w:r>
      <w:r>
        <w:rPr>
          <w:szCs w:val="18"/>
        </w:rPr>
        <w:t>4.5.3</w:t>
      </w:r>
      <w:r>
        <w:rPr>
          <w:szCs w:val="18"/>
        </w:rPr>
        <w:fldChar w:fldCharType="end"/>
      </w:r>
      <w:r>
        <w:rPr>
          <w:szCs w:val="18"/>
        </w:rPr>
        <w:t xml:space="preserve"> and the ISO’s “Generator Interconnection Queue,” spreadsheet (2019), </w:t>
      </w:r>
      <w:hyperlink r:id="rId380" w:history="1">
        <w:r w:rsidRPr="009D1FE8">
          <w:rPr>
            <w:rStyle w:val="Hyperlink"/>
            <w:szCs w:val="18"/>
          </w:rPr>
          <w:t>https://irtt.iso-ne.com/reports/external</w:t>
        </w:r>
      </w:hyperlink>
      <w:r>
        <w:rPr>
          <w:szCs w:val="18"/>
        </w:rPr>
        <w:t>.</w:t>
      </w:r>
    </w:p>
  </w:footnote>
  <w:footnote w:id="390">
    <w:p w14:paraId="747F9931" w14:textId="77777777" w:rsidR="00E231DA" w:rsidRPr="00047006" w:rsidRDefault="00E231DA" w:rsidP="00047006">
      <w:pPr>
        <w:pStyle w:val="FootnoteText"/>
        <w:rPr>
          <w:rFonts w:cstheme="minorHAnsi"/>
          <w:szCs w:val="18"/>
        </w:rPr>
      </w:pPr>
      <w:r w:rsidRPr="00AD4D9D">
        <w:rPr>
          <w:rStyle w:val="FootnoteReference"/>
          <w:sz w:val="18"/>
        </w:rPr>
        <w:footnoteRef/>
      </w:r>
      <w:r w:rsidRPr="00AD4D9D">
        <w:rPr>
          <w:rStyle w:val="FootnoteReference"/>
          <w:sz w:val="18"/>
        </w:rPr>
        <w:t xml:space="preserve"> </w:t>
      </w:r>
      <w:r w:rsidRPr="009F2F3F">
        <w:rPr>
          <w:szCs w:val="18"/>
        </w:rPr>
        <w:t>R</w:t>
      </w:r>
      <w:r>
        <w:rPr>
          <w:szCs w:val="18"/>
        </w:rPr>
        <w:t>I</w:t>
      </w:r>
      <w:r w:rsidRPr="009F2F3F">
        <w:rPr>
          <w:szCs w:val="18"/>
        </w:rPr>
        <w:t xml:space="preserve"> </w:t>
      </w:r>
      <w:r>
        <w:rPr>
          <w:szCs w:val="18"/>
        </w:rPr>
        <w:t xml:space="preserve">and Providence Plantations </w:t>
      </w:r>
      <w:r w:rsidRPr="009F2F3F">
        <w:rPr>
          <w:szCs w:val="18"/>
        </w:rPr>
        <w:t>P</w:t>
      </w:r>
      <w:r>
        <w:rPr>
          <w:szCs w:val="18"/>
        </w:rPr>
        <w:t>UC</w:t>
      </w:r>
      <w:r w:rsidRPr="009F2F3F">
        <w:rPr>
          <w:szCs w:val="18"/>
        </w:rPr>
        <w:t xml:space="preserve">, </w:t>
      </w:r>
      <w:r>
        <w:rPr>
          <w:szCs w:val="18"/>
        </w:rPr>
        <w:t>”The Narragansett Electric Company d/b/a National Grid Review of Power Purchase Agreement Pursuant to RI Gen, Laws § 39-31-1 to 9,” r</w:t>
      </w:r>
      <w:r w:rsidRPr="009F2F3F">
        <w:rPr>
          <w:szCs w:val="18"/>
        </w:rPr>
        <w:t xml:space="preserve">eport and </w:t>
      </w:r>
      <w:r>
        <w:rPr>
          <w:szCs w:val="18"/>
        </w:rPr>
        <w:t>o</w:t>
      </w:r>
      <w:r w:rsidRPr="009F2F3F">
        <w:rPr>
          <w:szCs w:val="18"/>
        </w:rPr>
        <w:t>rder</w:t>
      </w:r>
      <w:r>
        <w:rPr>
          <w:szCs w:val="18"/>
        </w:rPr>
        <w:t>,</w:t>
      </w:r>
      <w:r w:rsidRPr="00047006">
        <w:rPr>
          <w:szCs w:val="18"/>
        </w:rPr>
        <w:t xml:space="preserve"> </w:t>
      </w:r>
      <w:r w:rsidRPr="009F2F3F">
        <w:rPr>
          <w:szCs w:val="18"/>
        </w:rPr>
        <w:t>Docket No. 4929</w:t>
      </w:r>
      <w:r>
        <w:rPr>
          <w:szCs w:val="18"/>
        </w:rPr>
        <w:t xml:space="preserve"> (May 28, 2019)</w:t>
      </w:r>
      <w:r w:rsidRPr="009F2F3F">
        <w:rPr>
          <w:szCs w:val="18"/>
        </w:rPr>
        <w:t xml:space="preserve">, </w:t>
      </w:r>
      <w:hyperlink r:id="rId381" w:history="1">
        <w:r w:rsidRPr="00047006">
          <w:rPr>
            <w:rStyle w:val="Hyperlink"/>
            <w:color w:val="auto"/>
            <w:szCs w:val="18"/>
          </w:rPr>
          <w:t>http://www.ripuc.org/eventsactions/docket/4929-NGrid-Ord23609_6-7-19.pdf</w:t>
        </w:r>
      </w:hyperlink>
      <w:r w:rsidRPr="00047006">
        <w:rPr>
          <w:szCs w:val="18"/>
        </w:rPr>
        <w:t>.</w:t>
      </w:r>
      <w:r w:rsidRPr="00047006">
        <w:rPr>
          <w:rFonts w:cstheme="minorHAnsi"/>
          <w:szCs w:val="18"/>
        </w:rPr>
        <w:t xml:space="preserve"> </w:t>
      </w:r>
    </w:p>
  </w:footnote>
  <w:footnote w:id="391">
    <w:p w14:paraId="5E24F265" w14:textId="77777777" w:rsidR="00E231DA" w:rsidRPr="00047006" w:rsidRDefault="00E231DA" w:rsidP="009F2F3F">
      <w:pPr>
        <w:pStyle w:val="NoSpacing"/>
        <w:numPr>
          <w:ilvl w:val="0"/>
          <w:numId w:val="0"/>
        </w:numPr>
        <w:spacing w:after="80" w:line="240" w:lineRule="auto"/>
        <w:rPr>
          <w:color w:val="auto"/>
          <w:sz w:val="18"/>
          <w:szCs w:val="18"/>
        </w:rPr>
      </w:pPr>
      <w:r w:rsidRPr="00047006">
        <w:rPr>
          <w:rStyle w:val="FootnoteReference"/>
          <w:rFonts w:cstheme="minorHAnsi"/>
          <w:color w:val="auto"/>
          <w:sz w:val="18"/>
          <w:szCs w:val="18"/>
        </w:rPr>
        <w:footnoteRef/>
      </w:r>
      <w:r w:rsidRPr="00047006">
        <w:rPr>
          <w:color w:val="auto"/>
          <w:sz w:val="18"/>
          <w:szCs w:val="18"/>
        </w:rPr>
        <w:t xml:space="preserve"> National Grid, “2018 Request for Proposals for Long-Term Contracts for Renewable Energy” (2019), </w:t>
      </w:r>
      <w:hyperlink r:id="rId382" w:history="1">
        <w:r w:rsidRPr="00047006">
          <w:rPr>
            <w:rStyle w:val="Hyperlink"/>
            <w:rFonts w:cstheme="minorHAnsi"/>
            <w:color w:val="auto"/>
            <w:sz w:val="18"/>
            <w:szCs w:val="18"/>
          </w:rPr>
          <w:t>https://ricleanenergyrfp.com/</w:t>
        </w:r>
      </w:hyperlink>
      <w:r w:rsidRPr="00047006">
        <w:rPr>
          <w:rStyle w:val="Hyperlink"/>
          <w:rFonts w:cstheme="minorHAnsi"/>
          <w:color w:val="auto"/>
          <w:sz w:val="18"/>
          <w:szCs w:val="18"/>
        </w:rPr>
        <w:t>.</w:t>
      </w:r>
      <w:r w:rsidRPr="00047006">
        <w:rPr>
          <w:color w:val="auto"/>
          <w:sz w:val="18"/>
          <w:szCs w:val="18"/>
        </w:rPr>
        <w:t xml:space="preserve"> </w:t>
      </w:r>
    </w:p>
  </w:footnote>
  <w:footnote w:id="392">
    <w:p w14:paraId="4A7407CC" w14:textId="77777777" w:rsidR="00E231DA" w:rsidRPr="009F2F3F" w:rsidRDefault="00E231DA" w:rsidP="009F2F3F">
      <w:pPr>
        <w:pStyle w:val="NoSpacing"/>
        <w:numPr>
          <w:ilvl w:val="0"/>
          <w:numId w:val="0"/>
        </w:numPr>
        <w:spacing w:after="80" w:line="240" w:lineRule="auto"/>
        <w:rPr>
          <w:color w:val="auto"/>
          <w:sz w:val="18"/>
          <w:szCs w:val="18"/>
        </w:rPr>
      </w:pPr>
      <w:r w:rsidRPr="00047006">
        <w:rPr>
          <w:rStyle w:val="FootnoteReference"/>
          <w:color w:val="auto"/>
          <w:sz w:val="18"/>
          <w:szCs w:val="18"/>
        </w:rPr>
        <w:footnoteRef/>
      </w:r>
      <w:r w:rsidRPr="00047006">
        <w:rPr>
          <w:color w:val="auto"/>
          <w:sz w:val="18"/>
          <w:szCs w:val="18"/>
        </w:rPr>
        <w:t xml:space="preserve"> V</w:t>
      </w:r>
      <w:r>
        <w:rPr>
          <w:color w:val="auto"/>
          <w:sz w:val="18"/>
          <w:szCs w:val="18"/>
        </w:rPr>
        <w:t>T</w:t>
      </w:r>
      <w:r w:rsidRPr="00047006">
        <w:rPr>
          <w:color w:val="auto"/>
          <w:sz w:val="18"/>
          <w:szCs w:val="18"/>
        </w:rPr>
        <w:t xml:space="preserve"> General Assembly, </w:t>
      </w:r>
      <w:r w:rsidRPr="00047006">
        <w:rPr>
          <w:i/>
          <w:color w:val="auto"/>
          <w:sz w:val="18"/>
          <w:szCs w:val="18"/>
        </w:rPr>
        <w:t xml:space="preserve">An Act Relating to Miscellaneous Energy Subjects, </w:t>
      </w:r>
      <w:r w:rsidRPr="00047006">
        <w:rPr>
          <w:color w:val="auto"/>
          <w:sz w:val="18"/>
          <w:szCs w:val="18"/>
        </w:rPr>
        <w:t xml:space="preserve">H.133, enacted as Act 31 (May 23, 2019), </w:t>
      </w:r>
      <w:hyperlink r:id="rId383" w:history="1">
        <w:r w:rsidRPr="00047006">
          <w:rPr>
            <w:rStyle w:val="Hyperlink"/>
            <w:color w:val="auto"/>
            <w:sz w:val="18"/>
            <w:szCs w:val="18"/>
          </w:rPr>
          <w:t>https://legislature.vermont.gov/bill/status/2020/H.133</w:t>
        </w:r>
      </w:hyperlink>
      <w:r w:rsidRPr="00047006">
        <w:rPr>
          <w:rStyle w:val="Hyperlink"/>
          <w:color w:val="auto"/>
          <w:sz w:val="18"/>
          <w:szCs w:val="18"/>
        </w:rPr>
        <w:t>.</w:t>
      </w:r>
    </w:p>
  </w:footnote>
  <w:footnote w:id="393">
    <w:p w14:paraId="605C07A8" w14:textId="77777777" w:rsidR="00E231DA" w:rsidRPr="009F2F3F" w:rsidRDefault="00E231DA" w:rsidP="009F2F3F">
      <w:pPr>
        <w:pStyle w:val="NoSpacing"/>
        <w:numPr>
          <w:ilvl w:val="0"/>
          <w:numId w:val="0"/>
        </w:numPr>
        <w:spacing w:after="80" w:line="240" w:lineRule="auto"/>
        <w:rPr>
          <w:color w:val="auto"/>
          <w:sz w:val="18"/>
          <w:szCs w:val="18"/>
        </w:rPr>
      </w:pPr>
      <w:r w:rsidRPr="009F2F3F">
        <w:rPr>
          <w:rStyle w:val="FootnoteReference"/>
          <w:color w:val="auto"/>
          <w:sz w:val="18"/>
          <w:szCs w:val="18"/>
        </w:rPr>
        <w:footnoteRef/>
      </w:r>
      <w:r w:rsidRPr="009F2F3F">
        <w:rPr>
          <w:color w:val="auto"/>
          <w:sz w:val="18"/>
          <w:szCs w:val="18"/>
        </w:rPr>
        <w:t xml:space="preserve"> </w:t>
      </w:r>
      <w:r>
        <w:rPr>
          <w:color w:val="auto"/>
          <w:sz w:val="18"/>
          <w:szCs w:val="18"/>
        </w:rPr>
        <w:t xml:space="preserve">VT General Assembly, </w:t>
      </w:r>
      <w:r w:rsidRPr="00047006">
        <w:rPr>
          <w:i/>
          <w:color w:val="auto"/>
          <w:sz w:val="18"/>
          <w:szCs w:val="18"/>
        </w:rPr>
        <w:t>An Act Relating to the Transportation Program and Miscellaneous Changes to Laws Related to Transportation</w:t>
      </w:r>
      <w:r w:rsidRPr="009F2F3F">
        <w:rPr>
          <w:color w:val="auto"/>
          <w:sz w:val="18"/>
          <w:szCs w:val="18"/>
        </w:rPr>
        <w:t>, H.529, enacted as Act 59</w:t>
      </w:r>
      <w:r>
        <w:rPr>
          <w:color w:val="auto"/>
          <w:sz w:val="18"/>
          <w:szCs w:val="18"/>
        </w:rPr>
        <w:t xml:space="preserve"> (2019), </w:t>
      </w:r>
      <w:hyperlink r:id="rId384" w:history="1">
        <w:r w:rsidRPr="009F2F3F">
          <w:rPr>
            <w:rStyle w:val="Hyperlink"/>
            <w:color w:val="auto"/>
            <w:sz w:val="18"/>
            <w:szCs w:val="18"/>
          </w:rPr>
          <w:t>https://legislature.vermont.gov/Documents/2020/Docs/ACTS/ACT059/ACT059%20Act%20Summary.pdf</w:t>
        </w:r>
      </w:hyperlink>
      <w:r>
        <w:rPr>
          <w:rStyle w:val="Hyperlink"/>
          <w:color w:val="auto"/>
          <w:sz w:val="18"/>
          <w:szCs w:val="18"/>
        </w:rPr>
        <w:t>.</w:t>
      </w:r>
    </w:p>
    <w:p w14:paraId="459E9D1C" w14:textId="77777777" w:rsidR="00E231DA" w:rsidRDefault="00E231DA" w:rsidP="00E60E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1494" w14:textId="77777777" w:rsidR="00E231DA" w:rsidRPr="00945B03" w:rsidRDefault="00E231DA" w:rsidP="00945B03">
    <w:pPr>
      <w:tabs>
        <w:tab w:val="center" w:pos="4320"/>
        <w:tab w:val="right" w:pos="8640"/>
      </w:tabs>
      <w:spacing w:after="360" w:line="240" w:lineRule="auto"/>
      <w:jc w:val="center"/>
      <w:rPr>
        <w:rFonts w:eastAsia="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182D" w14:textId="68AF029E" w:rsidR="00E231DA" w:rsidRPr="00945B03" w:rsidRDefault="00E231DA" w:rsidP="00EB16A5">
    <w:pPr>
      <w:tabs>
        <w:tab w:val="center" w:pos="4320"/>
        <w:tab w:val="right" w:pos="8640"/>
      </w:tabs>
      <w:spacing w:after="360" w:line="240" w:lineRule="auto"/>
      <w:jc w:val="center"/>
      <w:rPr>
        <w:rFonts w:eastAsia="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A657" w14:textId="77777777" w:rsidR="00E231DA" w:rsidRPr="004A255F" w:rsidRDefault="00E231DA" w:rsidP="004A25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192F5" w14:textId="438B4A4D" w:rsidR="00E231DA" w:rsidRPr="00A71E9E" w:rsidRDefault="00E231DA" w:rsidP="00EB16A5">
    <w:pPr>
      <w:tabs>
        <w:tab w:val="center" w:pos="4320"/>
        <w:tab w:val="right" w:pos="8640"/>
      </w:tabs>
      <w:spacing w:after="360" w:line="240" w:lineRule="auto"/>
      <w:jc w:val="center"/>
      <w:rPr>
        <w:rFonts w:eastAsia="Times New Roman"/>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2B4B1" w14:textId="77777777" w:rsidR="00E231DA" w:rsidRPr="004A255F" w:rsidRDefault="00E231DA" w:rsidP="004A255F">
    <w:pPr>
      <w:tabs>
        <w:tab w:val="center" w:pos="4320"/>
        <w:tab w:val="right" w:pos="8640"/>
      </w:tabs>
      <w:spacing w:after="360" w:line="240" w:lineRule="auto"/>
      <w:jc w:val="center"/>
      <w:rPr>
        <w:rFonts w:eastAsia="Times New Roman"/>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ACB1F" w14:textId="372DD7BC" w:rsidR="00E231DA" w:rsidRPr="002E2CAC" w:rsidRDefault="00E231DA" w:rsidP="00EB16A5">
    <w:pPr>
      <w:tabs>
        <w:tab w:val="center" w:pos="4320"/>
        <w:tab w:val="right" w:pos="8640"/>
      </w:tabs>
      <w:spacing w:after="360" w:line="240" w:lineRule="auto"/>
      <w:jc w:val="center"/>
      <w:rPr>
        <w:rFonts w:eastAsia="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15:restartNumberingAfterBreak="0">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15:restartNumberingAfterBreak="0">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15:restartNumberingAfterBreak="0">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15:restartNumberingAfterBreak="0">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15:restartNumberingAfterBreak="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15:restartNumberingAfterBreak="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15:restartNumberingAfterBreak="0">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15:restartNumberingAfterBreak="0">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15:restartNumberingAfterBreak="0">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531E49"/>
    <w:multiLevelType w:val="hybridMultilevel"/>
    <w:tmpl w:val="08D8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0D107B2"/>
    <w:multiLevelType w:val="hybridMultilevel"/>
    <w:tmpl w:val="4AF4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1A25300"/>
    <w:multiLevelType w:val="hybridMultilevel"/>
    <w:tmpl w:val="C644D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1A5391A"/>
    <w:multiLevelType w:val="hybridMultilevel"/>
    <w:tmpl w:val="D146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2691264"/>
    <w:multiLevelType w:val="hybridMultilevel"/>
    <w:tmpl w:val="814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30C18B3"/>
    <w:multiLevelType w:val="multilevel"/>
    <w:tmpl w:val="E6E68CBA"/>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color w:val="1795D2"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9" w15:restartNumberingAfterBreak="0">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40" w15:restartNumberingAfterBreak="0">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3A50181"/>
    <w:multiLevelType w:val="hybridMultilevel"/>
    <w:tmpl w:val="E690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6" w15:restartNumberingAfterBreak="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51" w15:restartNumberingAfterBreak="0">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2" w15:restartNumberingAfterBreak="0">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4AE36F5"/>
    <w:multiLevelType w:val="hybridMultilevel"/>
    <w:tmpl w:val="38B8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04B553E2"/>
    <w:multiLevelType w:val="hybridMultilevel"/>
    <w:tmpl w:val="A1A022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4F67E05"/>
    <w:multiLevelType w:val="hybridMultilevel"/>
    <w:tmpl w:val="E3280350"/>
    <w:lvl w:ilvl="0" w:tplc="F0022878">
      <w:start w:val="1"/>
      <w:numFmt w:val="lowerLetter"/>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58" w15:restartNumberingAfterBreak="0">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60" w15:restartNumberingAfterBreak="0">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62" w15:restartNumberingAfterBreak="0">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6" w15:restartNumberingAfterBreak="0">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68" w15:restartNumberingAfterBreak="0">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71" w15:restartNumberingAfterBreak="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A506097"/>
    <w:multiLevelType w:val="hybridMultilevel"/>
    <w:tmpl w:val="B404A7C4"/>
    <w:lvl w:ilvl="0" w:tplc="B3600714">
      <w:start w:val="1"/>
      <w:numFmt w:val="bullet"/>
      <w:lvlText w:val="•"/>
      <w:lvlJc w:val="left"/>
      <w:pPr>
        <w:tabs>
          <w:tab w:val="num" w:pos="720"/>
        </w:tabs>
        <w:ind w:left="720" w:hanging="360"/>
      </w:pPr>
      <w:rPr>
        <w:rFonts w:ascii="Arial" w:hAnsi="Arial" w:hint="default"/>
      </w:rPr>
    </w:lvl>
    <w:lvl w:ilvl="1" w:tplc="D2467096" w:tentative="1">
      <w:start w:val="1"/>
      <w:numFmt w:val="bullet"/>
      <w:lvlText w:val="•"/>
      <w:lvlJc w:val="left"/>
      <w:pPr>
        <w:tabs>
          <w:tab w:val="num" w:pos="1440"/>
        </w:tabs>
        <w:ind w:left="1440" w:hanging="360"/>
      </w:pPr>
      <w:rPr>
        <w:rFonts w:ascii="Arial" w:hAnsi="Arial" w:hint="default"/>
      </w:rPr>
    </w:lvl>
    <w:lvl w:ilvl="2" w:tplc="A70AC414" w:tentative="1">
      <w:start w:val="1"/>
      <w:numFmt w:val="bullet"/>
      <w:lvlText w:val="•"/>
      <w:lvlJc w:val="left"/>
      <w:pPr>
        <w:tabs>
          <w:tab w:val="num" w:pos="2160"/>
        </w:tabs>
        <w:ind w:left="2160" w:hanging="360"/>
      </w:pPr>
      <w:rPr>
        <w:rFonts w:ascii="Arial" w:hAnsi="Arial" w:hint="default"/>
      </w:rPr>
    </w:lvl>
    <w:lvl w:ilvl="3" w:tplc="EC06582E" w:tentative="1">
      <w:start w:val="1"/>
      <w:numFmt w:val="bullet"/>
      <w:lvlText w:val="•"/>
      <w:lvlJc w:val="left"/>
      <w:pPr>
        <w:tabs>
          <w:tab w:val="num" w:pos="2880"/>
        </w:tabs>
        <w:ind w:left="2880" w:hanging="360"/>
      </w:pPr>
      <w:rPr>
        <w:rFonts w:ascii="Arial" w:hAnsi="Arial" w:hint="default"/>
      </w:rPr>
    </w:lvl>
    <w:lvl w:ilvl="4" w:tplc="3E28FD46" w:tentative="1">
      <w:start w:val="1"/>
      <w:numFmt w:val="bullet"/>
      <w:lvlText w:val="•"/>
      <w:lvlJc w:val="left"/>
      <w:pPr>
        <w:tabs>
          <w:tab w:val="num" w:pos="3600"/>
        </w:tabs>
        <w:ind w:left="3600" w:hanging="360"/>
      </w:pPr>
      <w:rPr>
        <w:rFonts w:ascii="Arial" w:hAnsi="Arial" w:hint="default"/>
      </w:rPr>
    </w:lvl>
    <w:lvl w:ilvl="5" w:tplc="FF9EE7D4" w:tentative="1">
      <w:start w:val="1"/>
      <w:numFmt w:val="bullet"/>
      <w:lvlText w:val="•"/>
      <w:lvlJc w:val="left"/>
      <w:pPr>
        <w:tabs>
          <w:tab w:val="num" w:pos="4320"/>
        </w:tabs>
        <w:ind w:left="4320" w:hanging="360"/>
      </w:pPr>
      <w:rPr>
        <w:rFonts w:ascii="Arial" w:hAnsi="Arial" w:hint="default"/>
      </w:rPr>
    </w:lvl>
    <w:lvl w:ilvl="6" w:tplc="4F9A4CDE" w:tentative="1">
      <w:start w:val="1"/>
      <w:numFmt w:val="bullet"/>
      <w:lvlText w:val="•"/>
      <w:lvlJc w:val="left"/>
      <w:pPr>
        <w:tabs>
          <w:tab w:val="num" w:pos="5040"/>
        </w:tabs>
        <w:ind w:left="5040" w:hanging="360"/>
      </w:pPr>
      <w:rPr>
        <w:rFonts w:ascii="Arial" w:hAnsi="Arial" w:hint="default"/>
      </w:rPr>
    </w:lvl>
    <w:lvl w:ilvl="7" w:tplc="712C4178" w:tentative="1">
      <w:start w:val="1"/>
      <w:numFmt w:val="bullet"/>
      <w:lvlText w:val="•"/>
      <w:lvlJc w:val="left"/>
      <w:pPr>
        <w:tabs>
          <w:tab w:val="num" w:pos="5760"/>
        </w:tabs>
        <w:ind w:left="5760" w:hanging="360"/>
      </w:pPr>
      <w:rPr>
        <w:rFonts w:ascii="Arial" w:hAnsi="Arial" w:hint="default"/>
      </w:rPr>
    </w:lvl>
    <w:lvl w:ilvl="8" w:tplc="F6303CE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80" w15:restartNumberingAfterBreak="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0AB44BFE"/>
    <w:multiLevelType w:val="hybridMultilevel"/>
    <w:tmpl w:val="281C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BAF7B9C"/>
    <w:multiLevelType w:val="hybridMultilevel"/>
    <w:tmpl w:val="BCD6106C"/>
    <w:lvl w:ilvl="0" w:tplc="34A2A6EE">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15:restartNumberingAfterBreak="0">
    <w:nsid w:val="0BDC3651"/>
    <w:multiLevelType w:val="hybridMultilevel"/>
    <w:tmpl w:val="E36EA57A"/>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C0F5E67"/>
    <w:multiLevelType w:val="hybridMultilevel"/>
    <w:tmpl w:val="CB9483C6"/>
    <w:lvl w:ilvl="0" w:tplc="DD083D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0E0A3B14"/>
    <w:multiLevelType w:val="hybridMultilevel"/>
    <w:tmpl w:val="3A72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02" w15:restartNumberingAfterBreak="0">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3" w15:restartNumberingAfterBreak="0">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0EE4645F"/>
    <w:multiLevelType w:val="hybridMultilevel"/>
    <w:tmpl w:val="9B4E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113" w15:restartNumberingAfterBreak="0">
    <w:nsid w:val="0FD64295"/>
    <w:multiLevelType w:val="hybridMultilevel"/>
    <w:tmpl w:val="B2F4F00C"/>
    <w:lvl w:ilvl="0" w:tplc="04090001">
      <w:start w:val="1"/>
      <w:numFmt w:val="bullet"/>
      <w:lvlText w:val=""/>
      <w:lvlJc w:val="left"/>
      <w:pPr>
        <w:ind w:left="720" w:hanging="360"/>
      </w:pPr>
      <w:rPr>
        <w:rFonts w:ascii="Symbol" w:hAnsi="Symbol" w:hint="default"/>
      </w:rPr>
    </w:lvl>
    <w:lvl w:ilvl="1" w:tplc="BE50A280">
      <w:numFmt w:val="bullet"/>
      <w:lvlText w:val="•"/>
      <w:lvlJc w:val="left"/>
      <w:pPr>
        <w:ind w:left="1440" w:hanging="360"/>
      </w:pPr>
      <w:rPr>
        <w:rFonts w:ascii="Cambria" w:eastAsiaTheme="minorHAns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116" w15:restartNumberingAfterBreak="0">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24" w15:restartNumberingAfterBreak="0">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24933EB"/>
    <w:multiLevelType w:val="hybridMultilevel"/>
    <w:tmpl w:val="ED42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33" w15:restartNumberingAfterBreak="0">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141062D6"/>
    <w:multiLevelType w:val="hybridMultilevel"/>
    <w:tmpl w:val="FBE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39" w15:restartNumberingAfterBreak="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44" w15:restartNumberingAfterBreak="0">
    <w:nsid w:val="15E64D24"/>
    <w:multiLevelType w:val="hybridMultilevel"/>
    <w:tmpl w:val="3EF8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161C6390"/>
    <w:multiLevelType w:val="hybridMultilevel"/>
    <w:tmpl w:val="BB3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1" w15:restartNumberingAfterBreak="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17CC1F5B"/>
    <w:multiLevelType w:val="hybridMultilevel"/>
    <w:tmpl w:val="1DDAAFCC"/>
    <w:lvl w:ilvl="0" w:tplc="B790C848">
      <w:start w:val="1"/>
      <w:numFmt w:val="bullet"/>
      <w:lvlText w:val="•"/>
      <w:lvlJc w:val="left"/>
      <w:pPr>
        <w:tabs>
          <w:tab w:val="num" w:pos="720"/>
        </w:tabs>
        <w:ind w:left="720" w:hanging="360"/>
      </w:pPr>
      <w:rPr>
        <w:rFonts w:ascii="Arial" w:hAnsi="Arial" w:hint="default"/>
      </w:rPr>
    </w:lvl>
    <w:lvl w:ilvl="1" w:tplc="15D4B8EA" w:tentative="1">
      <w:start w:val="1"/>
      <w:numFmt w:val="bullet"/>
      <w:lvlText w:val="•"/>
      <w:lvlJc w:val="left"/>
      <w:pPr>
        <w:tabs>
          <w:tab w:val="num" w:pos="1440"/>
        </w:tabs>
        <w:ind w:left="1440" w:hanging="360"/>
      </w:pPr>
      <w:rPr>
        <w:rFonts w:ascii="Arial" w:hAnsi="Arial" w:hint="default"/>
      </w:rPr>
    </w:lvl>
    <w:lvl w:ilvl="2" w:tplc="890647CE" w:tentative="1">
      <w:start w:val="1"/>
      <w:numFmt w:val="bullet"/>
      <w:lvlText w:val="•"/>
      <w:lvlJc w:val="left"/>
      <w:pPr>
        <w:tabs>
          <w:tab w:val="num" w:pos="2160"/>
        </w:tabs>
        <w:ind w:left="2160" w:hanging="360"/>
      </w:pPr>
      <w:rPr>
        <w:rFonts w:ascii="Arial" w:hAnsi="Arial" w:hint="default"/>
      </w:rPr>
    </w:lvl>
    <w:lvl w:ilvl="3" w:tplc="3EE8D5E8" w:tentative="1">
      <w:start w:val="1"/>
      <w:numFmt w:val="bullet"/>
      <w:lvlText w:val="•"/>
      <w:lvlJc w:val="left"/>
      <w:pPr>
        <w:tabs>
          <w:tab w:val="num" w:pos="2880"/>
        </w:tabs>
        <w:ind w:left="2880" w:hanging="360"/>
      </w:pPr>
      <w:rPr>
        <w:rFonts w:ascii="Arial" w:hAnsi="Arial" w:hint="default"/>
      </w:rPr>
    </w:lvl>
    <w:lvl w:ilvl="4" w:tplc="CDACD156" w:tentative="1">
      <w:start w:val="1"/>
      <w:numFmt w:val="bullet"/>
      <w:lvlText w:val="•"/>
      <w:lvlJc w:val="left"/>
      <w:pPr>
        <w:tabs>
          <w:tab w:val="num" w:pos="3600"/>
        </w:tabs>
        <w:ind w:left="3600" w:hanging="360"/>
      </w:pPr>
      <w:rPr>
        <w:rFonts w:ascii="Arial" w:hAnsi="Arial" w:hint="default"/>
      </w:rPr>
    </w:lvl>
    <w:lvl w:ilvl="5" w:tplc="89CE1894" w:tentative="1">
      <w:start w:val="1"/>
      <w:numFmt w:val="bullet"/>
      <w:lvlText w:val="•"/>
      <w:lvlJc w:val="left"/>
      <w:pPr>
        <w:tabs>
          <w:tab w:val="num" w:pos="4320"/>
        </w:tabs>
        <w:ind w:left="4320" w:hanging="360"/>
      </w:pPr>
      <w:rPr>
        <w:rFonts w:ascii="Arial" w:hAnsi="Arial" w:hint="default"/>
      </w:rPr>
    </w:lvl>
    <w:lvl w:ilvl="6" w:tplc="55D2F17A" w:tentative="1">
      <w:start w:val="1"/>
      <w:numFmt w:val="bullet"/>
      <w:lvlText w:val="•"/>
      <w:lvlJc w:val="left"/>
      <w:pPr>
        <w:tabs>
          <w:tab w:val="num" w:pos="5040"/>
        </w:tabs>
        <w:ind w:left="5040" w:hanging="360"/>
      </w:pPr>
      <w:rPr>
        <w:rFonts w:ascii="Arial" w:hAnsi="Arial" w:hint="default"/>
      </w:rPr>
    </w:lvl>
    <w:lvl w:ilvl="7" w:tplc="8604B5D8" w:tentative="1">
      <w:start w:val="1"/>
      <w:numFmt w:val="bullet"/>
      <w:lvlText w:val="•"/>
      <w:lvlJc w:val="left"/>
      <w:pPr>
        <w:tabs>
          <w:tab w:val="num" w:pos="5760"/>
        </w:tabs>
        <w:ind w:left="5760" w:hanging="360"/>
      </w:pPr>
      <w:rPr>
        <w:rFonts w:ascii="Arial" w:hAnsi="Arial" w:hint="default"/>
      </w:rPr>
    </w:lvl>
    <w:lvl w:ilvl="8" w:tplc="C13462AC"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8" w15:restartNumberingAfterBreak="0">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0" w15:restartNumberingAfterBreak="0">
    <w:nsid w:val="195059E1"/>
    <w:multiLevelType w:val="hybridMultilevel"/>
    <w:tmpl w:val="49607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991025A"/>
    <w:multiLevelType w:val="hybridMultilevel"/>
    <w:tmpl w:val="A99C4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4" w15:restartNumberingAfterBreak="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19BC6D79"/>
    <w:multiLevelType w:val="hybridMultilevel"/>
    <w:tmpl w:val="10F8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A1128FD"/>
    <w:multiLevelType w:val="hybridMultilevel"/>
    <w:tmpl w:val="55A8877C"/>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1A172697"/>
    <w:multiLevelType w:val="hybridMultilevel"/>
    <w:tmpl w:val="424E22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8" w15:restartNumberingAfterBreak="0">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B746BA7"/>
    <w:multiLevelType w:val="hybridMultilevel"/>
    <w:tmpl w:val="88D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1D4D4486"/>
    <w:multiLevelType w:val="hybridMultilevel"/>
    <w:tmpl w:val="317E0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D7831CF"/>
    <w:multiLevelType w:val="multilevel"/>
    <w:tmpl w:val="C062F628"/>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84" w15:restartNumberingAfterBreak="0">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85" w15:restartNumberingAfterBreak="0">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86" w15:restartNumberingAfterBreak="0">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F03682B"/>
    <w:multiLevelType w:val="hybridMultilevel"/>
    <w:tmpl w:val="34063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15:restartNumberingAfterBreak="0">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4" w15:restartNumberingAfterBreak="0">
    <w:nsid w:val="1FE424AC"/>
    <w:multiLevelType w:val="hybridMultilevel"/>
    <w:tmpl w:val="401C07A4"/>
    <w:lvl w:ilvl="0" w:tplc="854654B0">
      <w:start w:val="1"/>
      <w:numFmt w:val="bullet"/>
      <w:lvlText w:val="•"/>
      <w:lvlJc w:val="left"/>
      <w:pPr>
        <w:tabs>
          <w:tab w:val="num" w:pos="720"/>
        </w:tabs>
        <w:ind w:left="720" w:hanging="360"/>
      </w:pPr>
      <w:rPr>
        <w:rFonts w:ascii="Times New Roman" w:hAnsi="Times New Roman" w:hint="default"/>
      </w:rPr>
    </w:lvl>
    <w:lvl w:ilvl="1" w:tplc="3FECA0EC" w:tentative="1">
      <w:start w:val="1"/>
      <w:numFmt w:val="bullet"/>
      <w:lvlText w:val="•"/>
      <w:lvlJc w:val="left"/>
      <w:pPr>
        <w:tabs>
          <w:tab w:val="num" w:pos="1440"/>
        </w:tabs>
        <w:ind w:left="1440" w:hanging="360"/>
      </w:pPr>
      <w:rPr>
        <w:rFonts w:ascii="Times New Roman" w:hAnsi="Times New Roman" w:hint="default"/>
      </w:rPr>
    </w:lvl>
    <w:lvl w:ilvl="2" w:tplc="224AC8D6" w:tentative="1">
      <w:start w:val="1"/>
      <w:numFmt w:val="bullet"/>
      <w:lvlText w:val="•"/>
      <w:lvlJc w:val="left"/>
      <w:pPr>
        <w:tabs>
          <w:tab w:val="num" w:pos="2160"/>
        </w:tabs>
        <w:ind w:left="2160" w:hanging="360"/>
      </w:pPr>
      <w:rPr>
        <w:rFonts w:ascii="Times New Roman" w:hAnsi="Times New Roman" w:hint="default"/>
      </w:rPr>
    </w:lvl>
    <w:lvl w:ilvl="3" w:tplc="6AEEB76C" w:tentative="1">
      <w:start w:val="1"/>
      <w:numFmt w:val="bullet"/>
      <w:lvlText w:val="•"/>
      <w:lvlJc w:val="left"/>
      <w:pPr>
        <w:tabs>
          <w:tab w:val="num" w:pos="2880"/>
        </w:tabs>
        <w:ind w:left="2880" w:hanging="360"/>
      </w:pPr>
      <w:rPr>
        <w:rFonts w:ascii="Times New Roman" w:hAnsi="Times New Roman" w:hint="default"/>
      </w:rPr>
    </w:lvl>
    <w:lvl w:ilvl="4" w:tplc="41F81C4C" w:tentative="1">
      <w:start w:val="1"/>
      <w:numFmt w:val="bullet"/>
      <w:lvlText w:val="•"/>
      <w:lvlJc w:val="left"/>
      <w:pPr>
        <w:tabs>
          <w:tab w:val="num" w:pos="3600"/>
        </w:tabs>
        <w:ind w:left="3600" w:hanging="360"/>
      </w:pPr>
      <w:rPr>
        <w:rFonts w:ascii="Times New Roman" w:hAnsi="Times New Roman" w:hint="default"/>
      </w:rPr>
    </w:lvl>
    <w:lvl w:ilvl="5" w:tplc="EDF67AB8" w:tentative="1">
      <w:start w:val="1"/>
      <w:numFmt w:val="bullet"/>
      <w:lvlText w:val="•"/>
      <w:lvlJc w:val="left"/>
      <w:pPr>
        <w:tabs>
          <w:tab w:val="num" w:pos="4320"/>
        </w:tabs>
        <w:ind w:left="4320" w:hanging="360"/>
      </w:pPr>
      <w:rPr>
        <w:rFonts w:ascii="Times New Roman" w:hAnsi="Times New Roman" w:hint="default"/>
      </w:rPr>
    </w:lvl>
    <w:lvl w:ilvl="6" w:tplc="4CC824BE" w:tentative="1">
      <w:start w:val="1"/>
      <w:numFmt w:val="bullet"/>
      <w:lvlText w:val="•"/>
      <w:lvlJc w:val="left"/>
      <w:pPr>
        <w:tabs>
          <w:tab w:val="num" w:pos="5040"/>
        </w:tabs>
        <w:ind w:left="5040" w:hanging="360"/>
      </w:pPr>
      <w:rPr>
        <w:rFonts w:ascii="Times New Roman" w:hAnsi="Times New Roman" w:hint="default"/>
      </w:rPr>
    </w:lvl>
    <w:lvl w:ilvl="7" w:tplc="D392392C" w:tentative="1">
      <w:start w:val="1"/>
      <w:numFmt w:val="bullet"/>
      <w:lvlText w:val="•"/>
      <w:lvlJc w:val="left"/>
      <w:pPr>
        <w:tabs>
          <w:tab w:val="num" w:pos="5760"/>
        </w:tabs>
        <w:ind w:left="5760" w:hanging="360"/>
      </w:pPr>
      <w:rPr>
        <w:rFonts w:ascii="Times New Roman" w:hAnsi="Times New Roman" w:hint="default"/>
      </w:rPr>
    </w:lvl>
    <w:lvl w:ilvl="8" w:tplc="D9624680" w:tentative="1">
      <w:start w:val="1"/>
      <w:numFmt w:val="bullet"/>
      <w:lvlText w:val="•"/>
      <w:lvlJc w:val="left"/>
      <w:pPr>
        <w:tabs>
          <w:tab w:val="num" w:pos="6480"/>
        </w:tabs>
        <w:ind w:left="6480" w:hanging="360"/>
      </w:pPr>
      <w:rPr>
        <w:rFonts w:ascii="Times New Roman" w:hAnsi="Times New Roman" w:hint="default"/>
      </w:rPr>
    </w:lvl>
  </w:abstractNum>
  <w:abstractNum w:abstractNumId="195" w15:restartNumberingAfterBreak="0">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2" w15:restartNumberingAfterBreak="0">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15:restartNumberingAfterBreak="0">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0" w15:restartNumberingAfterBreak="0">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2EF68F2"/>
    <w:multiLevelType w:val="hybridMultilevel"/>
    <w:tmpl w:val="D908C414"/>
    <w:lvl w:ilvl="0" w:tplc="B8064E66">
      <w:start w:val="1"/>
      <w:numFmt w:val="bullet"/>
      <w:lvlText w:val=""/>
      <w:lvlJc w:val="left"/>
      <w:pPr>
        <w:ind w:left="720" w:hanging="360"/>
      </w:pPr>
      <w:rPr>
        <w:rFonts w:ascii="Wingdings" w:hAnsi="Wingdings" w:hint="default"/>
        <w:b/>
        <w:i w:val="0"/>
        <w:sz w:val="22"/>
      </w:rPr>
    </w:lvl>
    <w:lvl w:ilvl="1" w:tplc="B8064E66">
      <w:start w:val="1"/>
      <w:numFmt w:val="bullet"/>
      <w:lvlText w:val=""/>
      <w:lvlJc w:val="left"/>
      <w:pPr>
        <w:ind w:left="1440" w:hanging="360"/>
      </w:pPr>
      <w:rPr>
        <w:rFonts w:ascii="Wingdings" w:hAnsi="Wingdings" w:hint="default"/>
        <w:b/>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218" w15:restartNumberingAfterBreak="0">
    <w:nsid w:val="240A46D6"/>
    <w:multiLevelType w:val="hybridMultilevel"/>
    <w:tmpl w:val="80AA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0" w15:restartNumberingAfterBreak="0">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4" w15:restartNumberingAfterBreak="0">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7" w15:restartNumberingAfterBreak="0">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8" w15:restartNumberingAfterBreak="0">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3" w15:restartNumberingAfterBreak="0">
    <w:nsid w:val="26AC428E"/>
    <w:multiLevelType w:val="hybridMultilevel"/>
    <w:tmpl w:val="45FC3BD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34" w15:restartNumberingAfterBreak="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270E738F"/>
    <w:multiLevelType w:val="multilevel"/>
    <w:tmpl w:val="A03A395C"/>
    <w:numStyleLink w:val="BulletedList"/>
  </w:abstractNum>
  <w:abstractNum w:abstractNumId="236" w15:restartNumberingAfterBreak="0">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279E0851"/>
    <w:multiLevelType w:val="multilevel"/>
    <w:tmpl w:val="181089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b w:val="0"/>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6" w15:restartNumberingAfterBreak="0">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28ED35A3"/>
    <w:multiLevelType w:val="hybridMultilevel"/>
    <w:tmpl w:val="D29C638C"/>
    <w:lvl w:ilvl="0" w:tplc="6F7E9674">
      <w:start w:val="1"/>
      <w:numFmt w:val="bullet"/>
      <w:lvlText w:val="•"/>
      <w:lvlJc w:val="left"/>
      <w:pPr>
        <w:tabs>
          <w:tab w:val="num" w:pos="720"/>
        </w:tabs>
        <w:ind w:left="720" w:hanging="360"/>
      </w:pPr>
      <w:rPr>
        <w:rFonts w:ascii="Times New Roman" w:hAnsi="Times New Roman" w:hint="default"/>
      </w:rPr>
    </w:lvl>
    <w:lvl w:ilvl="1" w:tplc="665C5710" w:tentative="1">
      <w:start w:val="1"/>
      <w:numFmt w:val="bullet"/>
      <w:lvlText w:val="•"/>
      <w:lvlJc w:val="left"/>
      <w:pPr>
        <w:tabs>
          <w:tab w:val="num" w:pos="1440"/>
        </w:tabs>
        <w:ind w:left="1440" w:hanging="360"/>
      </w:pPr>
      <w:rPr>
        <w:rFonts w:ascii="Times New Roman" w:hAnsi="Times New Roman" w:hint="default"/>
      </w:rPr>
    </w:lvl>
    <w:lvl w:ilvl="2" w:tplc="96EC6AC2" w:tentative="1">
      <w:start w:val="1"/>
      <w:numFmt w:val="bullet"/>
      <w:lvlText w:val="•"/>
      <w:lvlJc w:val="left"/>
      <w:pPr>
        <w:tabs>
          <w:tab w:val="num" w:pos="2160"/>
        </w:tabs>
        <w:ind w:left="2160" w:hanging="360"/>
      </w:pPr>
      <w:rPr>
        <w:rFonts w:ascii="Times New Roman" w:hAnsi="Times New Roman" w:hint="default"/>
      </w:rPr>
    </w:lvl>
    <w:lvl w:ilvl="3" w:tplc="15D62D36" w:tentative="1">
      <w:start w:val="1"/>
      <w:numFmt w:val="bullet"/>
      <w:lvlText w:val="•"/>
      <w:lvlJc w:val="left"/>
      <w:pPr>
        <w:tabs>
          <w:tab w:val="num" w:pos="2880"/>
        </w:tabs>
        <w:ind w:left="2880" w:hanging="360"/>
      </w:pPr>
      <w:rPr>
        <w:rFonts w:ascii="Times New Roman" w:hAnsi="Times New Roman" w:hint="default"/>
      </w:rPr>
    </w:lvl>
    <w:lvl w:ilvl="4" w:tplc="C83C5C4E" w:tentative="1">
      <w:start w:val="1"/>
      <w:numFmt w:val="bullet"/>
      <w:lvlText w:val="•"/>
      <w:lvlJc w:val="left"/>
      <w:pPr>
        <w:tabs>
          <w:tab w:val="num" w:pos="3600"/>
        </w:tabs>
        <w:ind w:left="3600" w:hanging="360"/>
      </w:pPr>
      <w:rPr>
        <w:rFonts w:ascii="Times New Roman" w:hAnsi="Times New Roman" w:hint="default"/>
      </w:rPr>
    </w:lvl>
    <w:lvl w:ilvl="5" w:tplc="920ECA28" w:tentative="1">
      <w:start w:val="1"/>
      <w:numFmt w:val="bullet"/>
      <w:lvlText w:val="•"/>
      <w:lvlJc w:val="left"/>
      <w:pPr>
        <w:tabs>
          <w:tab w:val="num" w:pos="4320"/>
        </w:tabs>
        <w:ind w:left="4320" w:hanging="360"/>
      </w:pPr>
      <w:rPr>
        <w:rFonts w:ascii="Times New Roman" w:hAnsi="Times New Roman" w:hint="default"/>
      </w:rPr>
    </w:lvl>
    <w:lvl w:ilvl="6" w:tplc="167E304A" w:tentative="1">
      <w:start w:val="1"/>
      <w:numFmt w:val="bullet"/>
      <w:lvlText w:val="•"/>
      <w:lvlJc w:val="left"/>
      <w:pPr>
        <w:tabs>
          <w:tab w:val="num" w:pos="5040"/>
        </w:tabs>
        <w:ind w:left="5040" w:hanging="360"/>
      </w:pPr>
      <w:rPr>
        <w:rFonts w:ascii="Times New Roman" w:hAnsi="Times New Roman" w:hint="default"/>
      </w:rPr>
    </w:lvl>
    <w:lvl w:ilvl="7" w:tplc="E3AA9274" w:tentative="1">
      <w:start w:val="1"/>
      <w:numFmt w:val="bullet"/>
      <w:lvlText w:val="•"/>
      <w:lvlJc w:val="left"/>
      <w:pPr>
        <w:tabs>
          <w:tab w:val="num" w:pos="5760"/>
        </w:tabs>
        <w:ind w:left="5760" w:hanging="360"/>
      </w:pPr>
      <w:rPr>
        <w:rFonts w:ascii="Times New Roman" w:hAnsi="Times New Roman" w:hint="default"/>
      </w:rPr>
    </w:lvl>
    <w:lvl w:ilvl="8" w:tplc="D53A9962" w:tentative="1">
      <w:start w:val="1"/>
      <w:numFmt w:val="bullet"/>
      <w:lvlText w:val="•"/>
      <w:lvlJc w:val="left"/>
      <w:pPr>
        <w:tabs>
          <w:tab w:val="num" w:pos="6480"/>
        </w:tabs>
        <w:ind w:left="6480" w:hanging="360"/>
      </w:pPr>
      <w:rPr>
        <w:rFonts w:ascii="Times New Roman" w:hAnsi="Times New Roman" w:hint="default"/>
      </w:rPr>
    </w:lvl>
  </w:abstractNum>
  <w:abstractNum w:abstractNumId="249" w15:restartNumberingAfterBreak="0">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53" w15:restartNumberingAfterBreak="0">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54" w15:restartNumberingAfterBreak="0">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2A4B3838"/>
    <w:multiLevelType w:val="multilevel"/>
    <w:tmpl w:val="FA02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2B163039"/>
    <w:multiLevelType w:val="hybridMultilevel"/>
    <w:tmpl w:val="E21E43C4"/>
    <w:lvl w:ilvl="0" w:tplc="F23CA386">
      <w:start w:val="1"/>
      <w:numFmt w:val="lowerLetter"/>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61" w15:restartNumberingAfterBreak="0">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64" w15:restartNumberingAfterBreak="0">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15:restartNumberingAfterBreak="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3" w15:restartNumberingAfterBreak="0">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74" w15:restartNumberingAfterBreak="0">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7" w15:restartNumberingAfterBreak="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15:restartNumberingAfterBreak="0">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15:restartNumberingAfterBreak="0">
    <w:nsid w:val="2E250324"/>
    <w:multiLevelType w:val="hybridMultilevel"/>
    <w:tmpl w:val="470AC84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2E367ED4"/>
    <w:multiLevelType w:val="hybridMultilevel"/>
    <w:tmpl w:val="A294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4" w15:restartNumberingAfterBreak="0">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2FA5004A"/>
    <w:multiLevelType w:val="hybridMultilevel"/>
    <w:tmpl w:val="C9520104"/>
    <w:lvl w:ilvl="0" w:tplc="1B12C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89" w15:restartNumberingAfterBreak="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0" w15:restartNumberingAfterBreak="0">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307F342F"/>
    <w:multiLevelType w:val="hybridMultilevel"/>
    <w:tmpl w:val="34A4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9" w15:restartNumberingAfterBreak="0">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15:restartNumberingAfterBreak="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2" w15:restartNumberingAfterBreak="0">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15:restartNumberingAfterBreak="0">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336978FF"/>
    <w:multiLevelType w:val="hybridMultilevel"/>
    <w:tmpl w:val="241248DE"/>
    <w:lvl w:ilvl="0" w:tplc="ECF63B6A">
      <w:numFmt w:val="bullet"/>
      <w:lvlText w:val="*"/>
      <w:lvlJc w:val="left"/>
      <w:pPr>
        <w:ind w:left="230" w:hanging="116"/>
      </w:pPr>
      <w:rPr>
        <w:rFonts w:ascii="Calibri" w:eastAsia="Calibri" w:hAnsi="Calibri" w:cs="Calibri" w:hint="default"/>
        <w:w w:val="100"/>
        <w:sz w:val="16"/>
        <w:szCs w:val="16"/>
      </w:rPr>
    </w:lvl>
    <w:lvl w:ilvl="1" w:tplc="B41AE21E">
      <w:numFmt w:val="bullet"/>
      <w:lvlText w:val=""/>
      <w:lvlJc w:val="left"/>
      <w:pPr>
        <w:ind w:left="926" w:hanging="360"/>
      </w:pPr>
      <w:rPr>
        <w:rFonts w:ascii="Symbol" w:eastAsia="Symbol" w:hAnsi="Symbol" w:cs="Symbol" w:hint="default"/>
        <w:w w:val="99"/>
        <w:sz w:val="20"/>
        <w:szCs w:val="20"/>
      </w:rPr>
    </w:lvl>
    <w:lvl w:ilvl="2" w:tplc="238C1DE4">
      <w:numFmt w:val="bullet"/>
      <w:lvlText w:val="•"/>
      <w:lvlJc w:val="left"/>
      <w:pPr>
        <w:ind w:left="2453" w:hanging="360"/>
      </w:pPr>
      <w:rPr>
        <w:rFonts w:hint="default"/>
      </w:rPr>
    </w:lvl>
    <w:lvl w:ilvl="3" w:tplc="1DFEEDC0">
      <w:numFmt w:val="bullet"/>
      <w:lvlText w:val="•"/>
      <w:lvlJc w:val="left"/>
      <w:pPr>
        <w:ind w:left="3986" w:hanging="360"/>
      </w:pPr>
      <w:rPr>
        <w:rFonts w:hint="default"/>
      </w:rPr>
    </w:lvl>
    <w:lvl w:ilvl="4" w:tplc="633C4BDE">
      <w:numFmt w:val="bullet"/>
      <w:lvlText w:val="•"/>
      <w:lvlJc w:val="left"/>
      <w:pPr>
        <w:ind w:left="5520" w:hanging="360"/>
      </w:pPr>
      <w:rPr>
        <w:rFonts w:hint="default"/>
      </w:rPr>
    </w:lvl>
    <w:lvl w:ilvl="5" w:tplc="F9D0478C">
      <w:numFmt w:val="bullet"/>
      <w:lvlText w:val="•"/>
      <w:lvlJc w:val="left"/>
      <w:pPr>
        <w:ind w:left="7053" w:hanging="360"/>
      </w:pPr>
      <w:rPr>
        <w:rFonts w:hint="default"/>
      </w:rPr>
    </w:lvl>
    <w:lvl w:ilvl="6" w:tplc="25268194">
      <w:numFmt w:val="bullet"/>
      <w:lvlText w:val="•"/>
      <w:lvlJc w:val="left"/>
      <w:pPr>
        <w:ind w:left="8586" w:hanging="360"/>
      </w:pPr>
      <w:rPr>
        <w:rFonts w:hint="default"/>
      </w:rPr>
    </w:lvl>
    <w:lvl w:ilvl="7" w:tplc="B3FA1CC6">
      <w:numFmt w:val="bullet"/>
      <w:lvlText w:val="•"/>
      <w:lvlJc w:val="left"/>
      <w:pPr>
        <w:ind w:left="10120" w:hanging="360"/>
      </w:pPr>
      <w:rPr>
        <w:rFonts w:hint="default"/>
      </w:rPr>
    </w:lvl>
    <w:lvl w:ilvl="8" w:tplc="2FB820C0">
      <w:numFmt w:val="bullet"/>
      <w:lvlText w:val="•"/>
      <w:lvlJc w:val="left"/>
      <w:pPr>
        <w:ind w:left="11653" w:hanging="360"/>
      </w:pPr>
      <w:rPr>
        <w:rFonts w:hint="default"/>
      </w:rPr>
    </w:lvl>
  </w:abstractNum>
  <w:abstractNum w:abstractNumId="306" w15:restartNumberingAfterBreak="0">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1" w15:restartNumberingAfterBreak="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313" w15:restartNumberingAfterBreak="0">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5" w15:restartNumberingAfterBreak="0">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9" w15:restartNumberingAfterBreak="0">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21" w15:restartNumberingAfterBreak="0">
    <w:nsid w:val="37E57F9E"/>
    <w:multiLevelType w:val="hybridMultilevel"/>
    <w:tmpl w:val="455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9" w15:restartNumberingAfterBreak="0">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331" w15:restartNumberingAfterBreak="0">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39971F21"/>
    <w:multiLevelType w:val="hybridMultilevel"/>
    <w:tmpl w:val="EF50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338" w15:restartNumberingAfterBreak="0">
    <w:nsid w:val="3A16204F"/>
    <w:multiLevelType w:val="hybridMultilevel"/>
    <w:tmpl w:val="64C6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A377CAB"/>
    <w:multiLevelType w:val="hybridMultilevel"/>
    <w:tmpl w:val="E87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3AA4648A"/>
    <w:multiLevelType w:val="hybridMultilevel"/>
    <w:tmpl w:val="7CD430C2"/>
    <w:lvl w:ilvl="0" w:tplc="DD083D60">
      <w:start w:val="1"/>
      <w:numFmt w:val="lowerLetter"/>
      <w:lvlText w:val="(%1)"/>
      <w:lvlJc w:val="left"/>
      <w:pPr>
        <w:ind w:left="360" w:hanging="360"/>
      </w:pPr>
      <w:rPr>
        <w:rFonts w:hint="default"/>
      </w:rPr>
    </w:lvl>
    <w:lvl w:ilvl="1" w:tplc="DD083D60">
      <w:start w:val="1"/>
      <w:numFmt w:val="lowerLetter"/>
      <w:lvlText w:val="(%2)"/>
      <w:lvlJc w:val="left"/>
      <w:pPr>
        <w:ind w:left="1706" w:hanging="360"/>
      </w:pPr>
      <w:rPr>
        <w:rFonts w:hint="default"/>
      </w:r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342" w15:restartNumberingAfterBreak="0">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343" w15:restartNumberingAfterBreak="0">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3B1E1EE9"/>
    <w:multiLevelType w:val="hybridMultilevel"/>
    <w:tmpl w:val="315C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7" w15:restartNumberingAfterBreak="0">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50" w15:restartNumberingAfterBreak="0">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52" w15:restartNumberingAfterBreak="0">
    <w:nsid w:val="3C567300"/>
    <w:multiLevelType w:val="hybridMultilevel"/>
    <w:tmpl w:val="2E0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55" w15:restartNumberingAfterBreak="0">
    <w:nsid w:val="3D232E57"/>
    <w:multiLevelType w:val="hybridMultilevel"/>
    <w:tmpl w:val="E01A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0" w15:restartNumberingAfterBreak="0">
    <w:nsid w:val="3E4A6B2E"/>
    <w:multiLevelType w:val="hybridMultilevel"/>
    <w:tmpl w:val="4A34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3E5F7591"/>
    <w:multiLevelType w:val="hybridMultilevel"/>
    <w:tmpl w:val="53E4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66" w15:restartNumberingAfterBreak="0">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71" w15:restartNumberingAfterBreak="0">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2" w15:restartNumberingAfterBreak="0">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15:restartNumberingAfterBreak="0">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15:restartNumberingAfterBreak="0">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2B5577C"/>
    <w:multiLevelType w:val="hybridMultilevel"/>
    <w:tmpl w:val="718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79" w15:restartNumberingAfterBreak="0">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43FD0D1C"/>
    <w:multiLevelType w:val="hybridMultilevel"/>
    <w:tmpl w:val="A6266AA0"/>
    <w:lvl w:ilvl="0" w:tplc="9C202584">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445544AF"/>
    <w:multiLevelType w:val="hybridMultilevel"/>
    <w:tmpl w:val="3664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5" w15:restartNumberingAfterBreak="0">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45FB67FF"/>
    <w:multiLevelType w:val="hybridMultilevel"/>
    <w:tmpl w:val="CF94E08C"/>
    <w:lvl w:ilvl="0" w:tplc="04090001">
      <w:start w:val="1"/>
      <w:numFmt w:val="bullet"/>
      <w:lvlText w:val=""/>
      <w:lvlJc w:val="left"/>
      <w:pPr>
        <w:ind w:left="805" w:hanging="360"/>
      </w:pPr>
      <w:rPr>
        <w:rFonts w:ascii="Symbol" w:hAnsi="Symbol" w:hint="default"/>
      </w:rPr>
    </w:lvl>
    <w:lvl w:ilvl="1" w:tplc="04090003">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90" w15:restartNumberingAfterBreak="0">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93" w15:restartNumberingAfterBreak="0">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94" w15:restartNumberingAfterBreak="0">
    <w:nsid w:val="47332C79"/>
    <w:multiLevelType w:val="hybridMultilevel"/>
    <w:tmpl w:val="B9686B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15:restartNumberingAfterBreak="0">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97" w15:restartNumberingAfterBreak="0">
    <w:nsid w:val="47C46649"/>
    <w:multiLevelType w:val="hybridMultilevel"/>
    <w:tmpl w:val="71DC7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15:restartNumberingAfterBreak="0">
    <w:nsid w:val="47CC13B9"/>
    <w:multiLevelType w:val="hybridMultilevel"/>
    <w:tmpl w:val="CA70E544"/>
    <w:lvl w:ilvl="0" w:tplc="1D5EEAC8">
      <w:start w:val="1"/>
      <w:numFmt w:val="bullet"/>
      <w:lvlText w:val="•"/>
      <w:lvlJc w:val="left"/>
      <w:pPr>
        <w:tabs>
          <w:tab w:val="num" w:pos="720"/>
        </w:tabs>
        <w:ind w:left="720" w:hanging="360"/>
      </w:pPr>
      <w:rPr>
        <w:rFonts w:ascii="Arial" w:hAnsi="Arial" w:hint="default"/>
      </w:rPr>
    </w:lvl>
    <w:lvl w:ilvl="1" w:tplc="7E74ACA2" w:tentative="1">
      <w:start w:val="1"/>
      <w:numFmt w:val="bullet"/>
      <w:lvlText w:val="•"/>
      <w:lvlJc w:val="left"/>
      <w:pPr>
        <w:tabs>
          <w:tab w:val="num" w:pos="1440"/>
        </w:tabs>
        <w:ind w:left="1440" w:hanging="360"/>
      </w:pPr>
      <w:rPr>
        <w:rFonts w:ascii="Arial" w:hAnsi="Arial" w:hint="default"/>
      </w:rPr>
    </w:lvl>
    <w:lvl w:ilvl="2" w:tplc="684EF8EA" w:tentative="1">
      <w:start w:val="1"/>
      <w:numFmt w:val="bullet"/>
      <w:lvlText w:val="•"/>
      <w:lvlJc w:val="left"/>
      <w:pPr>
        <w:tabs>
          <w:tab w:val="num" w:pos="2160"/>
        </w:tabs>
        <w:ind w:left="2160" w:hanging="360"/>
      </w:pPr>
      <w:rPr>
        <w:rFonts w:ascii="Arial" w:hAnsi="Arial" w:hint="default"/>
      </w:rPr>
    </w:lvl>
    <w:lvl w:ilvl="3" w:tplc="CE6EF6EE" w:tentative="1">
      <w:start w:val="1"/>
      <w:numFmt w:val="bullet"/>
      <w:lvlText w:val="•"/>
      <w:lvlJc w:val="left"/>
      <w:pPr>
        <w:tabs>
          <w:tab w:val="num" w:pos="2880"/>
        </w:tabs>
        <w:ind w:left="2880" w:hanging="360"/>
      </w:pPr>
      <w:rPr>
        <w:rFonts w:ascii="Arial" w:hAnsi="Arial" w:hint="default"/>
      </w:rPr>
    </w:lvl>
    <w:lvl w:ilvl="4" w:tplc="A142D3EA" w:tentative="1">
      <w:start w:val="1"/>
      <w:numFmt w:val="bullet"/>
      <w:lvlText w:val="•"/>
      <w:lvlJc w:val="left"/>
      <w:pPr>
        <w:tabs>
          <w:tab w:val="num" w:pos="3600"/>
        </w:tabs>
        <w:ind w:left="3600" w:hanging="360"/>
      </w:pPr>
      <w:rPr>
        <w:rFonts w:ascii="Arial" w:hAnsi="Arial" w:hint="default"/>
      </w:rPr>
    </w:lvl>
    <w:lvl w:ilvl="5" w:tplc="574A084C" w:tentative="1">
      <w:start w:val="1"/>
      <w:numFmt w:val="bullet"/>
      <w:lvlText w:val="•"/>
      <w:lvlJc w:val="left"/>
      <w:pPr>
        <w:tabs>
          <w:tab w:val="num" w:pos="4320"/>
        </w:tabs>
        <w:ind w:left="4320" w:hanging="360"/>
      </w:pPr>
      <w:rPr>
        <w:rFonts w:ascii="Arial" w:hAnsi="Arial" w:hint="default"/>
      </w:rPr>
    </w:lvl>
    <w:lvl w:ilvl="6" w:tplc="C9822BC8" w:tentative="1">
      <w:start w:val="1"/>
      <w:numFmt w:val="bullet"/>
      <w:lvlText w:val="•"/>
      <w:lvlJc w:val="left"/>
      <w:pPr>
        <w:tabs>
          <w:tab w:val="num" w:pos="5040"/>
        </w:tabs>
        <w:ind w:left="5040" w:hanging="360"/>
      </w:pPr>
      <w:rPr>
        <w:rFonts w:ascii="Arial" w:hAnsi="Arial" w:hint="default"/>
      </w:rPr>
    </w:lvl>
    <w:lvl w:ilvl="7" w:tplc="168AFE00" w:tentative="1">
      <w:start w:val="1"/>
      <w:numFmt w:val="bullet"/>
      <w:lvlText w:val="•"/>
      <w:lvlJc w:val="left"/>
      <w:pPr>
        <w:tabs>
          <w:tab w:val="num" w:pos="5760"/>
        </w:tabs>
        <w:ind w:left="5760" w:hanging="360"/>
      </w:pPr>
      <w:rPr>
        <w:rFonts w:ascii="Arial" w:hAnsi="Arial" w:hint="default"/>
      </w:rPr>
    </w:lvl>
    <w:lvl w:ilvl="8" w:tplc="DB4A2B52" w:tentative="1">
      <w:start w:val="1"/>
      <w:numFmt w:val="bullet"/>
      <w:lvlText w:val="•"/>
      <w:lvlJc w:val="left"/>
      <w:pPr>
        <w:tabs>
          <w:tab w:val="num" w:pos="6480"/>
        </w:tabs>
        <w:ind w:left="6480" w:hanging="360"/>
      </w:pPr>
      <w:rPr>
        <w:rFonts w:ascii="Arial" w:hAnsi="Arial" w:hint="default"/>
      </w:rPr>
    </w:lvl>
  </w:abstractNum>
  <w:abstractNum w:abstractNumId="399" w15:restartNumberingAfterBreak="0">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0" w15:restartNumberingAfterBreak="0">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401" w15:restartNumberingAfterBreak="0">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vanish w:val="0"/>
        <w:color w:val="62777F" w:themeColor="text1"/>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5" w15:restartNumberingAfterBreak="0">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07" w15:restartNumberingAfterBreak="0">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8" w15:restartNumberingAfterBreak="0">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1" w15:restartNumberingAfterBreak="0">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3" w15:restartNumberingAfterBreak="0">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7" w15:restartNumberingAfterBreak="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4F27623B"/>
    <w:multiLevelType w:val="hybridMultilevel"/>
    <w:tmpl w:val="48D2F552"/>
    <w:lvl w:ilvl="0" w:tplc="21FE585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24" w15:restartNumberingAfterBreak="0">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8" w15:restartNumberingAfterBreak="0">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9" w15:restartNumberingAfterBreak="0">
    <w:nsid w:val="4FD96E64"/>
    <w:multiLevelType w:val="hybridMultilevel"/>
    <w:tmpl w:val="87F6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432" w15:restartNumberingAfterBreak="0">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35" w15:restartNumberingAfterBreak="0">
    <w:nsid w:val="503F4EBB"/>
    <w:multiLevelType w:val="multilevel"/>
    <w:tmpl w:val="328224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6" w15:restartNumberingAfterBreak="0">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8" w15:restartNumberingAfterBreak="0">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440" w15:restartNumberingAfterBreak="0">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1" w15:restartNumberingAfterBreak="0">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3" w15:restartNumberingAfterBreak="0">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44" w15:restartNumberingAfterBreak="0">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15:restartNumberingAfterBreak="0">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537D36DE"/>
    <w:multiLevelType w:val="hybridMultilevel"/>
    <w:tmpl w:val="439C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452" w15:restartNumberingAfterBreak="0">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3" w15:restartNumberingAfterBreak="0">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6" w15:restartNumberingAfterBreak="0">
    <w:nsid w:val="54CA23D2"/>
    <w:multiLevelType w:val="hybridMultilevel"/>
    <w:tmpl w:val="6A908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B7E9856">
      <w:numFmt w:val="bullet"/>
      <w:lvlText w:val="•"/>
      <w:lvlJc w:val="left"/>
      <w:pPr>
        <w:ind w:left="2520" w:hanging="720"/>
      </w:pPr>
      <w:rPr>
        <w:rFonts w:ascii="Cambria" w:eastAsiaTheme="minorHAnsi" w:hAnsi="Cambri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54F73D5A"/>
    <w:multiLevelType w:val="hybridMultilevel"/>
    <w:tmpl w:val="267235BA"/>
    <w:lvl w:ilvl="0" w:tplc="AEF0B47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55002DF4"/>
    <w:multiLevelType w:val="hybridMultilevel"/>
    <w:tmpl w:val="5DB6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0" w15:restartNumberingAfterBreak="0">
    <w:nsid w:val="556A0108"/>
    <w:multiLevelType w:val="hybridMultilevel"/>
    <w:tmpl w:val="6A3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57D6D8A"/>
    <w:multiLevelType w:val="hybridMultilevel"/>
    <w:tmpl w:val="14C0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55A27102"/>
    <w:multiLevelType w:val="multilevel"/>
    <w:tmpl w:val="598E3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4" w15:restartNumberingAfterBreak="0">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2" w15:restartNumberingAfterBreak="0">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75" w15:restartNumberingAfterBreak="0">
    <w:nsid w:val="59182C43"/>
    <w:multiLevelType w:val="hybridMultilevel"/>
    <w:tmpl w:val="884C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77" w15:restartNumberingAfterBreak="0">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598A53D7"/>
    <w:multiLevelType w:val="hybridMultilevel"/>
    <w:tmpl w:val="31FC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1" w15:restartNumberingAfterBreak="0">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5A1638CD"/>
    <w:multiLevelType w:val="hybridMultilevel"/>
    <w:tmpl w:val="86481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5A3903F2"/>
    <w:multiLevelType w:val="hybridMultilevel"/>
    <w:tmpl w:val="96D2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85" w15:restartNumberingAfterBreak="0">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87" w15:restartNumberingAfterBreak="0">
    <w:nsid w:val="5AB81DF6"/>
    <w:multiLevelType w:val="hybridMultilevel"/>
    <w:tmpl w:val="9C9805C8"/>
    <w:lvl w:ilvl="0" w:tplc="79680D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8" w15:restartNumberingAfterBreak="0">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5AD97A80"/>
    <w:multiLevelType w:val="hybridMultilevel"/>
    <w:tmpl w:val="8E0842BE"/>
    <w:lvl w:ilvl="0" w:tplc="04605460">
      <w:start w:val="1"/>
      <w:numFmt w:val="bullet"/>
      <w:lvlText w:val="•"/>
      <w:lvlJc w:val="left"/>
      <w:pPr>
        <w:tabs>
          <w:tab w:val="num" w:pos="720"/>
        </w:tabs>
        <w:ind w:left="720" w:hanging="360"/>
      </w:pPr>
      <w:rPr>
        <w:rFonts w:ascii="Arial" w:hAnsi="Arial" w:hint="default"/>
      </w:rPr>
    </w:lvl>
    <w:lvl w:ilvl="1" w:tplc="570018F0" w:tentative="1">
      <w:start w:val="1"/>
      <w:numFmt w:val="bullet"/>
      <w:lvlText w:val="•"/>
      <w:lvlJc w:val="left"/>
      <w:pPr>
        <w:tabs>
          <w:tab w:val="num" w:pos="1440"/>
        </w:tabs>
        <w:ind w:left="1440" w:hanging="360"/>
      </w:pPr>
      <w:rPr>
        <w:rFonts w:ascii="Arial" w:hAnsi="Arial" w:hint="default"/>
      </w:rPr>
    </w:lvl>
    <w:lvl w:ilvl="2" w:tplc="F80A43CE" w:tentative="1">
      <w:start w:val="1"/>
      <w:numFmt w:val="bullet"/>
      <w:lvlText w:val="•"/>
      <w:lvlJc w:val="left"/>
      <w:pPr>
        <w:tabs>
          <w:tab w:val="num" w:pos="2160"/>
        </w:tabs>
        <w:ind w:left="2160" w:hanging="360"/>
      </w:pPr>
      <w:rPr>
        <w:rFonts w:ascii="Arial" w:hAnsi="Arial" w:hint="default"/>
      </w:rPr>
    </w:lvl>
    <w:lvl w:ilvl="3" w:tplc="9782EF5E" w:tentative="1">
      <w:start w:val="1"/>
      <w:numFmt w:val="bullet"/>
      <w:lvlText w:val="•"/>
      <w:lvlJc w:val="left"/>
      <w:pPr>
        <w:tabs>
          <w:tab w:val="num" w:pos="2880"/>
        </w:tabs>
        <w:ind w:left="2880" w:hanging="360"/>
      </w:pPr>
      <w:rPr>
        <w:rFonts w:ascii="Arial" w:hAnsi="Arial" w:hint="default"/>
      </w:rPr>
    </w:lvl>
    <w:lvl w:ilvl="4" w:tplc="6CA8C99E" w:tentative="1">
      <w:start w:val="1"/>
      <w:numFmt w:val="bullet"/>
      <w:lvlText w:val="•"/>
      <w:lvlJc w:val="left"/>
      <w:pPr>
        <w:tabs>
          <w:tab w:val="num" w:pos="3600"/>
        </w:tabs>
        <w:ind w:left="3600" w:hanging="360"/>
      </w:pPr>
      <w:rPr>
        <w:rFonts w:ascii="Arial" w:hAnsi="Arial" w:hint="default"/>
      </w:rPr>
    </w:lvl>
    <w:lvl w:ilvl="5" w:tplc="6E6CC5C8" w:tentative="1">
      <w:start w:val="1"/>
      <w:numFmt w:val="bullet"/>
      <w:lvlText w:val="•"/>
      <w:lvlJc w:val="left"/>
      <w:pPr>
        <w:tabs>
          <w:tab w:val="num" w:pos="4320"/>
        </w:tabs>
        <w:ind w:left="4320" w:hanging="360"/>
      </w:pPr>
      <w:rPr>
        <w:rFonts w:ascii="Arial" w:hAnsi="Arial" w:hint="default"/>
      </w:rPr>
    </w:lvl>
    <w:lvl w:ilvl="6" w:tplc="39166C96" w:tentative="1">
      <w:start w:val="1"/>
      <w:numFmt w:val="bullet"/>
      <w:lvlText w:val="•"/>
      <w:lvlJc w:val="left"/>
      <w:pPr>
        <w:tabs>
          <w:tab w:val="num" w:pos="5040"/>
        </w:tabs>
        <w:ind w:left="5040" w:hanging="360"/>
      </w:pPr>
      <w:rPr>
        <w:rFonts w:ascii="Arial" w:hAnsi="Arial" w:hint="default"/>
      </w:rPr>
    </w:lvl>
    <w:lvl w:ilvl="7" w:tplc="2C0E7504" w:tentative="1">
      <w:start w:val="1"/>
      <w:numFmt w:val="bullet"/>
      <w:lvlText w:val="•"/>
      <w:lvlJc w:val="left"/>
      <w:pPr>
        <w:tabs>
          <w:tab w:val="num" w:pos="5760"/>
        </w:tabs>
        <w:ind w:left="5760" w:hanging="360"/>
      </w:pPr>
      <w:rPr>
        <w:rFonts w:ascii="Arial" w:hAnsi="Arial" w:hint="default"/>
      </w:rPr>
    </w:lvl>
    <w:lvl w:ilvl="8" w:tplc="B34626F0" w:tentative="1">
      <w:start w:val="1"/>
      <w:numFmt w:val="bullet"/>
      <w:lvlText w:val="•"/>
      <w:lvlJc w:val="left"/>
      <w:pPr>
        <w:tabs>
          <w:tab w:val="num" w:pos="6480"/>
        </w:tabs>
        <w:ind w:left="6480" w:hanging="360"/>
      </w:pPr>
      <w:rPr>
        <w:rFonts w:ascii="Arial" w:hAnsi="Arial" w:hint="default"/>
      </w:rPr>
    </w:lvl>
  </w:abstractNum>
  <w:abstractNum w:abstractNumId="490" w15:restartNumberingAfterBreak="0">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91" w15:restartNumberingAfterBreak="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2" w15:restartNumberingAfterBreak="0">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93" w15:restartNumberingAfterBreak="0">
    <w:nsid w:val="5BF46380"/>
    <w:multiLevelType w:val="hybridMultilevel"/>
    <w:tmpl w:val="CD48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95" w15:restartNumberingAfterBreak="0">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7" w15:restartNumberingAfterBreak="0">
    <w:nsid w:val="5D0025BB"/>
    <w:multiLevelType w:val="hybridMultilevel"/>
    <w:tmpl w:val="F66051BA"/>
    <w:lvl w:ilvl="0" w:tplc="3850B72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5D2D4C2E"/>
    <w:multiLevelType w:val="hybridMultilevel"/>
    <w:tmpl w:val="F8E6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5D472807"/>
    <w:multiLevelType w:val="hybridMultilevel"/>
    <w:tmpl w:val="A06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5E232E44"/>
    <w:multiLevelType w:val="hybridMultilevel"/>
    <w:tmpl w:val="6810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505" w15:restartNumberingAfterBreak="0">
    <w:nsid w:val="5E860333"/>
    <w:multiLevelType w:val="hybridMultilevel"/>
    <w:tmpl w:val="B7E664EE"/>
    <w:lvl w:ilvl="0" w:tplc="B8064E66">
      <w:start w:val="1"/>
      <w:numFmt w:val="bullet"/>
      <w:lvlText w:val=""/>
      <w:lvlJc w:val="left"/>
      <w:pPr>
        <w:ind w:left="720" w:hanging="360"/>
      </w:pPr>
      <w:rPr>
        <w:rFonts w:ascii="Wingdings" w:hAnsi="Wingdings" w:hint="default"/>
        <w:b/>
        <w:i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08" w15:restartNumberingAfterBreak="0">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5F144B3C"/>
    <w:multiLevelType w:val="hybridMultilevel"/>
    <w:tmpl w:val="04244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0" w15:restartNumberingAfterBreak="0">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5F4405B4"/>
    <w:multiLevelType w:val="hybridMultilevel"/>
    <w:tmpl w:val="DBD2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15" w15:restartNumberingAfterBreak="0">
    <w:nsid w:val="60944F7E"/>
    <w:multiLevelType w:val="hybridMultilevel"/>
    <w:tmpl w:val="D1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8" w15:restartNumberingAfterBreak="0">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9" w15:restartNumberingAfterBreak="0">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0" w15:restartNumberingAfterBreak="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1" w15:restartNumberingAfterBreak="0">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3" w15:restartNumberingAfterBreak="0">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15:restartNumberingAfterBreak="0">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7" w15:restartNumberingAfterBreak="0">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28" w15:restartNumberingAfterBreak="0">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532" w15:restartNumberingAfterBreak="0">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534" w15:restartNumberingAfterBreak="0">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6"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8" w15:restartNumberingAfterBreak="0">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64A67A06"/>
    <w:multiLevelType w:val="hybridMultilevel"/>
    <w:tmpl w:val="903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45" w15:restartNumberingAfterBreak="0">
    <w:nsid w:val="658D0C48"/>
    <w:multiLevelType w:val="hybridMultilevel"/>
    <w:tmpl w:val="BB3433D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9" w15:restartNumberingAfterBreak="0">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15:restartNumberingAfterBreak="0">
    <w:nsid w:val="667C0177"/>
    <w:multiLevelType w:val="multilevel"/>
    <w:tmpl w:val="BB74ED96"/>
    <w:styleLink w:val="CurrentList15"/>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51" w15:restartNumberingAfterBreak="0">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15:restartNumberingAfterBreak="0">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555" w15:restartNumberingAfterBreak="0">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556" w15:restartNumberingAfterBreak="0">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9" w15:restartNumberingAfterBreak="0">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561" w15:restartNumberingAfterBreak="0">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4" w15:restartNumberingAfterBreak="0">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68EF5790"/>
    <w:multiLevelType w:val="hybridMultilevel"/>
    <w:tmpl w:val="3DBA97E0"/>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66" w15:restartNumberingAfterBreak="0">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7" w15:restartNumberingAfterBreak="0">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8" w15:restartNumberingAfterBreak="0">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569" w15:restartNumberingAfterBreak="0">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570" w15:restartNumberingAfterBreak="0">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15:restartNumberingAfterBreak="0">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573" w15:restartNumberingAfterBreak="0">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4" w15:restartNumberingAfterBreak="0">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15:restartNumberingAfterBreak="0">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576" w15:restartNumberingAfterBreak="0">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7" w15:restartNumberingAfterBreak="0">
    <w:nsid w:val="6BD17FBA"/>
    <w:multiLevelType w:val="hybridMultilevel"/>
    <w:tmpl w:val="92C4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9" w15:restartNumberingAfterBreak="0">
    <w:nsid w:val="6BE868DB"/>
    <w:multiLevelType w:val="hybridMultilevel"/>
    <w:tmpl w:val="5B4A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583" w15:restartNumberingAfterBreak="0">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4" w15:restartNumberingAfterBreak="0">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88" w15:restartNumberingAfterBreak="0">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0" w15:restartNumberingAfterBreak="0">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15:restartNumberingAfterBreak="0">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92" w15:restartNumberingAfterBreak="0">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15:restartNumberingAfterBreak="0">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94" w15:restartNumberingAfterBreak="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95" w15:restartNumberingAfterBreak="0">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6E7D0C42"/>
    <w:multiLevelType w:val="hybridMultilevel"/>
    <w:tmpl w:val="DFAC83A4"/>
    <w:lvl w:ilvl="0" w:tplc="9B602E7E">
      <w:start w:val="1"/>
      <w:numFmt w:val="bullet"/>
      <w:lvlText w:val="•"/>
      <w:lvlJc w:val="left"/>
      <w:pPr>
        <w:tabs>
          <w:tab w:val="num" w:pos="720"/>
        </w:tabs>
        <w:ind w:left="720" w:hanging="360"/>
      </w:pPr>
      <w:rPr>
        <w:rFonts w:ascii="Arial" w:hAnsi="Arial" w:hint="default"/>
      </w:rPr>
    </w:lvl>
    <w:lvl w:ilvl="1" w:tplc="FDB817CE" w:tentative="1">
      <w:start w:val="1"/>
      <w:numFmt w:val="bullet"/>
      <w:lvlText w:val="•"/>
      <w:lvlJc w:val="left"/>
      <w:pPr>
        <w:tabs>
          <w:tab w:val="num" w:pos="1440"/>
        </w:tabs>
        <w:ind w:left="1440" w:hanging="360"/>
      </w:pPr>
      <w:rPr>
        <w:rFonts w:ascii="Arial" w:hAnsi="Arial" w:hint="default"/>
      </w:rPr>
    </w:lvl>
    <w:lvl w:ilvl="2" w:tplc="C27CC030" w:tentative="1">
      <w:start w:val="1"/>
      <w:numFmt w:val="bullet"/>
      <w:lvlText w:val="•"/>
      <w:lvlJc w:val="left"/>
      <w:pPr>
        <w:tabs>
          <w:tab w:val="num" w:pos="2160"/>
        </w:tabs>
        <w:ind w:left="2160" w:hanging="360"/>
      </w:pPr>
      <w:rPr>
        <w:rFonts w:ascii="Arial" w:hAnsi="Arial" w:hint="default"/>
      </w:rPr>
    </w:lvl>
    <w:lvl w:ilvl="3" w:tplc="98F470C2" w:tentative="1">
      <w:start w:val="1"/>
      <w:numFmt w:val="bullet"/>
      <w:lvlText w:val="•"/>
      <w:lvlJc w:val="left"/>
      <w:pPr>
        <w:tabs>
          <w:tab w:val="num" w:pos="2880"/>
        </w:tabs>
        <w:ind w:left="2880" w:hanging="360"/>
      </w:pPr>
      <w:rPr>
        <w:rFonts w:ascii="Arial" w:hAnsi="Arial" w:hint="default"/>
      </w:rPr>
    </w:lvl>
    <w:lvl w:ilvl="4" w:tplc="47224344" w:tentative="1">
      <w:start w:val="1"/>
      <w:numFmt w:val="bullet"/>
      <w:lvlText w:val="•"/>
      <w:lvlJc w:val="left"/>
      <w:pPr>
        <w:tabs>
          <w:tab w:val="num" w:pos="3600"/>
        </w:tabs>
        <w:ind w:left="3600" w:hanging="360"/>
      </w:pPr>
      <w:rPr>
        <w:rFonts w:ascii="Arial" w:hAnsi="Arial" w:hint="default"/>
      </w:rPr>
    </w:lvl>
    <w:lvl w:ilvl="5" w:tplc="FA5AEC44" w:tentative="1">
      <w:start w:val="1"/>
      <w:numFmt w:val="bullet"/>
      <w:lvlText w:val="•"/>
      <w:lvlJc w:val="left"/>
      <w:pPr>
        <w:tabs>
          <w:tab w:val="num" w:pos="4320"/>
        </w:tabs>
        <w:ind w:left="4320" w:hanging="360"/>
      </w:pPr>
      <w:rPr>
        <w:rFonts w:ascii="Arial" w:hAnsi="Arial" w:hint="default"/>
      </w:rPr>
    </w:lvl>
    <w:lvl w:ilvl="6" w:tplc="9B5CAA1C" w:tentative="1">
      <w:start w:val="1"/>
      <w:numFmt w:val="bullet"/>
      <w:lvlText w:val="•"/>
      <w:lvlJc w:val="left"/>
      <w:pPr>
        <w:tabs>
          <w:tab w:val="num" w:pos="5040"/>
        </w:tabs>
        <w:ind w:left="5040" w:hanging="360"/>
      </w:pPr>
      <w:rPr>
        <w:rFonts w:ascii="Arial" w:hAnsi="Arial" w:hint="default"/>
      </w:rPr>
    </w:lvl>
    <w:lvl w:ilvl="7" w:tplc="87CC064C" w:tentative="1">
      <w:start w:val="1"/>
      <w:numFmt w:val="bullet"/>
      <w:lvlText w:val="•"/>
      <w:lvlJc w:val="left"/>
      <w:pPr>
        <w:tabs>
          <w:tab w:val="num" w:pos="5760"/>
        </w:tabs>
        <w:ind w:left="5760" w:hanging="360"/>
      </w:pPr>
      <w:rPr>
        <w:rFonts w:ascii="Arial" w:hAnsi="Arial" w:hint="default"/>
      </w:rPr>
    </w:lvl>
    <w:lvl w:ilvl="8" w:tplc="D6F2BD3E" w:tentative="1">
      <w:start w:val="1"/>
      <w:numFmt w:val="bullet"/>
      <w:lvlText w:val="•"/>
      <w:lvlJc w:val="left"/>
      <w:pPr>
        <w:tabs>
          <w:tab w:val="num" w:pos="6480"/>
        </w:tabs>
        <w:ind w:left="6480" w:hanging="360"/>
      </w:pPr>
      <w:rPr>
        <w:rFonts w:ascii="Arial" w:hAnsi="Arial" w:hint="default"/>
      </w:rPr>
    </w:lvl>
  </w:abstractNum>
  <w:abstractNum w:abstractNumId="597" w15:restartNumberingAfterBreak="0">
    <w:nsid w:val="6E9E6A1F"/>
    <w:multiLevelType w:val="hybridMultilevel"/>
    <w:tmpl w:val="80F6CA96"/>
    <w:lvl w:ilvl="0" w:tplc="0AE422F6">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598" w15:restartNumberingAfterBreak="0">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99" w15:restartNumberingAfterBreak="0">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2" w15:restartNumberingAfterBreak="0">
    <w:nsid w:val="6ECF4C48"/>
    <w:multiLevelType w:val="hybridMultilevel"/>
    <w:tmpl w:val="786EB2D6"/>
    <w:lvl w:ilvl="0" w:tplc="34A2A6EE">
      <w:start w:val="1"/>
      <w:numFmt w:val="bullet"/>
      <w:lvlText w:val="•"/>
      <w:lvlJc w:val="left"/>
      <w:pPr>
        <w:tabs>
          <w:tab w:val="num" w:pos="720"/>
        </w:tabs>
        <w:ind w:left="720" w:hanging="360"/>
      </w:pPr>
      <w:rPr>
        <w:rFonts w:ascii="Times New Roman" w:hAnsi="Times New Roman" w:hint="default"/>
      </w:rPr>
    </w:lvl>
    <w:lvl w:ilvl="1" w:tplc="6876CF20">
      <w:start w:val="2639"/>
      <w:numFmt w:val="bullet"/>
      <w:lvlText w:val="•"/>
      <w:lvlJc w:val="left"/>
      <w:pPr>
        <w:tabs>
          <w:tab w:val="num" w:pos="1440"/>
        </w:tabs>
        <w:ind w:left="1440" w:hanging="360"/>
      </w:pPr>
      <w:rPr>
        <w:rFonts w:ascii="Times New Roman" w:hAnsi="Times New Roman" w:hint="default"/>
      </w:rPr>
    </w:lvl>
    <w:lvl w:ilvl="2" w:tplc="A7448D4A" w:tentative="1">
      <w:start w:val="1"/>
      <w:numFmt w:val="bullet"/>
      <w:lvlText w:val="•"/>
      <w:lvlJc w:val="left"/>
      <w:pPr>
        <w:tabs>
          <w:tab w:val="num" w:pos="2160"/>
        </w:tabs>
        <w:ind w:left="2160" w:hanging="360"/>
      </w:pPr>
      <w:rPr>
        <w:rFonts w:ascii="Times New Roman" w:hAnsi="Times New Roman" w:hint="default"/>
      </w:rPr>
    </w:lvl>
    <w:lvl w:ilvl="3" w:tplc="C0DEB40C" w:tentative="1">
      <w:start w:val="1"/>
      <w:numFmt w:val="bullet"/>
      <w:lvlText w:val="•"/>
      <w:lvlJc w:val="left"/>
      <w:pPr>
        <w:tabs>
          <w:tab w:val="num" w:pos="2880"/>
        </w:tabs>
        <w:ind w:left="2880" w:hanging="360"/>
      </w:pPr>
      <w:rPr>
        <w:rFonts w:ascii="Times New Roman" w:hAnsi="Times New Roman" w:hint="default"/>
      </w:rPr>
    </w:lvl>
    <w:lvl w:ilvl="4" w:tplc="DDF0D5F0" w:tentative="1">
      <w:start w:val="1"/>
      <w:numFmt w:val="bullet"/>
      <w:lvlText w:val="•"/>
      <w:lvlJc w:val="left"/>
      <w:pPr>
        <w:tabs>
          <w:tab w:val="num" w:pos="3600"/>
        </w:tabs>
        <w:ind w:left="3600" w:hanging="360"/>
      </w:pPr>
      <w:rPr>
        <w:rFonts w:ascii="Times New Roman" w:hAnsi="Times New Roman" w:hint="default"/>
      </w:rPr>
    </w:lvl>
    <w:lvl w:ilvl="5" w:tplc="DFF8C622" w:tentative="1">
      <w:start w:val="1"/>
      <w:numFmt w:val="bullet"/>
      <w:lvlText w:val="•"/>
      <w:lvlJc w:val="left"/>
      <w:pPr>
        <w:tabs>
          <w:tab w:val="num" w:pos="4320"/>
        </w:tabs>
        <w:ind w:left="4320" w:hanging="360"/>
      </w:pPr>
      <w:rPr>
        <w:rFonts w:ascii="Times New Roman" w:hAnsi="Times New Roman" w:hint="default"/>
      </w:rPr>
    </w:lvl>
    <w:lvl w:ilvl="6" w:tplc="9154D59A" w:tentative="1">
      <w:start w:val="1"/>
      <w:numFmt w:val="bullet"/>
      <w:lvlText w:val="•"/>
      <w:lvlJc w:val="left"/>
      <w:pPr>
        <w:tabs>
          <w:tab w:val="num" w:pos="5040"/>
        </w:tabs>
        <w:ind w:left="5040" w:hanging="360"/>
      </w:pPr>
      <w:rPr>
        <w:rFonts w:ascii="Times New Roman" w:hAnsi="Times New Roman" w:hint="default"/>
      </w:rPr>
    </w:lvl>
    <w:lvl w:ilvl="7" w:tplc="111EE796" w:tentative="1">
      <w:start w:val="1"/>
      <w:numFmt w:val="bullet"/>
      <w:lvlText w:val="•"/>
      <w:lvlJc w:val="left"/>
      <w:pPr>
        <w:tabs>
          <w:tab w:val="num" w:pos="5760"/>
        </w:tabs>
        <w:ind w:left="5760" w:hanging="360"/>
      </w:pPr>
      <w:rPr>
        <w:rFonts w:ascii="Times New Roman" w:hAnsi="Times New Roman" w:hint="default"/>
      </w:rPr>
    </w:lvl>
    <w:lvl w:ilvl="8" w:tplc="F0A23BE2" w:tentative="1">
      <w:start w:val="1"/>
      <w:numFmt w:val="bullet"/>
      <w:lvlText w:val="•"/>
      <w:lvlJc w:val="left"/>
      <w:pPr>
        <w:tabs>
          <w:tab w:val="num" w:pos="6480"/>
        </w:tabs>
        <w:ind w:left="6480" w:hanging="360"/>
      </w:pPr>
      <w:rPr>
        <w:rFonts w:ascii="Times New Roman" w:hAnsi="Times New Roman" w:hint="default"/>
      </w:rPr>
    </w:lvl>
  </w:abstractNum>
  <w:abstractNum w:abstractNumId="603" w15:restartNumberingAfterBreak="0">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4" w15:restartNumberingAfterBreak="0">
    <w:nsid w:val="6F071F02"/>
    <w:multiLevelType w:val="hybridMultilevel"/>
    <w:tmpl w:val="6928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606" w15:restartNumberingAfterBreak="0">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6FB843AE"/>
    <w:multiLevelType w:val="hybridMultilevel"/>
    <w:tmpl w:val="7ABE6A62"/>
    <w:lvl w:ilvl="0" w:tplc="91C26556">
      <w:start w:val="1"/>
      <w:numFmt w:val="bullet"/>
      <w:lvlText w:val="•"/>
      <w:lvlJc w:val="left"/>
      <w:pPr>
        <w:tabs>
          <w:tab w:val="num" w:pos="720"/>
        </w:tabs>
        <w:ind w:left="720" w:hanging="360"/>
      </w:pPr>
      <w:rPr>
        <w:rFonts w:ascii="Arial" w:hAnsi="Arial" w:hint="default"/>
      </w:rPr>
    </w:lvl>
    <w:lvl w:ilvl="1" w:tplc="2F4CEE34" w:tentative="1">
      <w:start w:val="1"/>
      <w:numFmt w:val="bullet"/>
      <w:lvlText w:val="•"/>
      <w:lvlJc w:val="left"/>
      <w:pPr>
        <w:tabs>
          <w:tab w:val="num" w:pos="1440"/>
        </w:tabs>
        <w:ind w:left="1440" w:hanging="360"/>
      </w:pPr>
      <w:rPr>
        <w:rFonts w:ascii="Arial" w:hAnsi="Arial" w:hint="default"/>
      </w:rPr>
    </w:lvl>
    <w:lvl w:ilvl="2" w:tplc="033C4FD4" w:tentative="1">
      <w:start w:val="1"/>
      <w:numFmt w:val="bullet"/>
      <w:lvlText w:val="•"/>
      <w:lvlJc w:val="left"/>
      <w:pPr>
        <w:tabs>
          <w:tab w:val="num" w:pos="2160"/>
        </w:tabs>
        <w:ind w:left="2160" w:hanging="360"/>
      </w:pPr>
      <w:rPr>
        <w:rFonts w:ascii="Arial" w:hAnsi="Arial" w:hint="default"/>
      </w:rPr>
    </w:lvl>
    <w:lvl w:ilvl="3" w:tplc="F3F21C3A" w:tentative="1">
      <w:start w:val="1"/>
      <w:numFmt w:val="bullet"/>
      <w:lvlText w:val="•"/>
      <w:lvlJc w:val="left"/>
      <w:pPr>
        <w:tabs>
          <w:tab w:val="num" w:pos="2880"/>
        </w:tabs>
        <w:ind w:left="2880" w:hanging="360"/>
      </w:pPr>
      <w:rPr>
        <w:rFonts w:ascii="Arial" w:hAnsi="Arial" w:hint="default"/>
      </w:rPr>
    </w:lvl>
    <w:lvl w:ilvl="4" w:tplc="3C32CD8E" w:tentative="1">
      <w:start w:val="1"/>
      <w:numFmt w:val="bullet"/>
      <w:lvlText w:val="•"/>
      <w:lvlJc w:val="left"/>
      <w:pPr>
        <w:tabs>
          <w:tab w:val="num" w:pos="3600"/>
        </w:tabs>
        <w:ind w:left="3600" w:hanging="360"/>
      </w:pPr>
      <w:rPr>
        <w:rFonts w:ascii="Arial" w:hAnsi="Arial" w:hint="default"/>
      </w:rPr>
    </w:lvl>
    <w:lvl w:ilvl="5" w:tplc="770210A4" w:tentative="1">
      <w:start w:val="1"/>
      <w:numFmt w:val="bullet"/>
      <w:lvlText w:val="•"/>
      <w:lvlJc w:val="left"/>
      <w:pPr>
        <w:tabs>
          <w:tab w:val="num" w:pos="4320"/>
        </w:tabs>
        <w:ind w:left="4320" w:hanging="360"/>
      </w:pPr>
      <w:rPr>
        <w:rFonts w:ascii="Arial" w:hAnsi="Arial" w:hint="default"/>
      </w:rPr>
    </w:lvl>
    <w:lvl w:ilvl="6" w:tplc="E872134A" w:tentative="1">
      <w:start w:val="1"/>
      <w:numFmt w:val="bullet"/>
      <w:lvlText w:val="•"/>
      <w:lvlJc w:val="left"/>
      <w:pPr>
        <w:tabs>
          <w:tab w:val="num" w:pos="5040"/>
        </w:tabs>
        <w:ind w:left="5040" w:hanging="360"/>
      </w:pPr>
      <w:rPr>
        <w:rFonts w:ascii="Arial" w:hAnsi="Arial" w:hint="default"/>
      </w:rPr>
    </w:lvl>
    <w:lvl w:ilvl="7" w:tplc="6DCEEA1A" w:tentative="1">
      <w:start w:val="1"/>
      <w:numFmt w:val="bullet"/>
      <w:lvlText w:val="•"/>
      <w:lvlJc w:val="left"/>
      <w:pPr>
        <w:tabs>
          <w:tab w:val="num" w:pos="5760"/>
        </w:tabs>
        <w:ind w:left="5760" w:hanging="360"/>
      </w:pPr>
      <w:rPr>
        <w:rFonts w:ascii="Arial" w:hAnsi="Arial" w:hint="default"/>
      </w:rPr>
    </w:lvl>
    <w:lvl w:ilvl="8" w:tplc="7726891C" w:tentative="1">
      <w:start w:val="1"/>
      <w:numFmt w:val="bullet"/>
      <w:lvlText w:val="•"/>
      <w:lvlJc w:val="left"/>
      <w:pPr>
        <w:tabs>
          <w:tab w:val="num" w:pos="6480"/>
        </w:tabs>
        <w:ind w:left="6480" w:hanging="360"/>
      </w:pPr>
      <w:rPr>
        <w:rFonts w:ascii="Arial" w:hAnsi="Arial" w:hint="default"/>
      </w:rPr>
    </w:lvl>
  </w:abstractNum>
  <w:abstractNum w:abstractNumId="608" w15:restartNumberingAfterBreak="0">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0" w15:restartNumberingAfterBreak="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1" w15:restartNumberingAfterBreak="0">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2" w15:restartNumberingAfterBreak="0">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15:restartNumberingAfterBreak="0">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614" w15:restartNumberingAfterBreak="0">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71713FCC"/>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617" w15:restartNumberingAfterBreak="0">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8" w15:restartNumberingAfterBreak="0">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15:restartNumberingAfterBreak="0">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0" w15:restartNumberingAfterBreak="0">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72962B88"/>
    <w:multiLevelType w:val="hybridMultilevel"/>
    <w:tmpl w:val="5F4A0B2E"/>
    <w:lvl w:ilvl="0" w:tplc="33B2A64C">
      <w:start w:val="1"/>
      <w:numFmt w:val="bullet"/>
      <w:lvlText w:val="•"/>
      <w:lvlJc w:val="left"/>
      <w:pPr>
        <w:tabs>
          <w:tab w:val="num" w:pos="720"/>
        </w:tabs>
        <w:ind w:left="720" w:hanging="360"/>
      </w:pPr>
      <w:rPr>
        <w:rFonts w:ascii="Arial" w:hAnsi="Arial" w:hint="default"/>
      </w:rPr>
    </w:lvl>
    <w:lvl w:ilvl="1" w:tplc="23723306" w:tentative="1">
      <w:start w:val="1"/>
      <w:numFmt w:val="bullet"/>
      <w:lvlText w:val="•"/>
      <w:lvlJc w:val="left"/>
      <w:pPr>
        <w:tabs>
          <w:tab w:val="num" w:pos="1440"/>
        </w:tabs>
        <w:ind w:left="1440" w:hanging="360"/>
      </w:pPr>
      <w:rPr>
        <w:rFonts w:ascii="Arial" w:hAnsi="Arial" w:hint="default"/>
      </w:rPr>
    </w:lvl>
    <w:lvl w:ilvl="2" w:tplc="F4B42FA6" w:tentative="1">
      <w:start w:val="1"/>
      <w:numFmt w:val="bullet"/>
      <w:lvlText w:val="•"/>
      <w:lvlJc w:val="left"/>
      <w:pPr>
        <w:tabs>
          <w:tab w:val="num" w:pos="2160"/>
        </w:tabs>
        <w:ind w:left="2160" w:hanging="360"/>
      </w:pPr>
      <w:rPr>
        <w:rFonts w:ascii="Arial" w:hAnsi="Arial" w:hint="default"/>
      </w:rPr>
    </w:lvl>
    <w:lvl w:ilvl="3" w:tplc="4D32EDDA" w:tentative="1">
      <w:start w:val="1"/>
      <w:numFmt w:val="bullet"/>
      <w:lvlText w:val="•"/>
      <w:lvlJc w:val="left"/>
      <w:pPr>
        <w:tabs>
          <w:tab w:val="num" w:pos="2880"/>
        </w:tabs>
        <w:ind w:left="2880" w:hanging="360"/>
      </w:pPr>
      <w:rPr>
        <w:rFonts w:ascii="Arial" w:hAnsi="Arial" w:hint="default"/>
      </w:rPr>
    </w:lvl>
    <w:lvl w:ilvl="4" w:tplc="63CE5D56" w:tentative="1">
      <w:start w:val="1"/>
      <w:numFmt w:val="bullet"/>
      <w:lvlText w:val="•"/>
      <w:lvlJc w:val="left"/>
      <w:pPr>
        <w:tabs>
          <w:tab w:val="num" w:pos="3600"/>
        </w:tabs>
        <w:ind w:left="3600" w:hanging="360"/>
      </w:pPr>
      <w:rPr>
        <w:rFonts w:ascii="Arial" w:hAnsi="Arial" w:hint="default"/>
      </w:rPr>
    </w:lvl>
    <w:lvl w:ilvl="5" w:tplc="2C647F20" w:tentative="1">
      <w:start w:val="1"/>
      <w:numFmt w:val="bullet"/>
      <w:lvlText w:val="•"/>
      <w:lvlJc w:val="left"/>
      <w:pPr>
        <w:tabs>
          <w:tab w:val="num" w:pos="4320"/>
        </w:tabs>
        <w:ind w:left="4320" w:hanging="360"/>
      </w:pPr>
      <w:rPr>
        <w:rFonts w:ascii="Arial" w:hAnsi="Arial" w:hint="default"/>
      </w:rPr>
    </w:lvl>
    <w:lvl w:ilvl="6" w:tplc="5994E84A" w:tentative="1">
      <w:start w:val="1"/>
      <w:numFmt w:val="bullet"/>
      <w:lvlText w:val="•"/>
      <w:lvlJc w:val="left"/>
      <w:pPr>
        <w:tabs>
          <w:tab w:val="num" w:pos="5040"/>
        </w:tabs>
        <w:ind w:left="5040" w:hanging="360"/>
      </w:pPr>
      <w:rPr>
        <w:rFonts w:ascii="Arial" w:hAnsi="Arial" w:hint="default"/>
      </w:rPr>
    </w:lvl>
    <w:lvl w:ilvl="7" w:tplc="200CC470" w:tentative="1">
      <w:start w:val="1"/>
      <w:numFmt w:val="bullet"/>
      <w:lvlText w:val="•"/>
      <w:lvlJc w:val="left"/>
      <w:pPr>
        <w:tabs>
          <w:tab w:val="num" w:pos="5760"/>
        </w:tabs>
        <w:ind w:left="5760" w:hanging="360"/>
      </w:pPr>
      <w:rPr>
        <w:rFonts w:ascii="Arial" w:hAnsi="Arial" w:hint="default"/>
      </w:rPr>
    </w:lvl>
    <w:lvl w:ilvl="8" w:tplc="A6628C9A" w:tentative="1">
      <w:start w:val="1"/>
      <w:numFmt w:val="bullet"/>
      <w:lvlText w:val="•"/>
      <w:lvlJc w:val="left"/>
      <w:pPr>
        <w:tabs>
          <w:tab w:val="num" w:pos="6480"/>
        </w:tabs>
        <w:ind w:left="6480" w:hanging="360"/>
      </w:pPr>
      <w:rPr>
        <w:rFonts w:ascii="Arial" w:hAnsi="Arial" w:hint="default"/>
      </w:rPr>
    </w:lvl>
  </w:abstractNum>
  <w:abstractNum w:abstractNumId="624" w15:restartNumberingAfterBreak="0">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625" w15:restartNumberingAfterBreak="0">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7" w15:restartNumberingAfterBreak="0">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628" w15:restartNumberingAfterBreak="0">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630" w15:restartNumberingAfterBreak="0">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1" w15:restartNumberingAfterBreak="0">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vanish w:val="0"/>
        <w:color w:val="auto"/>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4" w15:restartNumberingAfterBreak="0">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5" w15:restartNumberingAfterBreak="0">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637" w15:restartNumberingAfterBreak="0">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15:restartNumberingAfterBreak="0">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9" w15:restartNumberingAfterBreak="0">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15:restartNumberingAfterBreak="0">
    <w:nsid w:val="74C5688A"/>
    <w:multiLevelType w:val="hybridMultilevel"/>
    <w:tmpl w:val="83C0F62C"/>
    <w:lvl w:ilvl="0" w:tplc="B9C43B3E">
      <w:start w:val="1"/>
      <w:numFmt w:val="bullet"/>
      <w:lvlText w:val="•"/>
      <w:lvlJc w:val="left"/>
      <w:pPr>
        <w:tabs>
          <w:tab w:val="num" w:pos="720"/>
        </w:tabs>
        <w:ind w:left="720" w:hanging="360"/>
      </w:pPr>
      <w:rPr>
        <w:rFonts w:ascii="Arial" w:hAnsi="Arial" w:hint="default"/>
      </w:rPr>
    </w:lvl>
    <w:lvl w:ilvl="1" w:tplc="347A7B68">
      <w:start w:val="49"/>
      <w:numFmt w:val="bullet"/>
      <w:lvlText w:val="–"/>
      <w:lvlJc w:val="left"/>
      <w:pPr>
        <w:tabs>
          <w:tab w:val="num" w:pos="1440"/>
        </w:tabs>
        <w:ind w:left="1440" w:hanging="360"/>
      </w:pPr>
      <w:rPr>
        <w:rFonts w:ascii="Arial" w:hAnsi="Arial" w:hint="default"/>
      </w:rPr>
    </w:lvl>
    <w:lvl w:ilvl="2" w:tplc="B2CE3B5A" w:tentative="1">
      <w:start w:val="1"/>
      <w:numFmt w:val="bullet"/>
      <w:lvlText w:val="•"/>
      <w:lvlJc w:val="left"/>
      <w:pPr>
        <w:tabs>
          <w:tab w:val="num" w:pos="2160"/>
        </w:tabs>
        <w:ind w:left="2160" w:hanging="360"/>
      </w:pPr>
      <w:rPr>
        <w:rFonts w:ascii="Arial" w:hAnsi="Arial" w:hint="default"/>
      </w:rPr>
    </w:lvl>
    <w:lvl w:ilvl="3" w:tplc="5C742FD0" w:tentative="1">
      <w:start w:val="1"/>
      <w:numFmt w:val="bullet"/>
      <w:lvlText w:val="•"/>
      <w:lvlJc w:val="left"/>
      <w:pPr>
        <w:tabs>
          <w:tab w:val="num" w:pos="2880"/>
        </w:tabs>
        <w:ind w:left="2880" w:hanging="360"/>
      </w:pPr>
      <w:rPr>
        <w:rFonts w:ascii="Arial" w:hAnsi="Arial" w:hint="default"/>
      </w:rPr>
    </w:lvl>
    <w:lvl w:ilvl="4" w:tplc="86AE371C" w:tentative="1">
      <w:start w:val="1"/>
      <w:numFmt w:val="bullet"/>
      <w:lvlText w:val="•"/>
      <w:lvlJc w:val="left"/>
      <w:pPr>
        <w:tabs>
          <w:tab w:val="num" w:pos="3600"/>
        </w:tabs>
        <w:ind w:left="3600" w:hanging="360"/>
      </w:pPr>
      <w:rPr>
        <w:rFonts w:ascii="Arial" w:hAnsi="Arial" w:hint="default"/>
      </w:rPr>
    </w:lvl>
    <w:lvl w:ilvl="5" w:tplc="BC10525E" w:tentative="1">
      <w:start w:val="1"/>
      <w:numFmt w:val="bullet"/>
      <w:lvlText w:val="•"/>
      <w:lvlJc w:val="left"/>
      <w:pPr>
        <w:tabs>
          <w:tab w:val="num" w:pos="4320"/>
        </w:tabs>
        <w:ind w:left="4320" w:hanging="360"/>
      </w:pPr>
      <w:rPr>
        <w:rFonts w:ascii="Arial" w:hAnsi="Arial" w:hint="default"/>
      </w:rPr>
    </w:lvl>
    <w:lvl w:ilvl="6" w:tplc="6EF41934" w:tentative="1">
      <w:start w:val="1"/>
      <w:numFmt w:val="bullet"/>
      <w:lvlText w:val="•"/>
      <w:lvlJc w:val="left"/>
      <w:pPr>
        <w:tabs>
          <w:tab w:val="num" w:pos="5040"/>
        </w:tabs>
        <w:ind w:left="5040" w:hanging="360"/>
      </w:pPr>
      <w:rPr>
        <w:rFonts w:ascii="Arial" w:hAnsi="Arial" w:hint="default"/>
      </w:rPr>
    </w:lvl>
    <w:lvl w:ilvl="7" w:tplc="25E079C2" w:tentative="1">
      <w:start w:val="1"/>
      <w:numFmt w:val="bullet"/>
      <w:lvlText w:val="•"/>
      <w:lvlJc w:val="left"/>
      <w:pPr>
        <w:tabs>
          <w:tab w:val="num" w:pos="5760"/>
        </w:tabs>
        <w:ind w:left="5760" w:hanging="360"/>
      </w:pPr>
      <w:rPr>
        <w:rFonts w:ascii="Arial" w:hAnsi="Arial" w:hint="default"/>
      </w:rPr>
    </w:lvl>
    <w:lvl w:ilvl="8" w:tplc="695EA7C8" w:tentative="1">
      <w:start w:val="1"/>
      <w:numFmt w:val="bullet"/>
      <w:lvlText w:val="•"/>
      <w:lvlJc w:val="left"/>
      <w:pPr>
        <w:tabs>
          <w:tab w:val="num" w:pos="6480"/>
        </w:tabs>
        <w:ind w:left="6480" w:hanging="360"/>
      </w:pPr>
      <w:rPr>
        <w:rFonts w:ascii="Arial" w:hAnsi="Arial" w:hint="default"/>
      </w:rPr>
    </w:lvl>
  </w:abstractNum>
  <w:abstractNum w:abstractNumId="641" w15:restartNumberingAfterBreak="0">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2" w15:restartNumberingAfterBreak="0">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643" w15:restartNumberingAfterBreak="0">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644" w15:restartNumberingAfterBreak="0">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5" w15:restartNumberingAfterBreak="0">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7" w15:restartNumberingAfterBreak="0">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8" w15:restartNumberingAfterBreak="0">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9" w15:restartNumberingAfterBreak="0">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15:restartNumberingAfterBreak="0">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54" w15:restartNumberingAfterBreak="0">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655" w15:restartNumberingAfterBreak="0">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656" w15:restartNumberingAfterBreak="0">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7" w15:restartNumberingAfterBreak="0">
    <w:nsid w:val="789379DD"/>
    <w:multiLevelType w:val="hybridMultilevel"/>
    <w:tmpl w:val="E28A8292"/>
    <w:lvl w:ilvl="0" w:tplc="EEEA0A42">
      <w:start w:val="1"/>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659" w15:restartNumberingAfterBreak="0">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662" w15:restartNumberingAfterBreak="0">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15:restartNumberingAfterBreak="0">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665" w15:restartNumberingAfterBreak="0">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8" w15:restartNumberingAfterBreak="0">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669" w15:restartNumberingAfterBreak="0">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15:restartNumberingAfterBreak="0">
    <w:nsid w:val="7AB711F6"/>
    <w:multiLevelType w:val="multilevel"/>
    <w:tmpl w:val="BB74ED9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2" w15:restartNumberingAfterBreak="0">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673" w15:restartNumberingAfterBreak="0">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74" w15:restartNumberingAfterBreak="0">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5" w15:restartNumberingAfterBreak="0">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6" w15:restartNumberingAfterBreak="0">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77" w15:restartNumberingAfterBreak="0">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9" w15:restartNumberingAfterBreak="0">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80" w15:restartNumberingAfterBreak="0">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15:restartNumberingAfterBreak="0">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2" w15:restartNumberingAfterBreak="0">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7CC90571"/>
    <w:multiLevelType w:val="hybridMultilevel"/>
    <w:tmpl w:val="B0C87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15:restartNumberingAfterBreak="0">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7" w15:restartNumberingAfterBreak="0">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8" w15:restartNumberingAfterBreak="0">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0" w15:restartNumberingAfterBreak="0">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1" w15:restartNumberingAfterBreak="0">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692" w15:restartNumberingAfterBreak="0">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3" w15:restartNumberingAfterBreak="0">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4" w15:restartNumberingAfterBreak="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95" w15:restartNumberingAfterBreak="0">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96" w15:restartNumberingAfterBreak="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98" w15:restartNumberingAfterBreak="0">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15:restartNumberingAfterBreak="0">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700"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1" w15:restartNumberingAfterBreak="0">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2" w15:restartNumberingAfterBreak="0">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3" w15:restartNumberingAfterBreak="0">
    <w:nsid w:val="7FE07DD3"/>
    <w:multiLevelType w:val="hybridMultilevel"/>
    <w:tmpl w:val="B1DC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5" w15:restartNumberingAfterBreak="0">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50"/>
  </w:num>
  <w:num w:numId="2">
    <w:abstractNumId w:val="594"/>
  </w:num>
  <w:num w:numId="3">
    <w:abstractNumId w:val="536"/>
  </w:num>
  <w:num w:numId="4">
    <w:abstractNumId w:val="417"/>
  </w:num>
  <w:num w:numId="5">
    <w:abstractNumId w:val="441"/>
  </w:num>
  <w:num w:numId="6">
    <w:abstractNumId w:val="54"/>
  </w:num>
  <w:num w:numId="7">
    <w:abstractNumId w:val="83"/>
  </w:num>
  <w:num w:numId="8">
    <w:abstractNumId w:val="73"/>
  </w:num>
  <w:num w:numId="9">
    <w:abstractNumId w:val="21"/>
  </w:num>
  <w:num w:numId="10">
    <w:abstractNumId w:val="20"/>
  </w:num>
  <w:num w:numId="11">
    <w:abstractNumId w:val="19"/>
  </w:num>
  <w:num w:numId="12">
    <w:abstractNumId w:val="18"/>
  </w:num>
  <w:num w:numId="13">
    <w:abstractNumId w:val="22"/>
  </w:num>
  <w:num w:numId="14">
    <w:abstractNumId w:val="17"/>
  </w:num>
  <w:num w:numId="15">
    <w:abstractNumId w:val="16"/>
  </w:num>
  <w:num w:numId="16">
    <w:abstractNumId w:val="15"/>
  </w:num>
  <w:num w:numId="17">
    <w:abstractNumId w:val="14"/>
  </w:num>
  <w:num w:numId="18">
    <w:abstractNumId w:val="202"/>
  </w:num>
  <w:num w:numId="19">
    <w:abstractNumId w:val="71"/>
  </w:num>
  <w:num w:numId="20">
    <w:abstractNumId w:val="232"/>
  </w:num>
  <w:num w:numId="21">
    <w:abstractNumId w:val="197"/>
  </w:num>
  <w:num w:numId="22">
    <w:abstractNumId w:val="457"/>
  </w:num>
  <w:num w:numId="23">
    <w:abstractNumId w:val="401"/>
  </w:num>
  <w:num w:numId="24">
    <w:abstractNumId w:val="183"/>
    <w:lvlOverride w:ilvl="2">
      <w:lvl w:ilvl="2">
        <w:start w:val="1"/>
        <w:numFmt w:val="decimal"/>
        <w:suff w:val="space"/>
        <w:lvlText w:val="%2.%1.%3"/>
        <w:lvlJc w:val="left"/>
        <w:pPr>
          <w:ind w:left="0" w:firstLine="0"/>
        </w:pPr>
        <w:rPr>
          <w:rFonts w:ascii="Calibri" w:hAnsi="Calibri" w:cs="Times New Roman" w:hint="default"/>
          <w:b/>
          <w:i w:val="0"/>
          <w:color w:val="auto"/>
          <w:sz w:val="20"/>
          <w:szCs w:val="20"/>
        </w:rPr>
      </w:lvl>
    </w:lvlOverride>
  </w:num>
  <w:num w:numId="25">
    <w:abstractNumId w:val="38"/>
  </w:num>
  <w:num w:numId="26">
    <w:abstractNumId w:val="186"/>
  </w:num>
  <w:num w:numId="27">
    <w:abstractNumId w:val="460"/>
  </w:num>
  <w:num w:numId="28">
    <w:abstractNumId w:val="45"/>
  </w:num>
  <w:num w:numId="29">
    <w:abstractNumId w:val="284"/>
  </w:num>
  <w:num w:numId="30">
    <w:abstractNumId w:val="63"/>
  </w:num>
  <w:num w:numId="31">
    <w:abstractNumId w:val="195"/>
  </w:num>
  <w:num w:numId="32">
    <w:abstractNumId w:val="198"/>
  </w:num>
  <w:num w:numId="33">
    <w:abstractNumId w:val="549"/>
  </w:num>
  <w:num w:numId="34">
    <w:abstractNumId w:val="74"/>
  </w:num>
  <w:num w:numId="35">
    <w:abstractNumId w:val="491"/>
  </w:num>
  <w:num w:numId="36">
    <w:abstractNumId w:val="641"/>
  </w:num>
  <w:num w:numId="37">
    <w:abstractNumId w:val="328"/>
  </w:num>
  <w:num w:numId="38">
    <w:abstractNumId w:val="306"/>
  </w:num>
  <w:num w:numId="39">
    <w:abstractNumId w:val="434"/>
  </w:num>
  <w:num w:numId="40">
    <w:abstractNumId w:val="174"/>
  </w:num>
  <w:num w:numId="41">
    <w:abstractNumId w:val="361"/>
  </w:num>
  <w:num w:numId="42">
    <w:abstractNumId w:val="545"/>
  </w:num>
  <w:num w:numId="43">
    <w:abstractNumId w:val="167"/>
  </w:num>
  <w:num w:numId="44">
    <w:abstractNumId w:val="166"/>
  </w:num>
  <w:num w:numId="45">
    <w:abstractNumId w:val="212"/>
  </w:num>
  <w:num w:numId="46">
    <w:abstractNumId w:val="91"/>
  </w:num>
  <w:num w:numId="47">
    <w:abstractNumId w:val="505"/>
  </w:num>
  <w:num w:numId="48">
    <w:abstractNumId w:val="194"/>
  </w:num>
  <w:num w:numId="49">
    <w:abstractNumId w:val="248"/>
  </w:num>
  <w:num w:numId="50">
    <w:abstractNumId w:val="602"/>
  </w:num>
  <w:num w:numId="51">
    <w:abstractNumId w:val="88"/>
  </w:num>
  <w:num w:numId="52">
    <w:abstractNumId w:val="498"/>
  </w:num>
  <w:num w:numId="53">
    <w:abstractNumId w:val="360"/>
  </w:num>
  <w:num w:numId="54">
    <w:abstractNumId w:val="577"/>
  </w:num>
  <w:num w:numId="55">
    <w:abstractNumId w:val="233"/>
  </w:num>
  <w:num w:numId="56">
    <w:abstractNumId w:val="493"/>
  </w:num>
  <w:num w:numId="57">
    <w:abstractNumId w:val="165"/>
  </w:num>
  <w:num w:numId="58">
    <w:abstractNumId w:val="218"/>
  </w:num>
  <w:num w:numId="59">
    <w:abstractNumId w:val="28"/>
  </w:num>
  <w:num w:numId="60">
    <w:abstractNumId w:val="238"/>
  </w:num>
  <w:num w:numId="61">
    <w:abstractNumId w:val="264"/>
  </w:num>
  <w:num w:numId="62">
    <w:abstractNumId w:val="286"/>
  </w:num>
  <w:num w:numId="63">
    <w:abstractNumId w:val="435"/>
  </w:num>
  <w:num w:numId="64">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3"/>
  </w:num>
  <w:num w:numId="67">
    <w:abstractNumId w:val="482"/>
  </w:num>
  <w:num w:numId="68">
    <w:abstractNumId w:val="698"/>
  </w:num>
  <w:num w:numId="69">
    <w:abstractNumId w:val="696"/>
  </w:num>
  <w:num w:numId="70">
    <w:abstractNumId w:val="660"/>
  </w:num>
  <w:num w:numId="71">
    <w:abstractNumId w:val="442"/>
  </w:num>
  <w:num w:numId="72">
    <w:abstractNumId w:val="262"/>
  </w:num>
  <w:num w:numId="73">
    <w:abstractNumId w:val="55"/>
  </w:num>
  <w:num w:numId="74">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6"/>
  </w:num>
  <w:num w:numId="76">
    <w:abstractNumId w:val="646"/>
  </w:num>
  <w:num w:numId="77">
    <w:abstractNumId w:val="669"/>
  </w:num>
  <w:num w:numId="78">
    <w:abstractNumId w:val="173"/>
  </w:num>
  <w:num w:numId="79">
    <w:abstractNumId w:val="581"/>
  </w:num>
  <w:num w:numId="80">
    <w:abstractNumId w:val="309"/>
  </w:num>
  <w:num w:numId="81">
    <w:abstractNumId w:val="487"/>
  </w:num>
  <w:num w:numId="82">
    <w:abstractNumId w:val="106"/>
  </w:num>
  <w:num w:numId="83">
    <w:abstractNumId w:val="280"/>
  </w:num>
  <w:num w:numId="84">
    <w:abstractNumId w:val="338"/>
  </w:num>
  <w:num w:numId="85">
    <w:abstractNumId w:val="189"/>
  </w:num>
  <w:num w:numId="86">
    <w:abstractNumId w:val="381"/>
  </w:num>
  <w:num w:numId="87">
    <w:abstractNumId w:val="542"/>
  </w:num>
  <w:num w:numId="88">
    <w:abstractNumId w:val="515"/>
  </w:num>
  <w:num w:numId="89">
    <w:abstractNumId w:val="53"/>
  </w:num>
  <w:num w:numId="90">
    <w:abstractNumId w:val="334"/>
  </w:num>
  <w:num w:numId="91">
    <w:abstractNumId w:val="461"/>
  </w:num>
  <w:num w:numId="92">
    <w:abstractNumId w:val="463"/>
  </w:num>
  <w:num w:numId="93">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7"/>
  </w:num>
  <w:num w:numId="95">
    <w:abstractNumId w:val="342"/>
  </w:num>
  <w:num w:numId="96">
    <w:abstractNumId w:val="501"/>
  </w:num>
  <w:num w:numId="97">
    <w:abstractNumId w:val="688"/>
  </w:num>
  <w:num w:numId="98">
    <w:abstractNumId w:val="628"/>
  </w:num>
  <w:num w:numId="99">
    <w:abstractNumId w:val="70"/>
  </w:num>
  <w:num w:numId="100">
    <w:abstractNumId w:val="451"/>
  </w:num>
  <w:num w:numId="101">
    <w:abstractNumId w:val="344"/>
  </w:num>
  <w:num w:numId="102">
    <w:abstractNumId w:val="639"/>
  </w:num>
  <w:num w:numId="103">
    <w:abstractNumId w:val="699"/>
  </w:num>
  <w:num w:numId="104">
    <w:abstractNumId w:val="600"/>
  </w:num>
  <w:num w:numId="105">
    <w:abstractNumId w:val="39"/>
  </w:num>
  <w:num w:numId="106">
    <w:abstractNumId w:val="504"/>
  </w:num>
  <w:num w:numId="107">
    <w:abstractNumId w:val="253"/>
  </w:num>
  <w:num w:numId="108">
    <w:abstractNumId w:val="225"/>
  </w:num>
  <w:num w:numId="109">
    <w:abstractNumId w:val="582"/>
  </w:num>
  <w:num w:numId="110">
    <w:abstractNumId w:val="50"/>
  </w:num>
  <w:num w:numId="111">
    <w:abstractNumId w:val="484"/>
  </w:num>
  <w:num w:numId="112">
    <w:abstractNumId w:val="586"/>
  </w:num>
  <w:num w:numId="113">
    <w:abstractNumId w:val="510"/>
  </w:num>
  <w:num w:numId="114">
    <w:abstractNumId w:val="555"/>
  </w:num>
  <w:num w:numId="115">
    <w:abstractNumId w:val="111"/>
  </w:num>
  <w:num w:numId="116">
    <w:abstractNumId w:val="575"/>
  </w:num>
  <w:num w:numId="117">
    <w:abstractNumId w:val="467"/>
  </w:num>
  <w:num w:numId="118">
    <w:abstractNumId w:val="142"/>
  </w:num>
  <w:num w:numId="119">
    <w:abstractNumId w:val="112"/>
  </w:num>
  <w:num w:numId="120">
    <w:abstractNumId w:val="149"/>
  </w:num>
  <w:num w:numId="121">
    <w:abstractNumId w:val="478"/>
  </w:num>
  <w:num w:numId="122">
    <w:abstractNumId w:val="496"/>
  </w:num>
  <w:num w:numId="123">
    <w:abstractNumId w:val="591"/>
  </w:num>
  <w:num w:numId="124">
    <w:abstractNumId w:val="290"/>
  </w:num>
  <w:num w:numId="125">
    <w:abstractNumId w:val="616"/>
  </w:num>
  <w:num w:numId="126">
    <w:abstractNumId w:val="672"/>
  </w:num>
  <w:num w:numId="127">
    <w:abstractNumId w:val="254"/>
  </w:num>
  <w:num w:numId="128">
    <w:abstractNumId w:val="101"/>
  </w:num>
  <w:num w:numId="129">
    <w:abstractNumId w:val="350"/>
  </w:num>
  <w:num w:numId="130">
    <w:abstractNumId w:val="396"/>
  </w:num>
  <w:num w:numId="131">
    <w:abstractNumId w:val="138"/>
  </w:num>
  <w:num w:numId="132">
    <w:abstractNumId w:val="440"/>
  </w:num>
  <w:num w:numId="133">
    <w:abstractNumId w:val="288"/>
  </w:num>
  <w:num w:numId="134">
    <w:abstractNumId w:val="132"/>
  </w:num>
  <w:num w:numId="135">
    <w:abstractNumId w:val="584"/>
  </w:num>
  <w:num w:numId="136">
    <w:abstractNumId w:val="246"/>
  </w:num>
  <w:num w:numId="137">
    <w:abstractNumId w:val="406"/>
  </w:num>
  <w:num w:numId="138">
    <w:abstractNumId w:val="637"/>
  </w:num>
  <w:num w:numId="139">
    <w:abstractNumId w:val="129"/>
  </w:num>
  <w:num w:numId="140">
    <w:abstractNumId w:val="606"/>
  </w:num>
  <w:num w:numId="141">
    <w:abstractNumId w:val="476"/>
  </w:num>
  <w:num w:numId="142">
    <w:abstractNumId w:val="115"/>
  </w:num>
  <w:num w:numId="143">
    <w:abstractNumId w:val="365"/>
  </w:num>
  <w:num w:numId="144">
    <w:abstractNumId w:val="485"/>
  </w:num>
  <w:num w:numId="145">
    <w:abstractNumId w:val="314"/>
  </w:num>
  <w:num w:numId="146">
    <w:abstractNumId w:val="447"/>
  </w:num>
  <w:num w:numId="147">
    <w:abstractNumId w:val="674"/>
  </w:num>
  <w:num w:numId="148">
    <w:abstractNumId w:val="685"/>
  </w:num>
  <w:num w:numId="149">
    <w:abstractNumId w:val="647"/>
  </w:num>
  <w:num w:numId="150">
    <w:abstractNumId w:val="705"/>
  </w:num>
  <w:num w:numId="151">
    <w:abstractNumId w:val="282"/>
  </w:num>
  <w:num w:numId="152">
    <w:abstractNumId w:val="388"/>
  </w:num>
  <w:num w:numId="153">
    <w:abstractNumId w:val="393"/>
  </w:num>
  <w:num w:numId="154">
    <w:abstractNumId w:val="239"/>
  </w:num>
  <w:num w:numId="155">
    <w:abstractNumId w:val="110"/>
  </w:num>
  <w:num w:numId="156">
    <w:abstractNumId w:val="378"/>
  </w:num>
  <w:num w:numId="157">
    <w:abstractNumId w:val="211"/>
  </w:num>
  <w:num w:numId="158">
    <w:abstractNumId w:val="537"/>
  </w:num>
  <w:num w:numId="159">
    <w:abstractNumId w:val="522"/>
  </w:num>
  <w:num w:numId="160">
    <w:abstractNumId w:val="566"/>
  </w:num>
  <w:num w:numId="16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23"/>
  </w:num>
  <w:num w:numId="199">
    <w:abstractNumId w:val="419"/>
  </w:num>
  <w:num w:numId="200">
    <w:abstractNumId w:val="414"/>
  </w:num>
  <w:num w:numId="201">
    <w:abstractNumId w:val="94"/>
  </w:num>
  <w:num w:numId="20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63"/>
  </w:num>
  <w:num w:numId="204">
    <w:abstractNumId w:val="444"/>
  </w:num>
  <w:num w:numId="205">
    <w:abstractNumId w:val="214"/>
  </w:num>
  <w:num w:numId="206">
    <w:abstractNumId w:val="525"/>
  </w:num>
  <w:num w:numId="207">
    <w:abstractNumId w:val="151"/>
  </w:num>
  <w:num w:numId="208">
    <w:abstractNumId w:val="308"/>
  </w:num>
  <w:num w:numId="209">
    <w:abstractNumId w:val="237"/>
  </w:num>
  <w:num w:numId="210">
    <w:abstractNumId w:val="578"/>
  </w:num>
  <w:num w:numId="211">
    <w:abstractNumId w:val="322"/>
  </w:num>
  <w:num w:numId="212">
    <w:abstractNumId w:val="247"/>
  </w:num>
  <w:num w:numId="213">
    <w:abstractNumId w:val="494"/>
  </w:num>
  <w:num w:numId="214">
    <w:abstractNumId w:val="656"/>
  </w:num>
  <w:num w:numId="215">
    <w:abstractNumId w:val="67"/>
  </w:num>
  <w:num w:numId="216">
    <w:abstractNumId w:val="568"/>
  </w:num>
  <w:num w:numId="217">
    <w:abstractNumId w:val="691"/>
  </w:num>
  <w:num w:numId="218">
    <w:abstractNumId w:val="204"/>
  </w:num>
  <w:num w:numId="219">
    <w:abstractNumId w:val="572"/>
  </w:num>
  <w:num w:numId="220">
    <w:abstractNumId w:val="613"/>
  </w:num>
  <w:num w:numId="221">
    <w:abstractNumId w:val="336"/>
  </w:num>
  <w:num w:numId="222">
    <w:abstractNumId w:val="59"/>
  </w:num>
  <w:num w:numId="223">
    <w:abstractNumId w:val="492"/>
  </w:num>
  <w:num w:numId="224">
    <w:abstractNumId w:val="517"/>
  </w:num>
  <w:num w:numId="225">
    <w:abstractNumId w:val="459"/>
  </w:num>
  <w:num w:numId="226">
    <w:abstractNumId w:val="410"/>
  </w:num>
  <w:num w:numId="227">
    <w:abstractNumId w:val="96"/>
  </w:num>
  <w:num w:numId="228">
    <w:abstractNumId w:val="588"/>
  </w:num>
  <w:num w:numId="229">
    <w:abstractNumId w:val="120"/>
  </w:num>
  <w:num w:numId="230">
    <w:abstractNumId w:val="624"/>
  </w:num>
  <w:num w:numId="231">
    <w:abstractNumId w:val="90"/>
  </w:num>
  <w:num w:numId="232">
    <w:abstractNumId w:val="320"/>
  </w:num>
  <w:num w:numId="233">
    <w:abstractNumId w:val="560"/>
  </w:num>
  <w:num w:numId="234">
    <w:abstractNumId w:val="680"/>
  </w:num>
  <w:num w:numId="235">
    <w:abstractNumId w:val="371"/>
  </w:num>
  <w:num w:numId="236">
    <w:abstractNumId w:val="68"/>
  </w:num>
  <w:num w:numId="237">
    <w:abstractNumId w:val="593"/>
  </w:num>
  <w:num w:numId="238">
    <w:abstractNumId w:val="348"/>
  </w:num>
  <w:num w:numId="239">
    <w:abstractNumId w:val="486"/>
  </w:num>
  <w:num w:numId="240">
    <w:abstractNumId w:val="629"/>
  </w:num>
  <w:num w:numId="241">
    <w:abstractNumId w:val="661"/>
  </w:num>
  <w:num w:numId="242">
    <w:abstractNumId w:val="133"/>
  </w:num>
  <w:num w:numId="243">
    <w:abstractNumId w:val="678"/>
  </w:num>
  <w:num w:numId="244">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8"/>
  </w:num>
  <w:num w:numId="246">
    <w:abstractNumId w:val="367"/>
  </w:num>
  <w:num w:numId="247">
    <w:abstractNumId w:val="667"/>
  </w:num>
  <w:num w:numId="248">
    <w:abstractNumId w:val="682"/>
  </w:num>
  <w:num w:numId="249">
    <w:abstractNumId w:val="369"/>
  </w:num>
  <w:num w:numId="250">
    <w:abstractNumId w:val="275"/>
  </w:num>
  <w:num w:numId="251">
    <w:abstractNumId w:val="636"/>
  </w:num>
  <w:num w:numId="252">
    <w:abstractNumId w:val="5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2"/>
  </w:num>
  <w:num w:numId="254">
    <w:abstractNumId w:val="351"/>
  </w:num>
  <w:num w:numId="255">
    <w:abstractNumId w:val="605"/>
  </w:num>
  <w:num w:numId="256">
    <w:abstractNumId w:val="119"/>
  </w:num>
  <w:num w:numId="257">
    <w:abstractNumId w:val="627"/>
  </w:num>
  <w:num w:numId="258">
    <w:abstractNumId w:val="534"/>
  </w:num>
  <w:num w:numId="259">
    <w:abstractNumId w:val="659"/>
  </w:num>
  <w:num w:numId="260">
    <w:abstractNumId w:val="191"/>
  </w:num>
  <w:num w:numId="261">
    <w:abstractNumId w:val="372"/>
  </w:num>
  <w:num w:numId="262">
    <w:abstractNumId w:val="220"/>
  </w:num>
  <w:num w:numId="263">
    <w:abstractNumId w:val="643"/>
  </w:num>
  <w:num w:numId="264">
    <w:abstractNumId w:val="79"/>
  </w:num>
  <w:num w:numId="265">
    <w:abstractNumId w:val="201"/>
  </w:num>
  <w:num w:numId="266">
    <w:abstractNumId w:val="702"/>
  </w:num>
  <w:num w:numId="26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31"/>
  </w:num>
  <w:num w:numId="270">
    <w:abstractNumId w:val="569"/>
  </w:num>
  <w:num w:numId="271">
    <w:abstractNumId w:val="554"/>
  </w:num>
  <w:num w:numId="27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35"/>
  </w:num>
  <w:num w:numId="274">
    <w:abstractNumId w:val="179"/>
  </w:num>
  <w:num w:numId="275">
    <w:abstractNumId w:val="689"/>
  </w:num>
  <w:num w:numId="276">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27"/>
  </w:num>
  <w:num w:numId="283">
    <w:abstractNumId w:val="448"/>
  </w:num>
  <w:num w:numId="284">
    <w:abstractNumId w:val="380"/>
  </w:num>
  <w:num w:numId="285">
    <w:abstractNumId w:val="553"/>
  </w:num>
  <w:num w:numId="286">
    <w:abstractNumId w:val="362"/>
  </w:num>
  <w:num w:numId="287">
    <w:abstractNumId w:val="75"/>
  </w:num>
  <w:num w:numId="288">
    <w:abstractNumId w:val="42"/>
  </w:num>
  <w:num w:numId="289">
    <w:abstractNumId w:val="245"/>
  </w:num>
  <w:num w:numId="290">
    <w:abstractNumId w:val="242"/>
  </w:num>
  <w:num w:numId="291">
    <w:abstractNumId w:val="511"/>
  </w:num>
  <w:num w:numId="292">
    <w:abstractNumId w:val="23"/>
  </w:num>
  <w:num w:numId="293">
    <w:abstractNumId w:val="655"/>
  </w:num>
  <w:num w:numId="294">
    <w:abstractNumId w:val="259"/>
  </w:num>
  <w:num w:numId="295">
    <w:abstractNumId w:val="251"/>
  </w:num>
  <w:num w:numId="296">
    <w:abstractNumId w:val="250"/>
  </w:num>
  <w:num w:numId="297">
    <w:abstractNumId w:val="196"/>
  </w:num>
  <w:num w:numId="298">
    <w:abstractNumId w:val="437"/>
  </w:num>
  <w:num w:numId="299">
    <w:abstractNumId w:val="300"/>
  </w:num>
  <w:num w:numId="300">
    <w:abstractNumId w:val="34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529"/>
  </w:num>
  <w:num w:numId="302">
    <w:abstractNumId w:val="468"/>
  </w:num>
  <w:num w:numId="303">
    <w:abstractNumId w:val="527"/>
  </w:num>
  <w:num w:numId="304">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5"/>
  </w:num>
  <w:num w:numId="306">
    <w:abstractNumId w:val="528"/>
  </w:num>
  <w:num w:numId="307">
    <w:abstractNumId w:val="123"/>
  </w:num>
  <w:num w:numId="308">
    <w:abstractNumId w:val="64"/>
  </w:num>
  <w:num w:numId="309">
    <w:abstractNumId w:val="223"/>
  </w:num>
  <w:num w:numId="310">
    <w:abstractNumId w:val="673"/>
  </w:num>
  <w:num w:numId="311">
    <w:abstractNumId w:val="105"/>
  </w:num>
  <w:num w:numId="312">
    <w:abstractNumId w:val="47"/>
  </w:num>
  <w:num w:numId="313">
    <w:abstractNumId w:val="240"/>
  </w:num>
  <w:num w:numId="314">
    <w:abstractNumId w:val="354"/>
  </w:num>
  <w:num w:numId="315">
    <w:abstractNumId w:val="182"/>
  </w:num>
  <w:num w:numId="316">
    <w:abstractNumId w:val="400"/>
  </w:num>
  <w:num w:numId="317">
    <w:abstractNumId w:val="29"/>
  </w:num>
  <w:num w:numId="318">
    <w:abstractNumId w:val="392"/>
  </w:num>
  <w:num w:numId="319">
    <w:abstractNumId w:val="127"/>
  </w:num>
  <w:num w:numId="320">
    <w:abstractNumId w:val="170"/>
  </w:num>
  <w:num w:numId="321">
    <w:abstractNumId w:val="664"/>
  </w:num>
  <w:num w:numId="322">
    <w:abstractNumId w:val="270"/>
  </w:num>
  <w:num w:numId="323">
    <w:abstractNumId w:val="571"/>
  </w:num>
  <w:num w:numId="324">
    <w:abstractNumId w:val="608"/>
  </w:num>
  <w:num w:numId="325">
    <w:abstractNumId w:val="122"/>
  </w:num>
  <w:num w:numId="326">
    <w:abstractNumId w:val="551"/>
  </w:num>
  <w:num w:numId="327">
    <w:abstractNumId w:val="385"/>
  </w:num>
  <w:num w:numId="328">
    <w:abstractNumId w:val="677"/>
  </w:num>
  <w:num w:numId="329">
    <w:abstractNumId w:val="562"/>
  </w:num>
  <w:num w:numId="330">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524"/>
  </w:num>
  <w:num w:numId="332">
    <w:abstractNumId w:val="164"/>
  </w:num>
  <w:num w:numId="333">
    <w:abstractNumId w:val="261"/>
  </w:num>
  <w:num w:numId="334">
    <w:abstractNumId w:val="665"/>
  </w:num>
  <w:num w:numId="335">
    <w:abstractNumId w:val="564"/>
  </w:num>
  <w:num w:numId="336">
    <w:abstractNumId w:val="366"/>
  </w:num>
  <w:num w:numId="337">
    <w:abstractNumId w:val="43"/>
  </w:num>
  <w:num w:numId="338">
    <w:abstractNumId w:val="618"/>
  </w:num>
  <w:num w:numId="339">
    <w:abstractNumId w:val="418"/>
  </w:num>
  <w:num w:numId="340">
    <w:abstractNumId w:val="35"/>
  </w:num>
  <w:num w:numId="341">
    <w:abstractNumId w:val="424"/>
  </w:num>
  <w:num w:numId="342">
    <w:abstractNumId w:val="386"/>
  </w:num>
  <w:num w:numId="343">
    <w:abstractNumId w:val="651"/>
  </w:num>
  <w:num w:numId="344">
    <w:abstractNumId w:val="340"/>
  </w:num>
  <w:num w:numId="345">
    <w:abstractNumId w:val="131"/>
  </w:num>
  <w:num w:numId="346">
    <w:abstractNumId w:val="538"/>
  </w:num>
  <w:num w:numId="347">
    <w:abstractNumId w:val="224"/>
  </w:num>
  <w:num w:numId="348">
    <w:abstractNumId w:val="210"/>
  </w:num>
  <w:num w:numId="349">
    <w:abstractNumId w:val="601"/>
  </w:num>
  <w:num w:numId="350">
    <w:abstractNumId w:val="311"/>
  </w:num>
  <w:num w:numId="351">
    <w:abstractNumId w:val="411"/>
  </w:num>
  <w:num w:numId="352">
    <w:abstractNumId w:val="619"/>
  </w:num>
  <w:num w:numId="353">
    <w:abstractNumId w:val="454"/>
  </w:num>
  <w:num w:numId="354">
    <w:abstractNumId w:val="190"/>
  </w:num>
  <w:num w:numId="355">
    <w:abstractNumId w:val="227"/>
  </w:num>
  <w:num w:numId="356">
    <w:abstractNumId w:val="228"/>
  </w:num>
  <w:num w:numId="357">
    <w:abstractNumId w:val="86"/>
  </w:num>
  <w:num w:numId="358">
    <w:abstractNumId w:val="663"/>
  </w:num>
  <w:num w:numId="359">
    <w:abstractNumId w:val="323"/>
  </w:num>
  <w:num w:numId="360">
    <w:abstractNumId w:val="244"/>
  </w:num>
  <w:num w:numId="361">
    <w:abstractNumId w:val="297"/>
  </w:num>
  <w:num w:numId="362">
    <w:abstractNumId w:val="271"/>
  </w:num>
  <w:num w:numId="363">
    <w:abstractNumId w:val="97"/>
  </w:num>
  <w:num w:numId="364">
    <w:abstractNumId w:val="139"/>
  </w:num>
  <w:num w:numId="365">
    <w:abstractNumId w:val="521"/>
  </w:num>
  <w:num w:numId="366">
    <w:abstractNumId w:val="446"/>
  </w:num>
  <w:num w:numId="367">
    <w:abstractNumId w:val="500"/>
  </w:num>
  <w:num w:numId="368">
    <w:abstractNumId w:val="278"/>
  </w:num>
  <w:num w:numId="369">
    <w:abstractNumId w:val="558"/>
  </w:num>
  <w:num w:numId="370">
    <w:abstractNumId w:val="267"/>
  </w:num>
  <w:num w:numId="371">
    <w:abstractNumId w:val="134"/>
  </w:num>
  <w:num w:numId="372">
    <w:abstractNumId w:val="236"/>
  </w:num>
  <w:num w:numId="373">
    <w:abstractNumId w:val="130"/>
  </w:num>
  <w:num w:numId="374">
    <w:abstractNumId w:val="445"/>
  </w:num>
  <w:num w:numId="375">
    <w:abstractNumId w:val="573"/>
  </w:num>
  <w:num w:numId="376">
    <w:abstractNumId w:val="93"/>
  </w:num>
  <w:num w:numId="377">
    <w:abstractNumId w:val="324"/>
  </w:num>
  <w:num w:numId="378">
    <w:abstractNumId w:val="701"/>
  </w:num>
  <w:num w:numId="379">
    <w:abstractNumId w:val="80"/>
  </w:num>
  <w:num w:numId="380">
    <w:abstractNumId w:val="109"/>
  </w:num>
  <w:num w:numId="381">
    <w:abstractNumId w:val="425"/>
  </w:num>
  <w:num w:numId="382">
    <w:abstractNumId w:val="439"/>
  </w:num>
  <w:num w:numId="383">
    <w:abstractNumId w:val="241"/>
  </w:num>
  <w:num w:numId="384">
    <w:abstractNumId w:val="199"/>
  </w:num>
  <w:num w:numId="385">
    <w:abstractNumId w:val="87"/>
  </w:num>
  <w:num w:numId="386">
    <w:abstractNumId w:val="357"/>
  </w:num>
  <w:num w:numId="387">
    <w:abstractNumId w:val="52"/>
  </w:num>
  <w:num w:numId="388">
    <w:abstractNumId w:val="303"/>
  </w:num>
  <w:num w:numId="389">
    <w:abstractNumId w:val="207"/>
  </w:num>
  <w:num w:numId="390">
    <w:abstractNumId w:val="147"/>
  </w:num>
  <w:num w:numId="391">
    <w:abstractNumId w:val="589"/>
  </w:num>
  <w:num w:numId="392">
    <w:abstractNumId w:val="686"/>
  </w:num>
  <w:num w:numId="393">
    <w:abstractNumId w:val="285"/>
  </w:num>
  <w:num w:numId="394">
    <w:abstractNumId w:val="172"/>
  </w:num>
  <w:num w:numId="395">
    <w:abstractNumId w:val="318"/>
  </w:num>
  <w:num w:numId="396">
    <w:abstractNumId w:val="128"/>
  </w:num>
  <w:num w:numId="397">
    <w:abstractNumId w:val="137"/>
  </w:num>
  <w:num w:numId="398">
    <w:abstractNumId w:val="272"/>
  </w:num>
  <w:num w:numId="399">
    <w:abstractNumId w:val="687"/>
  </w:num>
  <w:num w:numId="400">
    <w:abstractNumId w:val="585"/>
  </w:num>
  <w:num w:numId="401">
    <w:abstractNumId w:val="506"/>
  </w:num>
  <w:num w:numId="402">
    <w:abstractNumId w:val="426"/>
  </w:num>
  <w:num w:numId="403">
    <w:abstractNumId w:val="645"/>
  </w:num>
  <w:num w:numId="404">
    <w:abstractNumId w:val="403"/>
  </w:num>
  <w:num w:numId="405">
    <w:abstractNumId w:val="412"/>
  </w:num>
  <w:num w:numId="406">
    <w:abstractNumId w:val="407"/>
  </w:num>
  <w:num w:numId="407">
    <w:abstractNumId w:val="630"/>
  </w:num>
  <w:num w:numId="408">
    <w:abstractNumId w:val="614"/>
  </w:num>
  <w:num w:numId="409">
    <w:abstractNumId w:val="363"/>
  </w:num>
  <w:num w:numId="410">
    <w:abstractNumId w:val="374"/>
  </w:num>
  <w:num w:numId="411">
    <w:abstractNumId w:val="552"/>
  </w:num>
  <w:num w:numId="412">
    <w:abstractNumId w:val="121"/>
  </w:num>
  <w:num w:numId="413">
    <w:abstractNumId w:val="177"/>
  </w:num>
  <w:num w:numId="414">
    <w:abstractNumId w:val="676"/>
  </w:num>
  <w:num w:numId="415">
    <w:abstractNumId w:val="520"/>
  </w:num>
  <w:num w:numId="416">
    <w:abstractNumId w:val="175"/>
  </w:num>
  <w:num w:numId="417">
    <w:abstractNumId w:val="535"/>
  </w:num>
  <w:num w:numId="418">
    <w:abstractNumId w:val="611"/>
  </w:num>
  <w:num w:numId="419">
    <w:abstractNumId w:val="171"/>
  </w:num>
  <w:num w:numId="420">
    <w:abstractNumId w:val="333"/>
  </w:num>
  <w:num w:numId="421">
    <w:abstractNumId w:val="653"/>
  </w:num>
  <w:num w:numId="422">
    <w:abstractNumId w:val="402"/>
  </w:num>
  <w:num w:numId="423">
    <w:abstractNumId w:val="592"/>
  </w:num>
  <w:num w:numId="424">
    <w:abstractNumId w:val="221"/>
  </w:num>
  <w:num w:numId="425">
    <w:abstractNumId w:val="203"/>
  </w:num>
  <w:num w:numId="426">
    <w:abstractNumId w:val="331"/>
  </w:num>
  <w:num w:numId="427">
    <w:abstractNumId w:val="62"/>
  </w:num>
  <w:num w:numId="428">
    <w:abstractNumId w:val="317"/>
  </w:num>
  <w:num w:numId="429">
    <w:abstractNumId w:val="603"/>
  </w:num>
  <w:num w:numId="430">
    <w:abstractNumId w:val="99"/>
  </w:num>
  <w:num w:numId="431">
    <w:abstractNumId w:val="230"/>
  </w:num>
  <w:num w:numId="432">
    <w:abstractNumId w:val="213"/>
  </w:num>
  <w:num w:numId="433">
    <w:abstractNumId w:val="313"/>
  </w:num>
  <w:num w:numId="434">
    <w:abstractNumId w:val="107"/>
  </w:num>
  <w:num w:numId="435">
    <w:abstractNumId w:val="77"/>
  </w:num>
  <w:num w:numId="436">
    <w:abstractNumId w:val="436"/>
  </w:num>
  <w:num w:numId="437">
    <w:abstractNumId w:val="530"/>
  </w:num>
  <w:num w:numId="438">
    <w:abstractNumId w:val="158"/>
  </w:num>
  <w:num w:numId="439">
    <w:abstractNumId w:val="518"/>
  </w:num>
  <w:num w:numId="440">
    <w:abstractNumId w:val="609"/>
  </w:num>
  <w:num w:numId="441">
    <w:abstractNumId w:val="316"/>
  </w:num>
  <w:num w:numId="442">
    <w:abstractNumId w:val="41"/>
  </w:num>
  <w:num w:numId="443">
    <w:abstractNumId w:val="598"/>
  </w:num>
  <w:num w:numId="444">
    <w:abstractNumId w:val="654"/>
  </w:num>
  <w:num w:numId="445">
    <w:abstractNumId w:val="420"/>
  </w:num>
  <w:num w:numId="446">
    <w:abstractNumId w:val="405"/>
  </w:num>
  <w:num w:numId="447">
    <w:abstractNumId w:val="66"/>
  </w:num>
  <w:num w:numId="448">
    <w:abstractNumId w:val="148"/>
  </w:num>
  <w:num w:numId="449">
    <w:abstractNumId w:val="681"/>
  </w:num>
  <w:num w:numId="450">
    <w:abstractNumId w:val="184"/>
  </w:num>
  <w:num w:numId="451">
    <w:abstractNumId w:val="161"/>
  </w:num>
  <w:num w:numId="452">
    <w:abstractNumId w:val="299"/>
  </w:num>
  <w:num w:numId="453">
    <w:abstractNumId w:val="428"/>
  </w:num>
  <w:num w:numId="454">
    <w:abstractNumId w:val="188"/>
  </w:num>
  <w:num w:numId="455">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395"/>
  </w:num>
  <w:num w:numId="457">
    <w:abstractNumId w:val="508"/>
  </w:num>
  <w:num w:numId="458">
    <w:abstractNumId w:val="546"/>
  </w:num>
  <w:num w:numId="459">
    <w:abstractNumId w:val="124"/>
  </w:num>
  <w:num w:numId="460">
    <w:abstractNumId w:val="304"/>
  </w:num>
  <w:num w:numId="461">
    <w:abstractNumId w:val="155"/>
  </w:num>
  <w:num w:numId="462">
    <w:abstractNumId w:val="455"/>
  </w:num>
  <w:num w:numId="463">
    <w:abstractNumId w:val="27"/>
  </w:num>
  <w:num w:numId="464">
    <w:abstractNumId w:val="433"/>
  </w:num>
  <w:num w:numId="465">
    <w:abstractNumId w:val="474"/>
  </w:num>
  <w:num w:numId="466">
    <w:abstractNumId w:val="704"/>
  </w:num>
  <w:num w:numId="467">
    <w:abstractNumId w:val="265"/>
  </w:num>
  <w:num w:numId="468">
    <w:abstractNumId w:val="543"/>
  </w:num>
  <w:num w:numId="469">
    <w:abstractNumId w:val="590"/>
  </w:num>
  <w:num w:numId="470">
    <w:abstractNumId w:val="200"/>
  </w:num>
  <w:num w:numId="471">
    <w:abstractNumId w:val="76"/>
  </w:num>
  <w:num w:numId="472">
    <w:abstractNumId w:val="574"/>
  </w:num>
  <w:num w:numId="473">
    <w:abstractNumId w:val="294"/>
  </w:num>
  <w:num w:numId="474">
    <w:abstractNumId w:val="291"/>
  </w:num>
  <w:num w:numId="475">
    <w:abstractNumId w:val="315"/>
  </w:num>
  <w:num w:numId="476">
    <w:abstractNumId w:val="30"/>
  </w:num>
  <w:num w:numId="477">
    <w:abstractNumId w:val="293"/>
  </w:num>
  <w:num w:numId="478">
    <w:abstractNumId w:val="415"/>
  </w:num>
  <w:num w:numId="479">
    <w:abstractNumId w:val="634"/>
  </w:num>
  <w:num w:numId="480">
    <w:abstractNumId w:val="449"/>
  </w:num>
  <w:num w:numId="481">
    <w:abstractNumId w:val="192"/>
  </w:num>
  <w:num w:numId="482">
    <w:abstractNumId w:val="583"/>
  </w:num>
  <w:num w:numId="483">
    <w:abstractNumId w:val="409"/>
  </w:num>
  <w:num w:numId="484">
    <w:abstractNumId w:val="326"/>
  </w:num>
  <w:num w:numId="485">
    <w:abstractNumId w:val="516"/>
  </w:num>
  <w:num w:numId="486">
    <w:abstractNumId w:val="4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25"/>
  </w:num>
  <w:num w:numId="488">
    <w:abstractNumId w:val="539"/>
  </w:num>
  <w:num w:numId="489">
    <w:abstractNumId w:val="430"/>
  </w:num>
  <w:num w:numId="490">
    <w:abstractNumId w:val="638"/>
  </w:num>
  <w:num w:numId="491">
    <w:abstractNumId w:val="24"/>
  </w:num>
  <w:num w:numId="492">
    <w:abstractNumId w:val="358"/>
  </w:num>
  <w:num w:numId="493">
    <w:abstractNumId w:val="168"/>
  </w:num>
  <w:num w:numId="494">
    <w:abstractNumId w:val="176"/>
  </w:num>
  <w:num w:numId="495">
    <w:abstractNumId w:val="694"/>
  </w:num>
  <w:num w:numId="496">
    <w:abstractNumId w:val="635"/>
  </w:num>
  <w:num w:numId="497">
    <w:abstractNumId w:val="469"/>
  </w:num>
  <w:num w:numId="498">
    <w:abstractNumId w:val="104"/>
  </w:num>
  <w:num w:numId="499">
    <w:abstractNumId w:val="108"/>
  </w:num>
  <w:num w:numId="500">
    <w:abstractNumId w:val="514"/>
  </w:num>
  <w:num w:numId="501">
    <w:abstractNumId w:val="102"/>
  </w:num>
  <w:num w:numId="502">
    <w:abstractNumId w:val="298"/>
  </w:num>
  <w:num w:numId="503">
    <w:abstractNumId w:val="561"/>
  </w:num>
  <w:num w:numId="504">
    <w:abstractNumId w:val="541"/>
  </w:num>
  <w:num w:numId="505">
    <w:abstractNumId w:val="89"/>
  </w:num>
  <w:num w:numId="506">
    <w:abstractNumId w:val="697"/>
  </w:num>
  <w:num w:numId="507">
    <w:abstractNumId w:val="181"/>
  </w:num>
  <w:num w:numId="508">
    <w:abstractNumId w:val="302"/>
  </w:num>
  <w:num w:numId="509">
    <w:abstractNumId w:val="470"/>
  </w:num>
  <w:num w:numId="510">
    <w:abstractNumId w:val="432"/>
  </w:num>
  <w:num w:numId="511">
    <w:abstractNumId w:val="488"/>
  </w:num>
  <w:num w:numId="512">
    <w:abstractNumId w:val="399"/>
  </w:num>
  <w:num w:numId="513">
    <w:abstractNumId w:val="140"/>
  </w:num>
  <w:num w:numId="514">
    <w:abstractNumId w:val="692"/>
  </w:num>
  <w:num w:numId="515">
    <w:abstractNumId w:val="648"/>
  </w:num>
  <w:num w:numId="516">
    <w:abstractNumId w:val="443"/>
  </w:num>
  <w:num w:numId="517">
    <w:abstractNumId w:val="276"/>
  </w:num>
  <w:num w:numId="518">
    <w:abstractNumId w:val="526"/>
  </w:num>
  <w:num w:numId="519">
    <w:abstractNumId w:val="289"/>
  </w:num>
  <w:num w:numId="520">
    <w:abstractNumId w:val="117"/>
  </w:num>
  <w:num w:numId="521">
    <w:abstractNumId w:val="540"/>
  </w:num>
  <w:num w:numId="522">
    <w:abstractNumId w:val="266"/>
  </w:num>
  <w:num w:numId="523">
    <w:abstractNumId w:val="205"/>
  </w:num>
  <w:num w:numId="524">
    <w:abstractNumId w:val="296"/>
  </w:num>
  <w:num w:numId="525">
    <w:abstractNumId w:val="364"/>
  </w:num>
  <w:num w:numId="526">
    <w:abstractNumId w:val="652"/>
  </w:num>
  <w:num w:numId="527">
    <w:abstractNumId w:val="576"/>
  </w:num>
  <w:num w:numId="528">
    <w:abstractNumId w:val="610"/>
  </w:num>
  <w:num w:numId="529">
    <w:abstractNumId w:val="37"/>
  </w:num>
  <w:num w:numId="530">
    <w:abstractNumId w:val="373"/>
  </w:num>
  <w:num w:numId="531">
    <w:abstractNumId w:val="3"/>
  </w:num>
  <w:num w:numId="532">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25"/>
  </w:num>
  <w:num w:numId="534">
    <w:abstractNumId w:val="632"/>
  </w:num>
  <w:num w:numId="535">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6">
    <w:abstractNumId w:val="376"/>
  </w:num>
  <w:num w:numId="537">
    <w:abstractNumId w:val="662"/>
  </w:num>
  <w:num w:numId="538">
    <w:abstractNumId w:val="421"/>
  </w:num>
  <w:num w:numId="539">
    <w:abstractNumId w:val="269"/>
  </w:num>
  <w:num w:numId="540">
    <w:abstractNumId w:val="347"/>
  </w:num>
  <w:num w:numId="541">
    <w:abstractNumId w:val="0"/>
  </w:num>
  <w:num w:numId="542">
    <w:abstractNumId w:val="312"/>
  </w:num>
  <w:num w:numId="543">
    <w:abstractNumId w:val="31"/>
  </w:num>
  <w:num w:numId="544">
    <w:abstractNumId w:val="464"/>
  </w:num>
  <w:num w:numId="545">
    <w:abstractNumId w:val="379"/>
  </w:num>
  <w:num w:numId="546">
    <w:abstractNumId w:val="531"/>
  </w:num>
  <w:num w:numId="547">
    <w:abstractNumId w:val="274"/>
  </w:num>
  <w:num w:numId="548">
    <w:abstractNumId w:val="695"/>
  </w:num>
  <w:num w:numId="549">
    <w:abstractNumId w:val="222"/>
  </w:num>
  <w:num w:numId="550">
    <w:abstractNumId w:val="145"/>
  </w:num>
  <w:num w:numId="551">
    <w:abstractNumId w:val="95"/>
  </w:num>
  <w:num w:numId="552">
    <w:abstractNumId w:val="343"/>
  </w:num>
  <w:num w:numId="553">
    <w:abstractNumId w:val="556"/>
  </w:num>
  <w:num w:numId="554">
    <w:abstractNumId w:val="477"/>
  </w:num>
  <w:num w:numId="555">
    <w:abstractNumId w:val="141"/>
  </w:num>
  <w:num w:numId="556">
    <w:abstractNumId w:val="4"/>
  </w:num>
  <w:num w:numId="557">
    <w:abstractNumId w:val="559"/>
  </w:num>
  <w:num w:numId="558">
    <w:abstractNumId w:val="8"/>
  </w:num>
  <w:num w:numId="559">
    <w:abstractNumId w:val="187"/>
  </w:num>
  <w:num w:numId="560">
    <w:abstractNumId w:val="7"/>
  </w:num>
  <w:num w:numId="561">
    <w:abstractNumId w:val="570"/>
  </w:num>
  <w:num w:numId="562">
    <w:abstractNumId w:val="422"/>
  </w:num>
  <w:num w:numId="563">
    <w:abstractNumId w:val="547"/>
  </w:num>
  <w:num w:numId="564">
    <w:abstractNumId w:val="258"/>
  </w:num>
  <w:num w:numId="565">
    <w:abstractNumId w:val="159"/>
  </w:num>
  <w:num w:numId="566">
    <w:abstractNumId w:val="387"/>
  </w:num>
  <w:num w:numId="567">
    <w:abstractNumId w:val="621"/>
  </w:num>
  <w:num w:numId="568">
    <w:abstractNumId w:val="335"/>
  </w:num>
  <w:num w:numId="569">
    <w:abstractNumId w:val="453"/>
  </w:num>
  <w:num w:numId="570">
    <w:abstractNumId w:val="98"/>
  </w:num>
  <w:num w:numId="57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43"/>
  </w:num>
  <w:num w:numId="573">
    <w:abstractNumId w:val="249"/>
  </w:num>
  <w:num w:numId="574">
    <w:abstractNumId w:val="118"/>
  </w:num>
  <w:num w:numId="575">
    <w:abstractNumId w:val="456"/>
  </w:num>
  <w:num w:numId="576">
    <w:abstractNumId w:val="462"/>
  </w:num>
  <w:num w:numId="577">
    <w:abstractNumId w:val="383"/>
  </w:num>
  <w:num w:numId="578">
    <w:abstractNumId w:val="40"/>
  </w:num>
  <w:num w:numId="579">
    <w:abstractNumId w:val="25"/>
  </w:num>
  <w:num w:numId="580">
    <w:abstractNumId w:val="472"/>
  </w:num>
  <w:num w:numId="581">
    <w:abstractNumId w:val="519"/>
  </w:num>
  <w:num w:numId="582">
    <w:abstractNumId w:val="612"/>
  </w:num>
  <w:num w:numId="583">
    <w:abstractNumId w:val="466"/>
  </w:num>
  <w:num w:numId="584">
    <w:abstractNumId w:val="368"/>
  </w:num>
  <w:num w:numId="585">
    <w:abstractNumId w:val="684"/>
  </w:num>
  <w:num w:numId="586">
    <w:abstractNumId w:val="206"/>
  </w:num>
  <w:num w:numId="587">
    <w:abstractNumId w:val="5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349"/>
  </w:num>
  <w:num w:numId="589">
    <w:abstractNumId w:val="143"/>
  </w:num>
  <w:num w:numId="590">
    <w:abstractNumId w:val="6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356"/>
  </w:num>
  <w:num w:numId="592">
    <w:abstractNumId w:val="650"/>
  </w:num>
  <w:num w:numId="593">
    <w:abstractNumId w:val="10"/>
  </w:num>
  <w:num w:numId="594">
    <w:abstractNumId w:val="353"/>
  </w:num>
  <w:num w:numId="595">
    <w:abstractNumId w:val="567"/>
  </w:num>
  <w:num w:numId="596">
    <w:abstractNumId w:val="557"/>
  </w:num>
  <w:num w:numId="597">
    <w:abstractNumId w:val="391"/>
  </w:num>
  <w:num w:numId="598">
    <w:abstractNumId w:val="319"/>
  </w:num>
  <w:num w:numId="599">
    <w:abstractNumId w:val="169"/>
  </w:num>
  <w:num w:numId="600">
    <w:abstractNumId w:val="413"/>
  </w:num>
  <w:num w:numId="601">
    <w:abstractNumId w:val="438"/>
  </w:num>
  <w:num w:numId="602">
    <w:abstractNumId w:val="408"/>
  </w:num>
  <w:num w:numId="603">
    <w:abstractNumId w:val="620"/>
  </w:num>
  <w:num w:numId="604">
    <w:abstractNumId w:val="255"/>
  </w:num>
  <w:num w:numId="605">
    <w:abstractNumId w:val="332"/>
  </w:num>
  <w:num w:numId="606">
    <w:abstractNumId w:val="370"/>
  </w:num>
  <w:num w:numId="607">
    <w:abstractNumId w:val="114"/>
  </w:num>
  <w:num w:numId="608">
    <w:abstractNumId w:val="217"/>
  </w:num>
  <w:num w:numId="609">
    <w:abstractNumId w:val="668"/>
  </w:num>
  <w:num w:numId="610">
    <w:abstractNumId w:val="46"/>
  </w:num>
  <w:num w:numId="611">
    <w:abstractNumId w:val="185"/>
  </w:num>
  <w:num w:numId="612">
    <w:abstractNumId w:val="587"/>
  </w:num>
  <w:num w:numId="613">
    <w:abstractNumId w:val="116"/>
  </w:num>
  <w:num w:numId="614">
    <w:abstractNumId w:val="375"/>
  </w:num>
  <w:num w:numId="615">
    <w:abstractNumId w:val="6"/>
  </w:num>
  <w:num w:numId="616">
    <w:abstractNumId w:val="617"/>
  </w:num>
  <w:num w:numId="617">
    <w:abstractNumId w:val="178"/>
  </w:num>
  <w:num w:numId="618">
    <w:abstractNumId w:val="693"/>
  </w:num>
  <w:num w:numId="619">
    <w:abstractNumId w:val="649"/>
  </w:num>
  <w:num w:numId="620">
    <w:abstractNumId w:val="58"/>
  </w:num>
  <w:num w:numId="621">
    <w:abstractNumId w:val="631"/>
  </w:num>
  <w:num w:numId="622">
    <w:abstractNumId w:val="679"/>
  </w:num>
  <w:num w:numId="623">
    <w:abstractNumId w:val="330"/>
  </w:num>
  <w:num w:numId="624">
    <w:abstractNumId w:val="150"/>
  </w:num>
  <w:num w:numId="625">
    <w:abstractNumId w:val="252"/>
  </w:num>
  <w:num w:numId="626">
    <w:abstractNumId w:val="642"/>
  </w:num>
  <w:num w:numId="627">
    <w:abstractNumId w:val="615"/>
  </w:num>
  <w:num w:numId="628">
    <w:abstractNumId w:val="670"/>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29">
    <w:abstractNumId w:val="670"/>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0">
    <w:abstractNumId w:val="670"/>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31">
    <w:abstractNumId w:val="404"/>
  </w:num>
  <w:num w:numId="632">
    <w:abstractNumId w:val="633"/>
  </w:num>
  <w:num w:numId="633">
    <w:abstractNumId w:val="268"/>
  </w:num>
  <w:num w:numId="634">
    <w:abstractNumId w:val="671"/>
  </w:num>
  <w:num w:numId="635">
    <w:abstractNumId w:val="287"/>
  </w:num>
  <w:num w:numId="636">
    <w:abstractNumId w:val="208"/>
  </w:num>
  <w:num w:numId="637">
    <w:abstractNumId w:val="84"/>
  </w:num>
  <w:num w:numId="638">
    <w:abstractNumId w:val="234"/>
  </w:num>
  <w:num w:numId="639">
    <w:abstractNumId w:val="49"/>
  </w:num>
  <w:num w:numId="640">
    <w:abstractNumId w:val="136"/>
  </w:num>
  <w:num w:numId="641">
    <w:abstractNumId w:val="544"/>
  </w:num>
  <w:num w:numId="642">
    <w:abstractNumId w:val="301"/>
  </w:num>
  <w:num w:numId="643">
    <w:abstractNumId w:val="163"/>
  </w:num>
  <w:num w:numId="644">
    <w:abstractNumId w:val="595"/>
  </w:num>
  <w:num w:numId="64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73"/>
  </w:num>
  <w:num w:numId="647">
    <w:abstractNumId w:val="622"/>
  </w:num>
  <w:num w:numId="648">
    <w:abstractNumId w:val="1"/>
  </w:num>
  <w:num w:numId="649">
    <w:abstractNumId w:val="480"/>
  </w:num>
  <w:num w:numId="650">
    <w:abstractNumId w:val="156"/>
  </w:num>
  <w:num w:numId="651">
    <w:abstractNumId w:val="9"/>
  </w:num>
  <w:num w:numId="652">
    <w:abstractNumId w:val="666"/>
  </w:num>
  <w:num w:numId="653">
    <w:abstractNumId w:val="13"/>
  </w:num>
  <w:num w:numId="654">
    <w:abstractNumId w:val="12"/>
  </w:num>
  <w:num w:numId="655">
    <w:abstractNumId w:val="2"/>
  </w:num>
  <w:num w:numId="656">
    <w:abstractNumId w:val="532"/>
  </w:num>
  <w:num w:numId="657">
    <w:abstractNumId w:val="307"/>
  </w:num>
  <w:num w:numId="658">
    <w:abstractNumId w:val="229"/>
  </w:num>
  <w:num w:numId="659">
    <w:abstractNumId w:val="503"/>
  </w:num>
  <w:num w:numId="660">
    <w:abstractNumId w:val="416"/>
  </w:num>
  <w:num w:numId="661">
    <w:abstractNumId w:val="452"/>
  </w:num>
  <w:num w:numId="662">
    <w:abstractNumId w:val="154"/>
  </w:num>
  <w:num w:numId="663">
    <w:abstractNumId w:val="279"/>
  </w:num>
  <w:num w:numId="664">
    <w:abstractNumId w:val="11"/>
  </w:num>
  <w:num w:numId="665">
    <w:abstractNumId w:val="658"/>
  </w:num>
  <w:num w:numId="666">
    <w:abstractNumId w:val="390"/>
  </w:num>
  <w:num w:numId="667">
    <w:abstractNumId w:val="5"/>
  </w:num>
  <w:num w:numId="668">
    <w:abstractNumId w:val="103"/>
  </w:num>
  <w:num w:numId="669">
    <w:abstractNumId w:val="580"/>
  </w:num>
  <w:num w:numId="670">
    <w:abstractNumId w:val="277"/>
  </w:num>
  <w:num w:numId="671">
    <w:abstractNumId w:val="626"/>
  </w:num>
  <w:num w:numId="672">
    <w:abstractNumId w:val="384"/>
  </w:num>
  <w:num w:numId="673">
    <w:abstractNumId w:val="152"/>
  </w:num>
  <w:num w:numId="674">
    <w:abstractNumId w:val="226"/>
  </w:num>
  <w:num w:numId="675">
    <w:abstractNumId w:val="6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690"/>
  </w:num>
  <w:num w:numId="677">
    <w:abstractNumId w:val="325"/>
  </w:num>
  <w:num w:numId="678">
    <w:abstractNumId w:val="216"/>
  </w:num>
  <w:num w:numId="679">
    <w:abstractNumId w:val="329"/>
  </w:num>
  <w:num w:numId="680">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51"/>
  </w:num>
  <w:num w:numId="682">
    <w:abstractNumId w:val="61"/>
  </w:num>
  <w:num w:numId="683">
    <w:abstractNumId w:val="157"/>
  </w:num>
  <w:num w:numId="684">
    <w:abstractNumId w:val="346"/>
  </w:num>
  <w:num w:numId="685">
    <w:abstractNumId w:val="295"/>
  </w:num>
  <w:num w:numId="686">
    <w:abstractNumId w:val="471"/>
  </w:num>
  <w:num w:numId="687">
    <w:abstractNumId w:val="563"/>
  </w:num>
  <w:num w:numId="688">
    <w:abstractNumId w:val="231"/>
  </w:num>
  <w:num w:numId="689">
    <w:abstractNumId w:val="85"/>
  </w:num>
  <w:num w:numId="690">
    <w:abstractNumId w:val="69"/>
  </w:num>
  <w:num w:numId="691">
    <w:abstractNumId w:val="465"/>
  </w:num>
  <w:num w:numId="692">
    <w:abstractNumId w:val="533"/>
  </w:num>
  <w:num w:numId="693">
    <w:abstractNumId w:val="60"/>
  </w:num>
  <w:num w:numId="694">
    <w:abstractNumId w:val="327"/>
  </w:num>
  <w:num w:numId="695">
    <w:abstractNumId w:val="359"/>
  </w:num>
  <w:num w:numId="696">
    <w:abstractNumId w:val="490"/>
  </w:num>
  <w:num w:numId="697">
    <w:abstractNumId w:val="219"/>
  </w:num>
  <w:num w:numId="698">
    <w:abstractNumId w:val="481"/>
  </w:num>
  <w:num w:numId="699">
    <w:abstractNumId w:val="495"/>
  </w:num>
  <w:num w:numId="700">
    <w:abstractNumId w:val="507"/>
  </w:num>
  <w:num w:numId="701">
    <w:abstractNumId w:val="215"/>
  </w:num>
  <w:num w:numId="702">
    <w:abstractNumId w:val="599"/>
  </w:num>
  <w:num w:numId="703">
    <w:abstractNumId w:val="34"/>
  </w:num>
  <w:num w:numId="704">
    <w:abstractNumId w:val="339"/>
  </w:num>
  <w:num w:numId="705">
    <w:abstractNumId w:val="92"/>
  </w:num>
  <w:num w:numId="706">
    <w:abstractNumId w:val="341"/>
  </w:num>
  <w:num w:numId="707">
    <w:abstractNumId w:val="180"/>
  </w:num>
  <w:num w:numId="708">
    <w:abstractNumId w:val="502"/>
  </w:num>
  <w:num w:numId="709">
    <w:abstractNumId w:val="100"/>
  </w:num>
  <w:num w:numId="710">
    <w:abstractNumId w:val="382"/>
  </w:num>
  <w:num w:numId="711">
    <w:abstractNumId w:val="257"/>
  </w:num>
  <w:num w:numId="712">
    <w:abstractNumId w:val="489"/>
  </w:num>
  <w:num w:numId="713">
    <w:abstractNumId w:val="32"/>
  </w:num>
  <w:num w:numId="714">
    <w:abstractNumId w:val="499"/>
  </w:num>
  <w:num w:numId="715">
    <w:abstractNumId w:val="260"/>
  </w:num>
  <w:num w:numId="716">
    <w:abstractNumId w:val="183"/>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num>
  <w:num w:numId="717">
    <w:abstractNumId w:val="596"/>
  </w:num>
  <w:num w:numId="718">
    <w:abstractNumId w:val="153"/>
  </w:num>
  <w:num w:numId="719">
    <w:abstractNumId w:val="78"/>
  </w:num>
  <w:num w:numId="720">
    <w:abstractNumId w:val="479"/>
  </w:num>
  <w:num w:numId="721">
    <w:abstractNumId w:val="623"/>
  </w:num>
  <w:num w:numId="722">
    <w:abstractNumId w:val="475"/>
  </w:num>
  <w:num w:numId="723">
    <w:abstractNumId w:val="345"/>
  </w:num>
  <w:num w:numId="724">
    <w:abstractNumId w:val="33"/>
  </w:num>
  <w:num w:numId="725">
    <w:abstractNumId w:val="162"/>
  </w:num>
  <w:num w:numId="726">
    <w:abstractNumId w:val="38"/>
  </w:num>
  <w:num w:numId="727">
    <w:abstractNumId w:val="183"/>
    <w:lvlOverride w:ilvl="0">
      <w:lvl w:ilvl="0">
        <w:start w:val="1"/>
        <w:numFmt w:val="decimal"/>
        <w:suff w:val="space"/>
        <w:lvlText w:val="Section %1"/>
        <w:lvlJc w:val="left"/>
        <w:pPr>
          <w:ind w:left="0" w:firstLine="0"/>
        </w:pPr>
        <w:rPr>
          <w:rFonts w:ascii="Calibri" w:hAnsi="Calibri" w:hint="default"/>
          <w:b/>
          <w:bCs w:val="0"/>
          <w:i w:val="0"/>
          <w:iCs w:val="0"/>
          <w:caps w:val="0"/>
          <w:smallCaps w:val="0"/>
          <w:strike w:val="0"/>
          <w:dstrike w:val="0"/>
          <w:noProof w:val="0"/>
          <w:vanish w:val="0"/>
          <w:color w:val="1795D2" w:themeColor="accen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suff w:val="space"/>
        <w:lvlText w:val="%1.%2"/>
        <w:lvlJc w:val="left"/>
        <w:pPr>
          <w:ind w:left="0" w:firstLine="0"/>
        </w:pPr>
        <w:rPr>
          <w:rFonts w:ascii="Calibri" w:hAnsi="Calibri"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hint="default"/>
          <w:b w:val="0"/>
          <w:i/>
          <w:color w:val="auto"/>
          <w:sz w:val="20"/>
          <w:szCs w:val="2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28">
    <w:abstractNumId w:val="604"/>
  </w:num>
  <w:num w:numId="729">
    <w:abstractNumId w:val="450"/>
  </w:num>
  <w:num w:numId="730">
    <w:abstractNumId w:val="389"/>
  </w:num>
  <w:num w:numId="731">
    <w:abstractNumId w:val="355"/>
  </w:num>
  <w:num w:numId="732">
    <w:abstractNumId w:val="135"/>
  </w:num>
  <w:num w:numId="733">
    <w:abstractNumId w:val="377"/>
  </w:num>
  <w:num w:numId="734">
    <w:abstractNumId w:val="321"/>
  </w:num>
  <w:num w:numId="735">
    <w:abstractNumId w:val="657"/>
  </w:num>
  <w:num w:numId="736">
    <w:abstractNumId w:val="429"/>
  </w:num>
  <w:num w:numId="737">
    <w:abstractNumId w:val="398"/>
  </w:num>
  <w:num w:numId="738">
    <w:abstractNumId w:val="565"/>
  </w:num>
  <w:num w:numId="739">
    <w:abstractNumId w:val="579"/>
  </w:num>
  <w:num w:numId="740">
    <w:abstractNumId w:val="512"/>
  </w:num>
  <w:num w:numId="741">
    <w:abstractNumId w:val="483"/>
  </w:num>
  <w:num w:numId="742">
    <w:abstractNumId w:val="640"/>
  </w:num>
  <w:num w:numId="743">
    <w:abstractNumId w:val="607"/>
  </w:num>
  <w:num w:numId="744">
    <w:abstractNumId w:val="305"/>
  </w:num>
  <w:num w:numId="7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44"/>
  </w:num>
  <w:num w:numId="747">
    <w:abstractNumId w:val="38"/>
  </w:num>
  <w:num w:numId="748">
    <w:abstractNumId w:val="183"/>
  </w:num>
  <w:num w:numId="749">
    <w:abstractNumId w:val="597"/>
  </w:num>
  <w:num w:numId="750">
    <w:abstractNumId w:val="700"/>
  </w:num>
  <w:num w:numId="751">
    <w:abstractNumId w:val="423"/>
  </w:num>
  <w:num w:numId="752">
    <w:abstractNumId w:val="57"/>
  </w:num>
  <w:num w:numId="753">
    <w:abstractNumId w:val="36"/>
  </w:num>
  <w:num w:numId="754">
    <w:abstractNumId w:val="352"/>
  </w:num>
  <w:num w:numId="755">
    <w:abstractNumId w:val="509"/>
  </w:num>
  <w:num w:numId="756">
    <w:abstractNumId w:val="281"/>
  </w:num>
  <w:num w:numId="757">
    <w:abstractNumId w:val="397"/>
  </w:num>
  <w:num w:numId="758">
    <w:abstractNumId w:val="703"/>
  </w:num>
  <w:num w:numId="759">
    <w:abstractNumId w:val="56"/>
  </w:num>
  <w:num w:numId="760">
    <w:abstractNumId w:val="44"/>
  </w:num>
  <w:num w:numId="761">
    <w:abstractNumId w:val="458"/>
  </w:num>
  <w:num w:numId="762">
    <w:abstractNumId w:val="113"/>
  </w:num>
  <w:num w:numId="763">
    <w:abstractNumId w:val="497"/>
  </w:num>
  <w:num w:numId="764">
    <w:abstractNumId w:val="292"/>
  </w:num>
  <w:num w:numId="765">
    <w:abstractNumId w:val="26"/>
  </w:num>
  <w:num w:numId="766">
    <w:abstractNumId w:val="126"/>
  </w:num>
  <w:num w:numId="767">
    <w:abstractNumId w:val="81"/>
  </w:num>
  <w:num w:numId="768">
    <w:abstractNumId w:val="394"/>
  </w:num>
  <w:num w:numId="769">
    <w:abstractNumId w:val="683"/>
  </w:num>
  <w:num w:numId="770">
    <w:abstractNumId w:val="146"/>
  </w:num>
  <w:num w:numId="771">
    <w:abstractNumId w:val="160"/>
  </w:num>
  <w:num w:numId="772">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readOnly" w:enforcement="1"/>
  <w:defaultTabStop w:val="720"/>
  <w:drawingGridHorizontalSpacing w:val="100"/>
  <w:displayHorizontalDrawingGridEvery w:val="2"/>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59"/>
    <w:rsid w:val="0000019C"/>
    <w:rsid w:val="000001D7"/>
    <w:rsid w:val="00000368"/>
    <w:rsid w:val="000003DC"/>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4B3"/>
    <w:rsid w:val="00001518"/>
    <w:rsid w:val="0000161B"/>
    <w:rsid w:val="00001620"/>
    <w:rsid w:val="000019E7"/>
    <w:rsid w:val="00001A7B"/>
    <w:rsid w:val="00001A96"/>
    <w:rsid w:val="00001CAC"/>
    <w:rsid w:val="00001DB1"/>
    <w:rsid w:val="00001DC2"/>
    <w:rsid w:val="00001F29"/>
    <w:rsid w:val="00001F3D"/>
    <w:rsid w:val="00001FEC"/>
    <w:rsid w:val="00002177"/>
    <w:rsid w:val="000021CD"/>
    <w:rsid w:val="00002244"/>
    <w:rsid w:val="0000228F"/>
    <w:rsid w:val="000022B6"/>
    <w:rsid w:val="000023D1"/>
    <w:rsid w:val="000024FD"/>
    <w:rsid w:val="0000250A"/>
    <w:rsid w:val="00002695"/>
    <w:rsid w:val="0000274B"/>
    <w:rsid w:val="000027D0"/>
    <w:rsid w:val="0000281A"/>
    <w:rsid w:val="000029AA"/>
    <w:rsid w:val="00002AAF"/>
    <w:rsid w:val="00002C68"/>
    <w:rsid w:val="00002D24"/>
    <w:rsid w:val="00002DDC"/>
    <w:rsid w:val="00002F2D"/>
    <w:rsid w:val="00002F5E"/>
    <w:rsid w:val="00002F80"/>
    <w:rsid w:val="00003143"/>
    <w:rsid w:val="0000321C"/>
    <w:rsid w:val="000036A0"/>
    <w:rsid w:val="000037B0"/>
    <w:rsid w:val="0000383C"/>
    <w:rsid w:val="0000399A"/>
    <w:rsid w:val="0000399B"/>
    <w:rsid w:val="00003A09"/>
    <w:rsid w:val="00003E7F"/>
    <w:rsid w:val="00004107"/>
    <w:rsid w:val="000041FD"/>
    <w:rsid w:val="000042BC"/>
    <w:rsid w:val="00004362"/>
    <w:rsid w:val="00004424"/>
    <w:rsid w:val="000044AB"/>
    <w:rsid w:val="00004906"/>
    <w:rsid w:val="00004D7A"/>
    <w:rsid w:val="00004DBF"/>
    <w:rsid w:val="00004E83"/>
    <w:rsid w:val="00004EEC"/>
    <w:rsid w:val="0000541B"/>
    <w:rsid w:val="000054D2"/>
    <w:rsid w:val="000054D3"/>
    <w:rsid w:val="000058F7"/>
    <w:rsid w:val="00005A0A"/>
    <w:rsid w:val="00005B2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A94"/>
    <w:rsid w:val="00006B39"/>
    <w:rsid w:val="00006DF7"/>
    <w:rsid w:val="00006F01"/>
    <w:rsid w:val="00006F93"/>
    <w:rsid w:val="00007007"/>
    <w:rsid w:val="000070B3"/>
    <w:rsid w:val="0000716B"/>
    <w:rsid w:val="000072CC"/>
    <w:rsid w:val="0000731C"/>
    <w:rsid w:val="00007376"/>
    <w:rsid w:val="000073CA"/>
    <w:rsid w:val="000073EE"/>
    <w:rsid w:val="000074DE"/>
    <w:rsid w:val="00007582"/>
    <w:rsid w:val="0000760F"/>
    <w:rsid w:val="000076EA"/>
    <w:rsid w:val="00007728"/>
    <w:rsid w:val="000078B5"/>
    <w:rsid w:val="000078E7"/>
    <w:rsid w:val="00007A5F"/>
    <w:rsid w:val="00007ACA"/>
    <w:rsid w:val="00007BC7"/>
    <w:rsid w:val="00007BF6"/>
    <w:rsid w:val="00007BFB"/>
    <w:rsid w:val="000100CB"/>
    <w:rsid w:val="000100DB"/>
    <w:rsid w:val="00010247"/>
    <w:rsid w:val="000102C2"/>
    <w:rsid w:val="0001031A"/>
    <w:rsid w:val="000103E5"/>
    <w:rsid w:val="00010491"/>
    <w:rsid w:val="00010492"/>
    <w:rsid w:val="00010C92"/>
    <w:rsid w:val="000110E5"/>
    <w:rsid w:val="000110E9"/>
    <w:rsid w:val="0001126D"/>
    <w:rsid w:val="00011359"/>
    <w:rsid w:val="000114A9"/>
    <w:rsid w:val="0001153A"/>
    <w:rsid w:val="00011649"/>
    <w:rsid w:val="00011740"/>
    <w:rsid w:val="000117AA"/>
    <w:rsid w:val="000117E8"/>
    <w:rsid w:val="000118A5"/>
    <w:rsid w:val="000118AB"/>
    <w:rsid w:val="00011953"/>
    <w:rsid w:val="000119A1"/>
    <w:rsid w:val="000119AB"/>
    <w:rsid w:val="00011AB0"/>
    <w:rsid w:val="00011B4A"/>
    <w:rsid w:val="00011C72"/>
    <w:rsid w:val="00011CFC"/>
    <w:rsid w:val="00011DA9"/>
    <w:rsid w:val="00011F12"/>
    <w:rsid w:val="00011FB2"/>
    <w:rsid w:val="00012064"/>
    <w:rsid w:val="000120BF"/>
    <w:rsid w:val="00012127"/>
    <w:rsid w:val="000122AF"/>
    <w:rsid w:val="000122F2"/>
    <w:rsid w:val="00012568"/>
    <w:rsid w:val="00012679"/>
    <w:rsid w:val="00012822"/>
    <w:rsid w:val="0001289E"/>
    <w:rsid w:val="00012A10"/>
    <w:rsid w:val="00012A12"/>
    <w:rsid w:val="00012A20"/>
    <w:rsid w:val="0001317B"/>
    <w:rsid w:val="0001350A"/>
    <w:rsid w:val="0001370A"/>
    <w:rsid w:val="00013932"/>
    <w:rsid w:val="000139C5"/>
    <w:rsid w:val="00013D94"/>
    <w:rsid w:val="00013DCA"/>
    <w:rsid w:val="0001420A"/>
    <w:rsid w:val="000143CD"/>
    <w:rsid w:val="00014446"/>
    <w:rsid w:val="000144E4"/>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2C8"/>
    <w:rsid w:val="00016358"/>
    <w:rsid w:val="00016593"/>
    <w:rsid w:val="0001659F"/>
    <w:rsid w:val="0001662D"/>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7AA"/>
    <w:rsid w:val="00017934"/>
    <w:rsid w:val="00017943"/>
    <w:rsid w:val="00017F90"/>
    <w:rsid w:val="00020089"/>
    <w:rsid w:val="0002029E"/>
    <w:rsid w:val="000202A1"/>
    <w:rsid w:val="000208D9"/>
    <w:rsid w:val="00020A01"/>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6F"/>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0B4"/>
    <w:rsid w:val="0002310B"/>
    <w:rsid w:val="000231B8"/>
    <w:rsid w:val="0002325D"/>
    <w:rsid w:val="00023467"/>
    <w:rsid w:val="0002362B"/>
    <w:rsid w:val="00023764"/>
    <w:rsid w:val="0002392C"/>
    <w:rsid w:val="0002396A"/>
    <w:rsid w:val="00023BE8"/>
    <w:rsid w:val="00023C35"/>
    <w:rsid w:val="00023D04"/>
    <w:rsid w:val="00023D38"/>
    <w:rsid w:val="00023D42"/>
    <w:rsid w:val="00023E13"/>
    <w:rsid w:val="000240B3"/>
    <w:rsid w:val="00024138"/>
    <w:rsid w:val="000243A0"/>
    <w:rsid w:val="000243C1"/>
    <w:rsid w:val="000244C5"/>
    <w:rsid w:val="000245D6"/>
    <w:rsid w:val="00024666"/>
    <w:rsid w:val="00024676"/>
    <w:rsid w:val="00024755"/>
    <w:rsid w:val="0002495F"/>
    <w:rsid w:val="00024966"/>
    <w:rsid w:val="00024A05"/>
    <w:rsid w:val="00024A1B"/>
    <w:rsid w:val="00024A4C"/>
    <w:rsid w:val="00024B30"/>
    <w:rsid w:val="00024BD2"/>
    <w:rsid w:val="00024D51"/>
    <w:rsid w:val="00024EA7"/>
    <w:rsid w:val="00024EFC"/>
    <w:rsid w:val="000253FD"/>
    <w:rsid w:val="00025453"/>
    <w:rsid w:val="0002577C"/>
    <w:rsid w:val="000258FB"/>
    <w:rsid w:val="00025967"/>
    <w:rsid w:val="000259DD"/>
    <w:rsid w:val="00025A7C"/>
    <w:rsid w:val="00025FAD"/>
    <w:rsid w:val="00025FCC"/>
    <w:rsid w:val="000260D0"/>
    <w:rsid w:val="0002612E"/>
    <w:rsid w:val="0002627F"/>
    <w:rsid w:val="000262CC"/>
    <w:rsid w:val="00026473"/>
    <w:rsid w:val="0002657F"/>
    <w:rsid w:val="000265B7"/>
    <w:rsid w:val="000265CC"/>
    <w:rsid w:val="000265D3"/>
    <w:rsid w:val="00026605"/>
    <w:rsid w:val="0002665C"/>
    <w:rsid w:val="00026816"/>
    <w:rsid w:val="000269AB"/>
    <w:rsid w:val="000269ED"/>
    <w:rsid w:val="00026B15"/>
    <w:rsid w:val="00026C99"/>
    <w:rsid w:val="00026D55"/>
    <w:rsid w:val="00026EBF"/>
    <w:rsid w:val="00026FB0"/>
    <w:rsid w:val="00026FD6"/>
    <w:rsid w:val="00026FF4"/>
    <w:rsid w:val="00027085"/>
    <w:rsid w:val="000271B9"/>
    <w:rsid w:val="0002729A"/>
    <w:rsid w:val="0002729E"/>
    <w:rsid w:val="000272CF"/>
    <w:rsid w:val="00027341"/>
    <w:rsid w:val="00027381"/>
    <w:rsid w:val="000273D8"/>
    <w:rsid w:val="000276EB"/>
    <w:rsid w:val="000279D9"/>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66"/>
    <w:rsid w:val="00032985"/>
    <w:rsid w:val="00032A54"/>
    <w:rsid w:val="00032B2F"/>
    <w:rsid w:val="00032C13"/>
    <w:rsid w:val="00032DA4"/>
    <w:rsid w:val="00032FF6"/>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B87"/>
    <w:rsid w:val="00033DAE"/>
    <w:rsid w:val="00033E67"/>
    <w:rsid w:val="0003402D"/>
    <w:rsid w:val="00034360"/>
    <w:rsid w:val="0003444D"/>
    <w:rsid w:val="00034785"/>
    <w:rsid w:val="000348C9"/>
    <w:rsid w:val="000349D0"/>
    <w:rsid w:val="00034AF3"/>
    <w:rsid w:val="00034D6A"/>
    <w:rsid w:val="00034DFA"/>
    <w:rsid w:val="00034E73"/>
    <w:rsid w:val="00035077"/>
    <w:rsid w:val="000350CA"/>
    <w:rsid w:val="00035145"/>
    <w:rsid w:val="0003514A"/>
    <w:rsid w:val="00035510"/>
    <w:rsid w:val="00035573"/>
    <w:rsid w:val="0003564D"/>
    <w:rsid w:val="0003567C"/>
    <w:rsid w:val="0003577C"/>
    <w:rsid w:val="00035A67"/>
    <w:rsid w:val="00035C0A"/>
    <w:rsid w:val="00035DA1"/>
    <w:rsid w:val="000360A3"/>
    <w:rsid w:val="000360BA"/>
    <w:rsid w:val="00036139"/>
    <w:rsid w:val="000362C1"/>
    <w:rsid w:val="00036394"/>
    <w:rsid w:val="000364A7"/>
    <w:rsid w:val="000365EB"/>
    <w:rsid w:val="0003681B"/>
    <w:rsid w:val="0003681D"/>
    <w:rsid w:val="0003681E"/>
    <w:rsid w:val="00036A28"/>
    <w:rsid w:val="00036AF6"/>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9DB"/>
    <w:rsid w:val="00040B81"/>
    <w:rsid w:val="00040E74"/>
    <w:rsid w:val="00040FC9"/>
    <w:rsid w:val="00041156"/>
    <w:rsid w:val="0004116C"/>
    <w:rsid w:val="000412B6"/>
    <w:rsid w:val="000412D3"/>
    <w:rsid w:val="0004144B"/>
    <w:rsid w:val="00041505"/>
    <w:rsid w:val="0004175A"/>
    <w:rsid w:val="0004176E"/>
    <w:rsid w:val="00041A3F"/>
    <w:rsid w:val="00041A98"/>
    <w:rsid w:val="000421A3"/>
    <w:rsid w:val="0004248B"/>
    <w:rsid w:val="000424C4"/>
    <w:rsid w:val="000425D7"/>
    <w:rsid w:val="0004272E"/>
    <w:rsid w:val="000427D9"/>
    <w:rsid w:val="000428DA"/>
    <w:rsid w:val="00042901"/>
    <w:rsid w:val="00042A9D"/>
    <w:rsid w:val="00042C54"/>
    <w:rsid w:val="00042CBA"/>
    <w:rsid w:val="00042D44"/>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685"/>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5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06"/>
    <w:rsid w:val="00047023"/>
    <w:rsid w:val="00047085"/>
    <w:rsid w:val="0004709B"/>
    <w:rsid w:val="000470F5"/>
    <w:rsid w:val="00047149"/>
    <w:rsid w:val="00047340"/>
    <w:rsid w:val="00047353"/>
    <w:rsid w:val="0004739D"/>
    <w:rsid w:val="00047475"/>
    <w:rsid w:val="000474C9"/>
    <w:rsid w:val="00047621"/>
    <w:rsid w:val="0004763D"/>
    <w:rsid w:val="000477E9"/>
    <w:rsid w:val="000477FF"/>
    <w:rsid w:val="00047993"/>
    <w:rsid w:val="000479BA"/>
    <w:rsid w:val="00047AC0"/>
    <w:rsid w:val="00047CF5"/>
    <w:rsid w:val="00047D8B"/>
    <w:rsid w:val="00047ED0"/>
    <w:rsid w:val="00047F14"/>
    <w:rsid w:val="00047F2F"/>
    <w:rsid w:val="00047F70"/>
    <w:rsid w:val="00047FD8"/>
    <w:rsid w:val="00050032"/>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0AC"/>
    <w:rsid w:val="0005133A"/>
    <w:rsid w:val="00051666"/>
    <w:rsid w:val="000518F4"/>
    <w:rsid w:val="00051910"/>
    <w:rsid w:val="00051B34"/>
    <w:rsid w:val="00051DC7"/>
    <w:rsid w:val="00051E75"/>
    <w:rsid w:val="00051E94"/>
    <w:rsid w:val="00051EB5"/>
    <w:rsid w:val="00051F0E"/>
    <w:rsid w:val="00052286"/>
    <w:rsid w:val="00052396"/>
    <w:rsid w:val="000523BD"/>
    <w:rsid w:val="000524E1"/>
    <w:rsid w:val="000524EA"/>
    <w:rsid w:val="00052582"/>
    <w:rsid w:val="0005260E"/>
    <w:rsid w:val="000527E2"/>
    <w:rsid w:val="00052809"/>
    <w:rsid w:val="0005286A"/>
    <w:rsid w:val="0005295F"/>
    <w:rsid w:val="00052AEA"/>
    <w:rsid w:val="00052C18"/>
    <w:rsid w:val="00052C6B"/>
    <w:rsid w:val="00052CF0"/>
    <w:rsid w:val="00052E1B"/>
    <w:rsid w:val="00052EB9"/>
    <w:rsid w:val="00053376"/>
    <w:rsid w:val="0005345A"/>
    <w:rsid w:val="000534CD"/>
    <w:rsid w:val="00053629"/>
    <w:rsid w:val="00053695"/>
    <w:rsid w:val="0005388A"/>
    <w:rsid w:val="00053A2D"/>
    <w:rsid w:val="00053B4F"/>
    <w:rsid w:val="00053BAE"/>
    <w:rsid w:val="000542B9"/>
    <w:rsid w:val="0005434F"/>
    <w:rsid w:val="000544BD"/>
    <w:rsid w:val="00054510"/>
    <w:rsid w:val="00054768"/>
    <w:rsid w:val="00054793"/>
    <w:rsid w:val="000547F4"/>
    <w:rsid w:val="00054826"/>
    <w:rsid w:val="00054913"/>
    <w:rsid w:val="00054A68"/>
    <w:rsid w:val="00054BA9"/>
    <w:rsid w:val="00054BDC"/>
    <w:rsid w:val="00054F47"/>
    <w:rsid w:val="00054F76"/>
    <w:rsid w:val="00055014"/>
    <w:rsid w:val="000550E0"/>
    <w:rsid w:val="00055306"/>
    <w:rsid w:val="00055412"/>
    <w:rsid w:val="0005543E"/>
    <w:rsid w:val="000555BA"/>
    <w:rsid w:val="0005599A"/>
    <w:rsid w:val="00055AEF"/>
    <w:rsid w:val="00055B21"/>
    <w:rsid w:val="00055C7E"/>
    <w:rsid w:val="00055DB2"/>
    <w:rsid w:val="00055FF2"/>
    <w:rsid w:val="000562E5"/>
    <w:rsid w:val="0005635A"/>
    <w:rsid w:val="000563FE"/>
    <w:rsid w:val="0005644E"/>
    <w:rsid w:val="000565BB"/>
    <w:rsid w:val="000565DD"/>
    <w:rsid w:val="00056648"/>
    <w:rsid w:val="000566C4"/>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14"/>
    <w:rsid w:val="00061421"/>
    <w:rsid w:val="00061480"/>
    <w:rsid w:val="000614B4"/>
    <w:rsid w:val="000615C2"/>
    <w:rsid w:val="00061652"/>
    <w:rsid w:val="00061662"/>
    <w:rsid w:val="0006186D"/>
    <w:rsid w:val="00061B3D"/>
    <w:rsid w:val="00061B41"/>
    <w:rsid w:val="00061B8F"/>
    <w:rsid w:val="00061D97"/>
    <w:rsid w:val="00061F17"/>
    <w:rsid w:val="00061FFF"/>
    <w:rsid w:val="00062050"/>
    <w:rsid w:val="0006230D"/>
    <w:rsid w:val="00062478"/>
    <w:rsid w:val="000625A5"/>
    <w:rsid w:val="0006275F"/>
    <w:rsid w:val="00062876"/>
    <w:rsid w:val="000628D8"/>
    <w:rsid w:val="000628F3"/>
    <w:rsid w:val="00062B54"/>
    <w:rsid w:val="00062BD1"/>
    <w:rsid w:val="00062EAF"/>
    <w:rsid w:val="00062EEE"/>
    <w:rsid w:val="00063068"/>
    <w:rsid w:val="00063122"/>
    <w:rsid w:val="00063175"/>
    <w:rsid w:val="0006317B"/>
    <w:rsid w:val="000631E0"/>
    <w:rsid w:val="00063594"/>
    <w:rsid w:val="000635AF"/>
    <w:rsid w:val="0006386A"/>
    <w:rsid w:val="000639C0"/>
    <w:rsid w:val="00063A39"/>
    <w:rsid w:val="00063AB2"/>
    <w:rsid w:val="00063CF5"/>
    <w:rsid w:val="00063D15"/>
    <w:rsid w:val="00063D6B"/>
    <w:rsid w:val="00063E69"/>
    <w:rsid w:val="00063ED5"/>
    <w:rsid w:val="00064152"/>
    <w:rsid w:val="000641FE"/>
    <w:rsid w:val="00064275"/>
    <w:rsid w:val="0006429F"/>
    <w:rsid w:val="000642FB"/>
    <w:rsid w:val="00064586"/>
    <w:rsid w:val="000645AD"/>
    <w:rsid w:val="00064651"/>
    <w:rsid w:val="00064654"/>
    <w:rsid w:val="000646F3"/>
    <w:rsid w:val="000648B8"/>
    <w:rsid w:val="00064BEF"/>
    <w:rsid w:val="00064C81"/>
    <w:rsid w:val="00064CB3"/>
    <w:rsid w:val="00064DB5"/>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6EB"/>
    <w:rsid w:val="000667A2"/>
    <w:rsid w:val="000667D4"/>
    <w:rsid w:val="00066B4C"/>
    <w:rsid w:val="00066BC9"/>
    <w:rsid w:val="00066C6A"/>
    <w:rsid w:val="00066C91"/>
    <w:rsid w:val="00066CE9"/>
    <w:rsid w:val="00066D33"/>
    <w:rsid w:val="00066D41"/>
    <w:rsid w:val="00066D57"/>
    <w:rsid w:val="00066DAE"/>
    <w:rsid w:val="00067024"/>
    <w:rsid w:val="0006727B"/>
    <w:rsid w:val="00067289"/>
    <w:rsid w:val="000674D1"/>
    <w:rsid w:val="0006757A"/>
    <w:rsid w:val="000678ED"/>
    <w:rsid w:val="00067A10"/>
    <w:rsid w:val="00067BB0"/>
    <w:rsid w:val="00067C82"/>
    <w:rsid w:val="00067D66"/>
    <w:rsid w:val="00067D82"/>
    <w:rsid w:val="00067D9E"/>
    <w:rsid w:val="00067EC4"/>
    <w:rsid w:val="000700E3"/>
    <w:rsid w:val="0007045F"/>
    <w:rsid w:val="00070661"/>
    <w:rsid w:val="000706C0"/>
    <w:rsid w:val="000709CB"/>
    <w:rsid w:val="00070A1A"/>
    <w:rsid w:val="00070BFB"/>
    <w:rsid w:val="00070D60"/>
    <w:rsid w:val="00070E23"/>
    <w:rsid w:val="00070E50"/>
    <w:rsid w:val="00070FA5"/>
    <w:rsid w:val="00071085"/>
    <w:rsid w:val="000710EF"/>
    <w:rsid w:val="000711C6"/>
    <w:rsid w:val="00071369"/>
    <w:rsid w:val="000713D5"/>
    <w:rsid w:val="0007152F"/>
    <w:rsid w:val="000715ED"/>
    <w:rsid w:val="000716F4"/>
    <w:rsid w:val="00071A78"/>
    <w:rsid w:val="00071D03"/>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31B"/>
    <w:rsid w:val="00073481"/>
    <w:rsid w:val="00073560"/>
    <w:rsid w:val="000736AF"/>
    <w:rsid w:val="00073715"/>
    <w:rsid w:val="00073812"/>
    <w:rsid w:val="00073A33"/>
    <w:rsid w:val="00073A5D"/>
    <w:rsid w:val="00073DB7"/>
    <w:rsid w:val="000740CD"/>
    <w:rsid w:val="000745EE"/>
    <w:rsid w:val="000746F2"/>
    <w:rsid w:val="0007483F"/>
    <w:rsid w:val="00074958"/>
    <w:rsid w:val="00074AF6"/>
    <w:rsid w:val="00074C39"/>
    <w:rsid w:val="00074E06"/>
    <w:rsid w:val="00074EAB"/>
    <w:rsid w:val="00075384"/>
    <w:rsid w:val="000753B2"/>
    <w:rsid w:val="000753D6"/>
    <w:rsid w:val="00075498"/>
    <w:rsid w:val="000754D8"/>
    <w:rsid w:val="00075797"/>
    <w:rsid w:val="000757FB"/>
    <w:rsid w:val="00075897"/>
    <w:rsid w:val="0007592E"/>
    <w:rsid w:val="00075A35"/>
    <w:rsid w:val="00075C8E"/>
    <w:rsid w:val="00075CC2"/>
    <w:rsid w:val="00076175"/>
    <w:rsid w:val="000762C3"/>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8F1"/>
    <w:rsid w:val="000779A5"/>
    <w:rsid w:val="00077EDD"/>
    <w:rsid w:val="00077EEA"/>
    <w:rsid w:val="00080022"/>
    <w:rsid w:val="0008002D"/>
    <w:rsid w:val="00080294"/>
    <w:rsid w:val="000802E2"/>
    <w:rsid w:val="000803DF"/>
    <w:rsid w:val="00080440"/>
    <w:rsid w:val="0008067F"/>
    <w:rsid w:val="0008076C"/>
    <w:rsid w:val="0008080E"/>
    <w:rsid w:val="000808B3"/>
    <w:rsid w:val="000808D8"/>
    <w:rsid w:val="00080B14"/>
    <w:rsid w:val="00080CE6"/>
    <w:rsid w:val="00080F70"/>
    <w:rsid w:val="0008106C"/>
    <w:rsid w:val="000812E3"/>
    <w:rsid w:val="000813B1"/>
    <w:rsid w:val="000813C3"/>
    <w:rsid w:val="00081645"/>
    <w:rsid w:val="00081834"/>
    <w:rsid w:val="0008191F"/>
    <w:rsid w:val="00081959"/>
    <w:rsid w:val="00081DDE"/>
    <w:rsid w:val="00081E12"/>
    <w:rsid w:val="000820F1"/>
    <w:rsid w:val="000821A0"/>
    <w:rsid w:val="00082273"/>
    <w:rsid w:val="000822D1"/>
    <w:rsid w:val="00082394"/>
    <w:rsid w:val="0008255A"/>
    <w:rsid w:val="000825F7"/>
    <w:rsid w:val="000826E8"/>
    <w:rsid w:val="000827EE"/>
    <w:rsid w:val="00082858"/>
    <w:rsid w:val="000828C3"/>
    <w:rsid w:val="00082B2F"/>
    <w:rsid w:val="00082B99"/>
    <w:rsid w:val="00082E36"/>
    <w:rsid w:val="00083042"/>
    <w:rsid w:val="000830D0"/>
    <w:rsid w:val="000832C7"/>
    <w:rsid w:val="000832CF"/>
    <w:rsid w:val="000833C1"/>
    <w:rsid w:val="00083410"/>
    <w:rsid w:val="00083509"/>
    <w:rsid w:val="0008357B"/>
    <w:rsid w:val="00083617"/>
    <w:rsid w:val="0008361D"/>
    <w:rsid w:val="00083632"/>
    <w:rsid w:val="00083657"/>
    <w:rsid w:val="00083705"/>
    <w:rsid w:val="00083729"/>
    <w:rsid w:val="000837CA"/>
    <w:rsid w:val="000839D7"/>
    <w:rsid w:val="00083AAC"/>
    <w:rsid w:val="00083C9E"/>
    <w:rsid w:val="00083E0B"/>
    <w:rsid w:val="0008412D"/>
    <w:rsid w:val="0008429C"/>
    <w:rsid w:val="000842E0"/>
    <w:rsid w:val="000842EF"/>
    <w:rsid w:val="000844B5"/>
    <w:rsid w:val="000846F8"/>
    <w:rsid w:val="00084843"/>
    <w:rsid w:val="00084988"/>
    <w:rsid w:val="00084A28"/>
    <w:rsid w:val="00084C57"/>
    <w:rsid w:val="00084F1D"/>
    <w:rsid w:val="00084F2F"/>
    <w:rsid w:val="00084FCD"/>
    <w:rsid w:val="00085389"/>
    <w:rsid w:val="000853E3"/>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28"/>
    <w:rsid w:val="00086EB6"/>
    <w:rsid w:val="000870B5"/>
    <w:rsid w:val="0008723D"/>
    <w:rsid w:val="00087411"/>
    <w:rsid w:val="0008761E"/>
    <w:rsid w:val="00087772"/>
    <w:rsid w:val="00087797"/>
    <w:rsid w:val="00087AC9"/>
    <w:rsid w:val="00087BAB"/>
    <w:rsid w:val="00087D18"/>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19"/>
    <w:rsid w:val="00091724"/>
    <w:rsid w:val="00091734"/>
    <w:rsid w:val="00091848"/>
    <w:rsid w:val="000918B9"/>
    <w:rsid w:val="00091D33"/>
    <w:rsid w:val="00091D6E"/>
    <w:rsid w:val="00091E2D"/>
    <w:rsid w:val="00091FB0"/>
    <w:rsid w:val="00092316"/>
    <w:rsid w:val="0009249A"/>
    <w:rsid w:val="000926FA"/>
    <w:rsid w:val="0009280D"/>
    <w:rsid w:val="00092C22"/>
    <w:rsid w:val="00092C80"/>
    <w:rsid w:val="00092DC3"/>
    <w:rsid w:val="00092DC5"/>
    <w:rsid w:val="00092E77"/>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3E2"/>
    <w:rsid w:val="000945EB"/>
    <w:rsid w:val="0009474D"/>
    <w:rsid w:val="000949B4"/>
    <w:rsid w:val="00094B86"/>
    <w:rsid w:val="00094E03"/>
    <w:rsid w:val="00094FB9"/>
    <w:rsid w:val="000950F0"/>
    <w:rsid w:val="00095278"/>
    <w:rsid w:val="0009531B"/>
    <w:rsid w:val="0009536D"/>
    <w:rsid w:val="000953B7"/>
    <w:rsid w:val="000954DC"/>
    <w:rsid w:val="0009552E"/>
    <w:rsid w:val="0009589A"/>
    <w:rsid w:val="00095A82"/>
    <w:rsid w:val="00095AA5"/>
    <w:rsid w:val="00095C1B"/>
    <w:rsid w:val="00095EA0"/>
    <w:rsid w:val="00095F08"/>
    <w:rsid w:val="00095F23"/>
    <w:rsid w:val="00096040"/>
    <w:rsid w:val="0009611E"/>
    <w:rsid w:val="00096132"/>
    <w:rsid w:val="000961B7"/>
    <w:rsid w:val="000962E9"/>
    <w:rsid w:val="00096522"/>
    <w:rsid w:val="000965BC"/>
    <w:rsid w:val="000965CA"/>
    <w:rsid w:val="00096612"/>
    <w:rsid w:val="000966CE"/>
    <w:rsid w:val="00096968"/>
    <w:rsid w:val="00096A11"/>
    <w:rsid w:val="00096B94"/>
    <w:rsid w:val="00096C0B"/>
    <w:rsid w:val="00096EC2"/>
    <w:rsid w:val="00096F40"/>
    <w:rsid w:val="000971D6"/>
    <w:rsid w:val="0009734B"/>
    <w:rsid w:val="000973BC"/>
    <w:rsid w:val="00097444"/>
    <w:rsid w:val="00097446"/>
    <w:rsid w:val="00097560"/>
    <w:rsid w:val="00097868"/>
    <w:rsid w:val="000979D6"/>
    <w:rsid w:val="00097A69"/>
    <w:rsid w:val="00097C8A"/>
    <w:rsid w:val="00097CC7"/>
    <w:rsid w:val="00097E68"/>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A0B"/>
    <w:rsid w:val="000A1B78"/>
    <w:rsid w:val="000A1BDE"/>
    <w:rsid w:val="000A1CD4"/>
    <w:rsid w:val="000A1F2B"/>
    <w:rsid w:val="000A1F7E"/>
    <w:rsid w:val="000A22D9"/>
    <w:rsid w:val="000A2695"/>
    <w:rsid w:val="000A284D"/>
    <w:rsid w:val="000A2E13"/>
    <w:rsid w:val="000A2E48"/>
    <w:rsid w:val="000A316C"/>
    <w:rsid w:val="000A34D0"/>
    <w:rsid w:val="000A3511"/>
    <w:rsid w:val="000A3579"/>
    <w:rsid w:val="000A3656"/>
    <w:rsid w:val="000A3941"/>
    <w:rsid w:val="000A3B06"/>
    <w:rsid w:val="000A3ECD"/>
    <w:rsid w:val="000A3F72"/>
    <w:rsid w:val="000A404F"/>
    <w:rsid w:val="000A406E"/>
    <w:rsid w:val="000A412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59"/>
    <w:rsid w:val="000A69B5"/>
    <w:rsid w:val="000A6B3D"/>
    <w:rsid w:val="000A6B9C"/>
    <w:rsid w:val="000A6CA6"/>
    <w:rsid w:val="000A6DD7"/>
    <w:rsid w:val="000A6EC3"/>
    <w:rsid w:val="000A71AE"/>
    <w:rsid w:val="000A7318"/>
    <w:rsid w:val="000A75DF"/>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BCB"/>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38"/>
    <w:rsid w:val="000B44C3"/>
    <w:rsid w:val="000B46D2"/>
    <w:rsid w:val="000B4749"/>
    <w:rsid w:val="000B48F5"/>
    <w:rsid w:val="000B4A64"/>
    <w:rsid w:val="000B4A8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6BD"/>
    <w:rsid w:val="000B5885"/>
    <w:rsid w:val="000B5BA0"/>
    <w:rsid w:val="000B5BFA"/>
    <w:rsid w:val="000B5C01"/>
    <w:rsid w:val="000B5C58"/>
    <w:rsid w:val="000B5CBB"/>
    <w:rsid w:val="000B5D8A"/>
    <w:rsid w:val="000B5DA1"/>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951"/>
    <w:rsid w:val="000B7999"/>
    <w:rsid w:val="000B7B92"/>
    <w:rsid w:val="000B7C99"/>
    <w:rsid w:val="000B7F02"/>
    <w:rsid w:val="000B7F97"/>
    <w:rsid w:val="000C0013"/>
    <w:rsid w:val="000C0045"/>
    <w:rsid w:val="000C0074"/>
    <w:rsid w:val="000C0263"/>
    <w:rsid w:val="000C0328"/>
    <w:rsid w:val="000C0535"/>
    <w:rsid w:val="000C0678"/>
    <w:rsid w:val="000C09CC"/>
    <w:rsid w:val="000C0D50"/>
    <w:rsid w:val="000C0F18"/>
    <w:rsid w:val="000C1105"/>
    <w:rsid w:val="000C116D"/>
    <w:rsid w:val="000C13C5"/>
    <w:rsid w:val="000C1500"/>
    <w:rsid w:val="000C1607"/>
    <w:rsid w:val="000C1616"/>
    <w:rsid w:val="000C16D2"/>
    <w:rsid w:val="000C17F3"/>
    <w:rsid w:val="000C19EC"/>
    <w:rsid w:val="000C1A77"/>
    <w:rsid w:val="000C1BD6"/>
    <w:rsid w:val="000C1BDE"/>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9B4"/>
    <w:rsid w:val="000C3BDE"/>
    <w:rsid w:val="000C3CA9"/>
    <w:rsid w:val="000C3CAF"/>
    <w:rsid w:val="000C3EF1"/>
    <w:rsid w:val="000C42B7"/>
    <w:rsid w:val="000C4338"/>
    <w:rsid w:val="000C45E3"/>
    <w:rsid w:val="000C463E"/>
    <w:rsid w:val="000C4646"/>
    <w:rsid w:val="000C4663"/>
    <w:rsid w:val="000C468C"/>
    <w:rsid w:val="000C4698"/>
    <w:rsid w:val="000C47D1"/>
    <w:rsid w:val="000C47E3"/>
    <w:rsid w:val="000C4890"/>
    <w:rsid w:val="000C48A7"/>
    <w:rsid w:val="000C492D"/>
    <w:rsid w:val="000C4EF7"/>
    <w:rsid w:val="000C4F7A"/>
    <w:rsid w:val="000C536C"/>
    <w:rsid w:val="000C53B2"/>
    <w:rsid w:val="000C5476"/>
    <w:rsid w:val="000C5484"/>
    <w:rsid w:val="000C5660"/>
    <w:rsid w:val="000C57FB"/>
    <w:rsid w:val="000C5958"/>
    <w:rsid w:val="000C5A17"/>
    <w:rsid w:val="000C5A1D"/>
    <w:rsid w:val="000C5AA2"/>
    <w:rsid w:val="000C5C96"/>
    <w:rsid w:val="000C5CA9"/>
    <w:rsid w:val="000C5DBD"/>
    <w:rsid w:val="000C5EE0"/>
    <w:rsid w:val="000C6059"/>
    <w:rsid w:val="000C6124"/>
    <w:rsid w:val="000C6312"/>
    <w:rsid w:val="000C648A"/>
    <w:rsid w:val="000C6738"/>
    <w:rsid w:val="000C67EE"/>
    <w:rsid w:val="000C680F"/>
    <w:rsid w:val="000C6843"/>
    <w:rsid w:val="000C692B"/>
    <w:rsid w:val="000C6A36"/>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6F5"/>
    <w:rsid w:val="000D078D"/>
    <w:rsid w:val="000D080A"/>
    <w:rsid w:val="000D0854"/>
    <w:rsid w:val="000D08B1"/>
    <w:rsid w:val="000D08DB"/>
    <w:rsid w:val="000D0903"/>
    <w:rsid w:val="000D0998"/>
    <w:rsid w:val="000D0C59"/>
    <w:rsid w:val="000D0C75"/>
    <w:rsid w:val="000D0D6F"/>
    <w:rsid w:val="000D0E03"/>
    <w:rsid w:val="000D0E70"/>
    <w:rsid w:val="000D0E79"/>
    <w:rsid w:val="000D166E"/>
    <w:rsid w:val="000D170E"/>
    <w:rsid w:val="000D1744"/>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1C"/>
    <w:rsid w:val="000D32CE"/>
    <w:rsid w:val="000D3484"/>
    <w:rsid w:val="000D361A"/>
    <w:rsid w:val="000D36BB"/>
    <w:rsid w:val="000D37F9"/>
    <w:rsid w:val="000D3B1B"/>
    <w:rsid w:val="000D3BAE"/>
    <w:rsid w:val="000D3BDE"/>
    <w:rsid w:val="000D3BFF"/>
    <w:rsid w:val="000D3CB7"/>
    <w:rsid w:val="000D3D5D"/>
    <w:rsid w:val="000D3DEC"/>
    <w:rsid w:val="000D3FFA"/>
    <w:rsid w:val="000D4143"/>
    <w:rsid w:val="000D4146"/>
    <w:rsid w:val="000D41D4"/>
    <w:rsid w:val="000D421D"/>
    <w:rsid w:val="000D44E5"/>
    <w:rsid w:val="000D45FE"/>
    <w:rsid w:val="000D47CB"/>
    <w:rsid w:val="000D4899"/>
    <w:rsid w:val="000D4AA2"/>
    <w:rsid w:val="000D4CE8"/>
    <w:rsid w:val="000D4CFC"/>
    <w:rsid w:val="000D4E29"/>
    <w:rsid w:val="000D4F95"/>
    <w:rsid w:val="000D5035"/>
    <w:rsid w:val="000D52BE"/>
    <w:rsid w:val="000D5357"/>
    <w:rsid w:val="000D5A65"/>
    <w:rsid w:val="000D5B0F"/>
    <w:rsid w:val="000D5B2C"/>
    <w:rsid w:val="000D5D3C"/>
    <w:rsid w:val="000D5E5E"/>
    <w:rsid w:val="000D5EC6"/>
    <w:rsid w:val="000D5EF3"/>
    <w:rsid w:val="000D5F05"/>
    <w:rsid w:val="000D604D"/>
    <w:rsid w:val="000D6079"/>
    <w:rsid w:val="000D60BC"/>
    <w:rsid w:val="000D615F"/>
    <w:rsid w:val="000D623F"/>
    <w:rsid w:val="000D63CF"/>
    <w:rsid w:val="000D64D4"/>
    <w:rsid w:val="000D6552"/>
    <w:rsid w:val="000D656B"/>
    <w:rsid w:val="000D65AA"/>
    <w:rsid w:val="000D65E1"/>
    <w:rsid w:val="000D6653"/>
    <w:rsid w:val="000D683D"/>
    <w:rsid w:val="000D6912"/>
    <w:rsid w:val="000D6CDE"/>
    <w:rsid w:val="000D6E4B"/>
    <w:rsid w:val="000D718F"/>
    <w:rsid w:val="000D738D"/>
    <w:rsid w:val="000D73CE"/>
    <w:rsid w:val="000D7893"/>
    <w:rsid w:val="000D78A4"/>
    <w:rsid w:val="000D7946"/>
    <w:rsid w:val="000D795C"/>
    <w:rsid w:val="000D7A73"/>
    <w:rsid w:val="000D7B71"/>
    <w:rsid w:val="000D7BE9"/>
    <w:rsid w:val="000D7CA6"/>
    <w:rsid w:val="000D7CAE"/>
    <w:rsid w:val="000D7E6D"/>
    <w:rsid w:val="000D7F97"/>
    <w:rsid w:val="000E00A4"/>
    <w:rsid w:val="000E01A5"/>
    <w:rsid w:val="000E064A"/>
    <w:rsid w:val="000E0730"/>
    <w:rsid w:val="000E0783"/>
    <w:rsid w:val="000E08F2"/>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2EB9"/>
    <w:rsid w:val="000E2F93"/>
    <w:rsid w:val="000E3086"/>
    <w:rsid w:val="000E3218"/>
    <w:rsid w:val="000E32C6"/>
    <w:rsid w:val="000E34BB"/>
    <w:rsid w:val="000E34CD"/>
    <w:rsid w:val="000E3537"/>
    <w:rsid w:val="000E3554"/>
    <w:rsid w:val="000E3996"/>
    <w:rsid w:val="000E39C0"/>
    <w:rsid w:val="000E3A7B"/>
    <w:rsid w:val="000E3C5F"/>
    <w:rsid w:val="000E3E21"/>
    <w:rsid w:val="000E3E5A"/>
    <w:rsid w:val="000E3F0C"/>
    <w:rsid w:val="000E4074"/>
    <w:rsid w:val="000E4515"/>
    <w:rsid w:val="000E45C5"/>
    <w:rsid w:val="000E45FF"/>
    <w:rsid w:val="000E4977"/>
    <w:rsid w:val="000E4B76"/>
    <w:rsid w:val="000E4B87"/>
    <w:rsid w:val="000E4BC4"/>
    <w:rsid w:val="000E4CA8"/>
    <w:rsid w:val="000E4CCF"/>
    <w:rsid w:val="000E4FFC"/>
    <w:rsid w:val="000E509A"/>
    <w:rsid w:val="000E50FC"/>
    <w:rsid w:val="000E5108"/>
    <w:rsid w:val="000E56D3"/>
    <w:rsid w:val="000E5701"/>
    <w:rsid w:val="000E5942"/>
    <w:rsid w:val="000E5C22"/>
    <w:rsid w:val="000E5C2F"/>
    <w:rsid w:val="000E5E01"/>
    <w:rsid w:val="000E5E27"/>
    <w:rsid w:val="000E5E4D"/>
    <w:rsid w:val="000E5E60"/>
    <w:rsid w:val="000E5ED9"/>
    <w:rsid w:val="000E622D"/>
    <w:rsid w:val="000E6389"/>
    <w:rsid w:val="000E639E"/>
    <w:rsid w:val="000E643F"/>
    <w:rsid w:val="000E663E"/>
    <w:rsid w:val="000E67A2"/>
    <w:rsid w:val="000E68DC"/>
    <w:rsid w:val="000E6A9F"/>
    <w:rsid w:val="000E6B78"/>
    <w:rsid w:val="000E6BA8"/>
    <w:rsid w:val="000E6ED0"/>
    <w:rsid w:val="000E7021"/>
    <w:rsid w:val="000E7179"/>
    <w:rsid w:val="000E7210"/>
    <w:rsid w:val="000E7746"/>
    <w:rsid w:val="000E7A02"/>
    <w:rsid w:val="000E7B8F"/>
    <w:rsid w:val="000E7BC4"/>
    <w:rsid w:val="000E7CC5"/>
    <w:rsid w:val="000E7E29"/>
    <w:rsid w:val="000E7E37"/>
    <w:rsid w:val="000E7FDF"/>
    <w:rsid w:val="000F0043"/>
    <w:rsid w:val="000F0130"/>
    <w:rsid w:val="000F01C3"/>
    <w:rsid w:val="000F037B"/>
    <w:rsid w:val="000F0832"/>
    <w:rsid w:val="000F093A"/>
    <w:rsid w:val="000F0A87"/>
    <w:rsid w:val="000F0B33"/>
    <w:rsid w:val="000F0D44"/>
    <w:rsid w:val="000F1016"/>
    <w:rsid w:val="000F113C"/>
    <w:rsid w:val="000F115E"/>
    <w:rsid w:val="000F1239"/>
    <w:rsid w:val="000F14B3"/>
    <w:rsid w:val="000F1573"/>
    <w:rsid w:val="000F158D"/>
    <w:rsid w:val="000F15B3"/>
    <w:rsid w:val="000F165E"/>
    <w:rsid w:val="000F16B0"/>
    <w:rsid w:val="000F16C2"/>
    <w:rsid w:val="000F1766"/>
    <w:rsid w:val="000F17DC"/>
    <w:rsid w:val="000F1960"/>
    <w:rsid w:val="000F1A8A"/>
    <w:rsid w:val="000F1B3F"/>
    <w:rsid w:val="000F1C26"/>
    <w:rsid w:val="000F1CEC"/>
    <w:rsid w:val="000F1FD8"/>
    <w:rsid w:val="000F2086"/>
    <w:rsid w:val="000F217F"/>
    <w:rsid w:val="000F2207"/>
    <w:rsid w:val="000F2499"/>
    <w:rsid w:val="000F27D8"/>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064"/>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BED"/>
    <w:rsid w:val="000F7C11"/>
    <w:rsid w:val="000F7FB9"/>
    <w:rsid w:val="001000B8"/>
    <w:rsid w:val="00100244"/>
    <w:rsid w:val="0010035C"/>
    <w:rsid w:val="001003AF"/>
    <w:rsid w:val="00100433"/>
    <w:rsid w:val="0010044D"/>
    <w:rsid w:val="00100755"/>
    <w:rsid w:val="00100848"/>
    <w:rsid w:val="0010084C"/>
    <w:rsid w:val="00100925"/>
    <w:rsid w:val="00100B93"/>
    <w:rsid w:val="00100C3D"/>
    <w:rsid w:val="00100EE3"/>
    <w:rsid w:val="0010107E"/>
    <w:rsid w:val="001010C4"/>
    <w:rsid w:val="00101132"/>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7EE"/>
    <w:rsid w:val="001038CF"/>
    <w:rsid w:val="0010393D"/>
    <w:rsid w:val="00103A26"/>
    <w:rsid w:val="00103A6F"/>
    <w:rsid w:val="00103AAA"/>
    <w:rsid w:val="00103AF1"/>
    <w:rsid w:val="00103BA8"/>
    <w:rsid w:val="00103EDF"/>
    <w:rsid w:val="001041B8"/>
    <w:rsid w:val="0010443D"/>
    <w:rsid w:val="00104755"/>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72"/>
    <w:rsid w:val="00106088"/>
    <w:rsid w:val="001060D3"/>
    <w:rsid w:val="001060F3"/>
    <w:rsid w:val="0010618E"/>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EE"/>
    <w:rsid w:val="001103FA"/>
    <w:rsid w:val="001104DD"/>
    <w:rsid w:val="00110527"/>
    <w:rsid w:val="0011087D"/>
    <w:rsid w:val="00110A24"/>
    <w:rsid w:val="00110B89"/>
    <w:rsid w:val="00110C96"/>
    <w:rsid w:val="00110CF4"/>
    <w:rsid w:val="00110D13"/>
    <w:rsid w:val="00110F51"/>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1A"/>
    <w:rsid w:val="00112385"/>
    <w:rsid w:val="00112510"/>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4FEB"/>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5CAB"/>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30B"/>
    <w:rsid w:val="001175D0"/>
    <w:rsid w:val="00117690"/>
    <w:rsid w:val="00117728"/>
    <w:rsid w:val="00117A3F"/>
    <w:rsid w:val="00117B5F"/>
    <w:rsid w:val="00117C8D"/>
    <w:rsid w:val="00117EBD"/>
    <w:rsid w:val="001204BE"/>
    <w:rsid w:val="001204DD"/>
    <w:rsid w:val="00120691"/>
    <w:rsid w:val="001207FF"/>
    <w:rsid w:val="00120BB6"/>
    <w:rsid w:val="00120C7E"/>
    <w:rsid w:val="00120E0A"/>
    <w:rsid w:val="00120F38"/>
    <w:rsid w:val="00121106"/>
    <w:rsid w:val="0012111D"/>
    <w:rsid w:val="001211E9"/>
    <w:rsid w:val="001213C9"/>
    <w:rsid w:val="001213DA"/>
    <w:rsid w:val="0012149B"/>
    <w:rsid w:val="001215B3"/>
    <w:rsid w:val="001215BB"/>
    <w:rsid w:val="001215C6"/>
    <w:rsid w:val="00121628"/>
    <w:rsid w:val="0012183D"/>
    <w:rsid w:val="00121B67"/>
    <w:rsid w:val="00121BBF"/>
    <w:rsid w:val="00121BFA"/>
    <w:rsid w:val="00121C19"/>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B9D"/>
    <w:rsid w:val="00126DB1"/>
    <w:rsid w:val="00126EDC"/>
    <w:rsid w:val="00126FB7"/>
    <w:rsid w:val="00127123"/>
    <w:rsid w:val="001275A9"/>
    <w:rsid w:val="00127728"/>
    <w:rsid w:val="00127753"/>
    <w:rsid w:val="0012778C"/>
    <w:rsid w:val="00127BF3"/>
    <w:rsid w:val="00127C5F"/>
    <w:rsid w:val="00127CF8"/>
    <w:rsid w:val="00127E2A"/>
    <w:rsid w:val="00127E4F"/>
    <w:rsid w:val="0013003B"/>
    <w:rsid w:val="00130280"/>
    <w:rsid w:val="001302D2"/>
    <w:rsid w:val="00130514"/>
    <w:rsid w:val="00130579"/>
    <w:rsid w:val="0013063B"/>
    <w:rsid w:val="001307A8"/>
    <w:rsid w:val="001308F2"/>
    <w:rsid w:val="00130A2C"/>
    <w:rsid w:val="00130A30"/>
    <w:rsid w:val="00130A33"/>
    <w:rsid w:val="00130F01"/>
    <w:rsid w:val="00130F43"/>
    <w:rsid w:val="00130FC7"/>
    <w:rsid w:val="00130FC8"/>
    <w:rsid w:val="001311EB"/>
    <w:rsid w:val="0013128C"/>
    <w:rsid w:val="001314F3"/>
    <w:rsid w:val="001317C0"/>
    <w:rsid w:val="001317E4"/>
    <w:rsid w:val="00131B3C"/>
    <w:rsid w:val="00131C64"/>
    <w:rsid w:val="00131CD3"/>
    <w:rsid w:val="00131D27"/>
    <w:rsid w:val="00131F2A"/>
    <w:rsid w:val="00131F89"/>
    <w:rsid w:val="00131F9E"/>
    <w:rsid w:val="00132214"/>
    <w:rsid w:val="001323C9"/>
    <w:rsid w:val="00132472"/>
    <w:rsid w:val="00132570"/>
    <w:rsid w:val="0013260A"/>
    <w:rsid w:val="00132709"/>
    <w:rsid w:val="00132787"/>
    <w:rsid w:val="00132805"/>
    <w:rsid w:val="00132812"/>
    <w:rsid w:val="001328EB"/>
    <w:rsid w:val="00132988"/>
    <w:rsid w:val="001329E5"/>
    <w:rsid w:val="00132A80"/>
    <w:rsid w:val="00132AEC"/>
    <w:rsid w:val="00132B2F"/>
    <w:rsid w:val="00132B68"/>
    <w:rsid w:val="00132B81"/>
    <w:rsid w:val="00132C61"/>
    <w:rsid w:val="00132D01"/>
    <w:rsid w:val="00132F98"/>
    <w:rsid w:val="001330BA"/>
    <w:rsid w:val="0013321E"/>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05B"/>
    <w:rsid w:val="0013436A"/>
    <w:rsid w:val="001343A6"/>
    <w:rsid w:val="00134481"/>
    <w:rsid w:val="00134561"/>
    <w:rsid w:val="001346E8"/>
    <w:rsid w:val="00134751"/>
    <w:rsid w:val="001347C5"/>
    <w:rsid w:val="00134A96"/>
    <w:rsid w:val="00134AD8"/>
    <w:rsid w:val="00134C29"/>
    <w:rsid w:val="00134D1D"/>
    <w:rsid w:val="00134D74"/>
    <w:rsid w:val="00134FF4"/>
    <w:rsid w:val="0013507D"/>
    <w:rsid w:val="001350B7"/>
    <w:rsid w:val="00135137"/>
    <w:rsid w:val="00135274"/>
    <w:rsid w:val="0013527D"/>
    <w:rsid w:val="00135307"/>
    <w:rsid w:val="00135369"/>
    <w:rsid w:val="001353F4"/>
    <w:rsid w:val="00135473"/>
    <w:rsid w:val="001356CF"/>
    <w:rsid w:val="00135710"/>
    <w:rsid w:val="001359FC"/>
    <w:rsid w:val="00135C84"/>
    <w:rsid w:val="00135D58"/>
    <w:rsid w:val="00135E72"/>
    <w:rsid w:val="00135F6C"/>
    <w:rsid w:val="00135FF3"/>
    <w:rsid w:val="00136127"/>
    <w:rsid w:val="00136183"/>
    <w:rsid w:val="001361A5"/>
    <w:rsid w:val="0013626C"/>
    <w:rsid w:val="001366F8"/>
    <w:rsid w:val="00136742"/>
    <w:rsid w:val="001367AE"/>
    <w:rsid w:val="00136808"/>
    <w:rsid w:val="00136857"/>
    <w:rsid w:val="0013687B"/>
    <w:rsid w:val="001368DF"/>
    <w:rsid w:val="00136988"/>
    <w:rsid w:val="001369FF"/>
    <w:rsid w:val="00136A47"/>
    <w:rsid w:val="00136C2A"/>
    <w:rsid w:val="00136D6F"/>
    <w:rsid w:val="00136F2F"/>
    <w:rsid w:val="00137111"/>
    <w:rsid w:val="00137177"/>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10"/>
    <w:rsid w:val="00140C59"/>
    <w:rsid w:val="00140DA9"/>
    <w:rsid w:val="00140DD3"/>
    <w:rsid w:val="00140E74"/>
    <w:rsid w:val="00140F61"/>
    <w:rsid w:val="00140FD2"/>
    <w:rsid w:val="001411AF"/>
    <w:rsid w:val="0014145F"/>
    <w:rsid w:val="0014172E"/>
    <w:rsid w:val="001417C8"/>
    <w:rsid w:val="00141938"/>
    <w:rsid w:val="00141991"/>
    <w:rsid w:val="00141B0D"/>
    <w:rsid w:val="00141BB5"/>
    <w:rsid w:val="00141BCB"/>
    <w:rsid w:val="00141BED"/>
    <w:rsid w:val="00141C8F"/>
    <w:rsid w:val="00141D5A"/>
    <w:rsid w:val="001421C0"/>
    <w:rsid w:val="0014226B"/>
    <w:rsid w:val="001423DD"/>
    <w:rsid w:val="001424A7"/>
    <w:rsid w:val="00142581"/>
    <w:rsid w:val="001425BB"/>
    <w:rsid w:val="0014277B"/>
    <w:rsid w:val="00142A54"/>
    <w:rsid w:val="00142AF1"/>
    <w:rsid w:val="00142E3D"/>
    <w:rsid w:val="001430E5"/>
    <w:rsid w:val="001434D1"/>
    <w:rsid w:val="00143563"/>
    <w:rsid w:val="00143680"/>
    <w:rsid w:val="001439D4"/>
    <w:rsid w:val="00143ABF"/>
    <w:rsid w:val="00143BC6"/>
    <w:rsid w:val="00143C4A"/>
    <w:rsid w:val="00143C71"/>
    <w:rsid w:val="00143C82"/>
    <w:rsid w:val="00143D4E"/>
    <w:rsid w:val="00143D68"/>
    <w:rsid w:val="00143DF7"/>
    <w:rsid w:val="00143EF4"/>
    <w:rsid w:val="0014408C"/>
    <w:rsid w:val="0014413E"/>
    <w:rsid w:val="001441E0"/>
    <w:rsid w:val="00144231"/>
    <w:rsid w:val="00144519"/>
    <w:rsid w:val="00144695"/>
    <w:rsid w:val="001446CF"/>
    <w:rsid w:val="00144709"/>
    <w:rsid w:val="0014488C"/>
    <w:rsid w:val="001448CA"/>
    <w:rsid w:val="00144927"/>
    <w:rsid w:val="001449A1"/>
    <w:rsid w:val="00144BD7"/>
    <w:rsid w:val="00144CFF"/>
    <w:rsid w:val="00144DC8"/>
    <w:rsid w:val="00144EA7"/>
    <w:rsid w:val="00145043"/>
    <w:rsid w:val="001450AA"/>
    <w:rsid w:val="001450D5"/>
    <w:rsid w:val="00145228"/>
    <w:rsid w:val="001453EF"/>
    <w:rsid w:val="0014551C"/>
    <w:rsid w:val="001455AE"/>
    <w:rsid w:val="001456AC"/>
    <w:rsid w:val="001457C4"/>
    <w:rsid w:val="00145A9E"/>
    <w:rsid w:val="001461E6"/>
    <w:rsid w:val="001463E7"/>
    <w:rsid w:val="00146468"/>
    <w:rsid w:val="001466AD"/>
    <w:rsid w:val="001466B0"/>
    <w:rsid w:val="001467EF"/>
    <w:rsid w:val="00146A20"/>
    <w:rsid w:val="00146B35"/>
    <w:rsid w:val="00146C18"/>
    <w:rsid w:val="00146C1B"/>
    <w:rsid w:val="00146DAF"/>
    <w:rsid w:val="00146DB9"/>
    <w:rsid w:val="00146E31"/>
    <w:rsid w:val="00146EDA"/>
    <w:rsid w:val="00146FB7"/>
    <w:rsid w:val="001472AB"/>
    <w:rsid w:val="001473AE"/>
    <w:rsid w:val="0014742D"/>
    <w:rsid w:val="0014746E"/>
    <w:rsid w:val="00147628"/>
    <w:rsid w:val="00147674"/>
    <w:rsid w:val="00147894"/>
    <w:rsid w:val="00147AAE"/>
    <w:rsid w:val="00147F63"/>
    <w:rsid w:val="00150060"/>
    <w:rsid w:val="001500F8"/>
    <w:rsid w:val="00150133"/>
    <w:rsid w:val="00150184"/>
    <w:rsid w:val="001501D9"/>
    <w:rsid w:val="001501E0"/>
    <w:rsid w:val="001502B1"/>
    <w:rsid w:val="00150468"/>
    <w:rsid w:val="00150470"/>
    <w:rsid w:val="001504CE"/>
    <w:rsid w:val="001507BD"/>
    <w:rsid w:val="0015087F"/>
    <w:rsid w:val="00150A20"/>
    <w:rsid w:val="00150B2F"/>
    <w:rsid w:val="00150C02"/>
    <w:rsid w:val="00150C1D"/>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9A1"/>
    <w:rsid w:val="00152A55"/>
    <w:rsid w:val="00152A98"/>
    <w:rsid w:val="00152B87"/>
    <w:rsid w:val="00152D48"/>
    <w:rsid w:val="00152D7F"/>
    <w:rsid w:val="00152D95"/>
    <w:rsid w:val="0015313F"/>
    <w:rsid w:val="0015314D"/>
    <w:rsid w:val="00153216"/>
    <w:rsid w:val="00153233"/>
    <w:rsid w:val="0015340A"/>
    <w:rsid w:val="001537C0"/>
    <w:rsid w:val="00153843"/>
    <w:rsid w:val="00153896"/>
    <w:rsid w:val="001538B5"/>
    <w:rsid w:val="00153ABB"/>
    <w:rsid w:val="00153BC4"/>
    <w:rsid w:val="00153BFE"/>
    <w:rsid w:val="00153D98"/>
    <w:rsid w:val="00153DDC"/>
    <w:rsid w:val="00154017"/>
    <w:rsid w:val="0015429B"/>
    <w:rsid w:val="001543CF"/>
    <w:rsid w:val="001544D1"/>
    <w:rsid w:val="00154613"/>
    <w:rsid w:val="00154696"/>
    <w:rsid w:val="00154AC1"/>
    <w:rsid w:val="00154B44"/>
    <w:rsid w:val="00154D00"/>
    <w:rsid w:val="00154DB3"/>
    <w:rsid w:val="00154E6D"/>
    <w:rsid w:val="0015538F"/>
    <w:rsid w:val="0015560E"/>
    <w:rsid w:val="00155624"/>
    <w:rsid w:val="001558C0"/>
    <w:rsid w:val="00155933"/>
    <w:rsid w:val="00155A42"/>
    <w:rsid w:val="00155A6B"/>
    <w:rsid w:val="00155CA2"/>
    <w:rsid w:val="00155D26"/>
    <w:rsid w:val="00155DD5"/>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0B"/>
    <w:rsid w:val="001578D6"/>
    <w:rsid w:val="0015794B"/>
    <w:rsid w:val="0015798B"/>
    <w:rsid w:val="00157999"/>
    <w:rsid w:val="00157B90"/>
    <w:rsid w:val="00157C6D"/>
    <w:rsid w:val="00157C9E"/>
    <w:rsid w:val="00157D3C"/>
    <w:rsid w:val="00157DBF"/>
    <w:rsid w:val="00157DF5"/>
    <w:rsid w:val="001600C1"/>
    <w:rsid w:val="001602E2"/>
    <w:rsid w:val="001603AE"/>
    <w:rsid w:val="00160581"/>
    <w:rsid w:val="00160638"/>
    <w:rsid w:val="001606F4"/>
    <w:rsid w:val="0016074F"/>
    <w:rsid w:val="00160840"/>
    <w:rsid w:val="00160C53"/>
    <w:rsid w:val="00160FD5"/>
    <w:rsid w:val="001612CC"/>
    <w:rsid w:val="0016135E"/>
    <w:rsid w:val="001614A6"/>
    <w:rsid w:val="001614F1"/>
    <w:rsid w:val="00161533"/>
    <w:rsid w:val="00161616"/>
    <w:rsid w:val="00161726"/>
    <w:rsid w:val="0016179D"/>
    <w:rsid w:val="001619CF"/>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C3"/>
    <w:rsid w:val="001638DB"/>
    <w:rsid w:val="00163A7C"/>
    <w:rsid w:val="00163AF4"/>
    <w:rsid w:val="00163D19"/>
    <w:rsid w:val="00163D7F"/>
    <w:rsid w:val="00163E4F"/>
    <w:rsid w:val="00163E8D"/>
    <w:rsid w:val="00163E8E"/>
    <w:rsid w:val="0016419C"/>
    <w:rsid w:val="001642ED"/>
    <w:rsid w:val="001644B6"/>
    <w:rsid w:val="001645B1"/>
    <w:rsid w:val="001645E1"/>
    <w:rsid w:val="00164653"/>
    <w:rsid w:val="0016468F"/>
    <w:rsid w:val="001648F0"/>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9EB"/>
    <w:rsid w:val="00165AAB"/>
    <w:rsid w:val="00165B35"/>
    <w:rsid w:val="00165BA9"/>
    <w:rsid w:val="00165BAE"/>
    <w:rsid w:val="00165CEA"/>
    <w:rsid w:val="00165D7A"/>
    <w:rsid w:val="00165E76"/>
    <w:rsid w:val="00166071"/>
    <w:rsid w:val="0016616E"/>
    <w:rsid w:val="00166518"/>
    <w:rsid w:val="0016653E"/>
    <w:rsid w:val="0016681B"/>
    <w:rsid w:val="00166886"/>
    <w:rsid w:val="00166AC6"/>
    <w:rsid w:val="00166BB9"/>
    <w:rsid w:val="00166CC5"/>
    <w:rsid w:val="00166E94"/>
    <w:rsid w:val="001673E3"/>
    <w:rsid w:val="001673FA"/>
    <w:rsid w:val="00167554"/>
    <w:rsid w:val="001675FE"/>
    <w:rsid w:val="001676F8"/>
    <w:rsid w:val="00167720"/>
    <w:rsid w:val="00167ABB"/>
    <w:rsid w:val="00167B41"/>
    <w:rsid w:val="00167D2E"/>
    <w:rsid w:val="00167DBD"/>
    <w:rsid w:val="00167F09"/>
    <w:rsid w:val="00167F85"/>
    <w:rsid w:val="0017002E"/>
    <w:rsid w:val="00170420"/>
    <w:rsid w:val="00170518"/>
    <w:rsid w:val="001708EE"/>
    <w:rsid w:val="00170912"/>
    <w:rsid w:val="00170A3C"/>
    <w:rsid w:val="00170D65"/>
    <w:rsid w:val="00170DC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7D5"/>
    <w:rsid w:val="00172829"/>
    <w:rsid w:val="0017291D"/>
    <w:rsid w:val="001729BB"/>
    <w:rsid w:val="001729D4"/>
    <w:rsid w:val="00172B12"/>
    <w:rsid w:val="00172B45"/>
    <w:rsid w:val="00172C22"/>
    <w:rsid w:val="00172DC8"/>
    <w:rsid w:val="00172EC6"/>
    <w:rsid w:val="00173108"/>
    <w:rsid w:val="001733B1"/>
    <w:rsid w:val="00173858"/>
    <w:rsid w:val="00173863"/>
    <w:rsid w:val="0017386C"/>
    <w:rsid w:val="001738B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7D6"/>
    <w:rsid w:val="00176B11"/>
    <w:rsid w:val="00176E03"/>
    <w:rsid w:val="00177283"/>
    <w:rsid w:val="00177318"/>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44F"/>
    <w:rsid w:val="00181557"/>
    <w:rsid w:val="001815DF"/>
    <w:rsid w:val="00181630"/>
    <w:rsid w:val="001816B6"/>
    <w:rsid w:val="00181741"/>
    <w:rsid w:val="00181CB9"/>
    <w:rsid w:val="00181D58"/>
    <w:rsid w:val="00181EFE"/>
    <w:rsid w:val="00181F12"/>
    <w:rsid w:val="00181F5E"/>
    <w:rsid w:val="00181F84"/>
    <w:rsid w:val="00182037"/>
    <w:rsid w:val="0018204F"/>
    <w:rsid w:val="001820FD"/>
    <w:rsid w:val="0018229E"/>
    <w:rsid w:val="001822D1"/>
    <w:rsid w:val="001822D7"/>
    <w:rsid w:val="00182485"/>
    <w:rsid w:val="001824AB"/>
    <w:rsid w:val="00182528"/>
    <w:rsid w:val="0018253B"/>
    <w:rsid w:val="00182835"/>
    <w:rsid w:val="001828B6"/>
    <w:rsid w:val="00182999"/>
    <w:rsid w:val="00182A69"/>
    <w:rsid w:val="00182C19"/>
    <w:rsid w:val="00182E15"/>
    <w:rsid w:val="00182E2B"/>
    <w:rsid w:val="00182F59"/>
    <w:rsid w:val="00182F68"/>
    <w:rsid w:val="00183006"/>
    <w:rsid w:val="001831B5"/>
    <w:rsid w:val="001831BA"/>
    <w:rsid w:val="00183289"/>
    <w:rsid w:val="00183417"/>
    <w:rsid w:val="001834F0"/>
    <w:rsid w:val="001835DB"/>
    <w:rsid w:val="001836E7"/>
    <w:rsid w:val="00183787"/>
    <w:rsid w:val="0018383B"/>
    <w:rsid w:val="00183B2D"/>
    <w:rsid w:val="00183B47"/>
    <w:rsid w:val="00183B69"/>
    <w:rsid w:val="00183C5E"/>
    <w:rsid w:val="00183C6B"/>
    <w:rsid w:val="00183D0E"/>
    <w:rsid w:val="00183D34"/>
    <w:rsid w:val="00183D57"/>
    <w:rsid w:val="00183DB8"/>
    <w:rsid w:val="00183E36"/>
    <w:rsid w:val="00183E73"/>
    <w:rsid w:val="00183EEB"/>
    <w:rsid w:val="00183F4E"/>
    <w:rsid w:val="0018418D"/>
    <w:rsid w:val="0018426A"/>
    <w:rsid w:val="001843DF"/>
    <w:rsid w:val="0018454C"/>
    <w:rsid w:val="00184674"/>
    <w:rsid w:val="001846E9"/>
    <w:rsid w:val="001848FC"/>
    <w:rsid w:val="0018497F"/>
    <w:rsid w:val="00184B7E"/>
    <w:rsid w:val="00184C44"/>
    <w:rsid w:val="00184DFC"/>
    <w:rsid w:val="00184E69"/>
    <w:rsid w:val="00184EFA"/>
    <w:rsid w:val="00184F27"/>
    <w:rsid w:val="001850EC"/>
    <w:rsid w:val="001851C8"/>
    <w:rsid w:val="001851CF"/>
    <w:rsid w:val="001852D7"/>
    <w:rsid w:val="00185324"/>
    <w:rsid w:val="001854E5"/>
    <w:rsid w:val="0018556D"/>
    <w:rsid w:val="0018559B"/>
    <w:rsid w:val="0018562E"/>
    <w:rsid w:val="0018588D"/>
    <w:rsid w:val="0018596B"/>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BC6"/>
    <w:rsid w:val="00186DAA"/>
    <w:rsid w:val="00186E5A"/>
    <w:rsid w:val="001870ED"/>
    <w:rsid w:val="0018742A"/>
    <w:rsid w:val="00187443"/>
    <w:rsid w:val="001876C0"/>
    <w:rsid w:val="00187721"/>
    <w:rsid w:val="001878CC"/>
    <w:rsid w:val="001878E4"/>
    <w:rsid w:val="00187B6F"/>
    <w:rsid w:val="00187C5B"/>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BC4"/>
    <w:rsid w:val="00190E28"/>
    <w:rsid w:val="00190EBB"/>
    <w:rsid w:val="00190FAC"/>
    <w:rsid w:val="00190FF1"/>
    <w:rsid w:val="00191031"/>
    <w:rsid w:val="00191042"/>
    <w:rsid w:val="0019104C"/>
    <w:rsid w:val="00191064"/>
    <w:rsid w:val="0019134D"/>
    <w:rsid w:val="001915A6"/>
    <w:rsid w:val="0019172B"/>
    <w:rsid w:val="001919F3"/>
    <w:rsid w:val="00191A10"/>
    <w:rsid w:val="00191B8E"/>
    <w:rsid w:val="00191C6F"/>
    <w:rsid w:val="00191F0F"/>
    <w:rsid w:val="00192071"/>
    <w:rsid w:val="00192126"/>
    <w:rsid w:val="001923A1"/>
    <w:rsid w:val="00192A79"/>
    <w:rsid w:val="00192F37"/>
    <w:rsid w:val="00193043"/>
    <w:rsid w:val="00193051"/>
    <w:rsid w:val="001930A6"/>
    <w:rsid w:val="001930B1"/>
    <w:rsid w:val="001930F6"/>
    <w:rsid w:val="0019347C"/>
    <w:rsid w:val="00193547"/>
    <w:rsid w:val="00193562"/>
    <w:rsid w:val="001936CF"/>
    <w:rsid w:val="001937B0"/>
    <w:rsid w:val="00193847"/>
    <w:rsid w:val="001939C4"/>
    <w:rsid w:val="00193A11"/>
    <w:rsid w:val="00193AC6"/>
    <w:rsid w:val="00194113"/>
    <w:rsid w:val="001946C5"/>
    <w:rsid w:val="001946DC"/>
    <w:rsid w:val="0019476B"/>
    <w:rsid w:val="001947A9"/>
    <w:rsid w:val="0019491C"/>
    <w:rsid w:val="0019497D"/>
    <w:rsid w:val="00194A05"/>
    <w:rsid w:val="00194E09"/>
    <w:rsid w:val="00194F11"/>
    <w:rsid w:val="00195192"/>
    <w:rsid w:val="00195273"/>
    <w:rsid w:val="001952D3"/>
    <w:rsid w:val="0019542D"/>
    <w:rsid w:val="0019551F"/>
    <w:rsid w:val="00195614"/>
    <w:rsid w:val="00195646"/>
    <w:rsid w:val="001958FF"/>
    <w:rsid w:val="001959DF"/>
    <w:rsid w:val="00195A31"/>
    <w:rsid w:val="00195A9A"/>
    <w:rsid w:val="00195BAD"/>
    <w:rsid w:val="00195C04"/>
    <w:rsid w:val="00195C2D"/>
    <w:rsid w:val="00195EB0"/>
    <w:rsid w:val="00195EFB"/>
    <w:rsid w:val="00195F78"/>
    <w:rsid w:val="00195FB9"/>
    <w:rsid w:val="00196032"/>
    <w:rsid w:val="0019608E"/>
    <w:rsid w:val="001960BA"/>
    <w:rsid w:val="00196107"/>
    <w:rsid w:val="00196189"/>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86C"/>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5B"/>
    <w:rsid w:val="001A0C68"/>
    <w:rsid w:val="001A0C9C"/>
    <w:rsid w:val="001A0DC6"/>
    <w:rsid w:val="001A114C"/>
    <w:rsid w:val="001A11B0"/>
    <w:rsid w:val="001A14A2"/>
    <w:rsid w:val="001A1545"/>
    <w:rsid w:val="001A15BB"/>
    <w:rsid w:val="001A15C3"/>
    <w:rsid w:val="001A1604"/>
    <w:rsid w:val="001A1640"/>
    <w:rsid w:val="001A16C2"/>
    <w:rsid w:val="001A1874"/>
    <w:rsid w:val="001A1A7D"/>
    <w:rsid w:val="001A1BF6"/>
    <w:rsid w:val="001A1E6F"/>
    <w:rsid w:val="001A1EA5"/>
    <w:rsid w:val="001A2036"/>
    <w:rsid w:val="001A2128"/>
    <w:rsid w:val="001A2176"/>
    <w:rsid w:val="001A21CB"/>
    <w:rsid w:val="001A229B"/>
    <w:rsid w:val="001A2332"/>
    <w:rsid w:val="001A233D"/>
    <w:rsid w:val="001A24FE"/>
    <w:rsid w:val="001A279D"/>
    <w:rsid w:val="001A2830"/>
    <w:rsid w:val="001A2C31"/>
    <w:rsid w:val="001A2D49"/>
    <w:rsid w:val="001A2DD1"/>
    <w:rsid w:val="001A2EB4"/>
    <w:rsid w:val="001A30CE"/>
    <w:rsid w:val="001A315C"/>
    <w:rsid w:val="001A3245"/>
    <w:rsid w:val="001A343E"/>
    <w:rsid w:val="001A3464"/>
    <w:rsid w:val="001A3578"/>
    <w:rsid w:val="001A390E"/>
    <w:rsid w:val="001A3A20"/>
    <w:rsid w:val="001A3A43"/>
    <w:rsid w:val="001A3CD4"/>
    <w:rsid w:val="001A3D7F"/>
    <w:rsid w:val="001A4201"/>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2CF"/>
    <w:rsid w:val="001A69E9"/>
    <w:rsid w:val="001A6B75"/>
    <w:rsid w:val="001A6D91"/>
    <w:rsid w:val="001A6E2F"/>
    <w:rsid w:val="001A6FBA"/>
    <w:rsid w:val="001A6FE0"/>
    <w:rsid w:val="001A70AC"/>
    <w:rsid w:val="001A71E8"/>
    <w:rsid w:val="001A7227"/>
    <w:rsid w:val="001A72C2"/>
    <w:rsid w:val="001A73A3"/>
    <w:rsid w:val="001A74A8"/>
    <w:rsid w:val="001A757A"/>
    <w:rsid w:val="001A764D"/>
    <w:rsid w:val="001A7ABA"/>
    <w:rsid w:val="001A7BFD"/>
    <w:rsid w:val="001A7C8A"/>
    <w:rsid w:val="001A7DCC"/>
    <w:rsid w:val="001A7DF4"/>
    <w:rsid w:val="001A7E8B"/>
    <w:rsid w:val="001B010F"/>
    <w:rsid w:val="001B02BA"/>
    <w:rsid w:val="001B058B"/>
    <w:rsid w:val="001B05F5"/>
    <w:rsid w:val="001B0607"/>
    <w:rsid w:val="001B0915"/>
    <w:rsid w:val="001B09C1"/>
    <w:rsid w:val="001B0A75"/>
    <w:rsid w:val="001B0D68"/>
    <w:rsid w:val="001B13CA"/>
    <w:rsid w:val="001B15B5"/>
    <w:rsid w:val="001B1807"/>
    <w:rsid w:val="001B1D06"/>
    <w:rsid w:val="001B1F4D"/>
    <w:rsid w:val="001B209C"/>
    <w:rsid w:val="001B20AF"/>
    <w:rsid w:val="001B222F"/>
    <w:rsid w:val="001B2491"/>
    <w:rsid w:val="001B24B7"/>
    <w:rsid w:val="001B24F7"/>
    <w:rsid w:val="001B2654"/>
    <w:rsid w:val="001B26BF"/>
    <w:rsid w:val="001B2753"/>
    <w:rsid w:val="001B27DA"/>
    <w:rsid w:val="001B2849"/>
    <w:rsid w:val="001B2A22"/>
    <w:rsid w:val="001B2B73"/>
    <w:rsid w:val="001B2FC2"/>
    <w:rsid w:val="001B308F"/>
    <w:rsid w:val="001B3090"/>
    <w:rsid w:val="001B3117"/>
    <w:rsid w:val="001B317F"/>
    <w:rsid w:val="001B32DE"/>
    <w:rsid w:val="001B3405"/>
    <w:rsid w:val="001B349C"/>
    <w:rsid w:val="001B35F3"/>
    <w:rsid w:val="001B3898"/>
    <w:rsid w:val="001B38F3"/>
    <w:rsid w:val="001B3935"/>
    <w:rsid w:val="001B3B2D"/>
    <w:rsid w:val="001B3BFA"/>
    <w:rsid w:val="001B3C9E"/>
    <w:rsid w:val="001B3FE9"/>
    <w:rsid w:val="001B40BE"/>
    <w:rsid w:val="001B428F"/>
    <w:rsid w:val="001B42AA"/>
    <w:rsid w:val="001B43CF"/>
    <w:rsid w:val="001B4669"/>
    <w:rsid w:val="001B4A23"/>
    <w:rsid w:val="001B4A66"/>
    <w:rsid w:val="001B4A72"/>
    <w:rsid w:val="001B4B7D"/>
    <w:rsid w:val="001B4BAD"/>
    <w:rsid w:val="001B4E88"/>
    <w:rsid w:val="001B5090"/>
    <w:rsid w:val="001B517D"/>
    <w:rsid w:val="001B5389"/>
    <w:rsid w:val="001B5A86"/>
    <w:rsid w:val="001B5AA4"/>
    <w:rsid w:val="001B5C6E"/>
    <w:rsid w:val="001B5CBB"/>
    <w:rsid w:val="001B5EBE"/>
    <w:rsid w:val="001B5F06"/>
    <w:rsid w:val="001B5FC0"/>
    <w:rsid w:val="001B6039"/>
    <w:rsid w:val="001B613C"/>
    <w:rsid w:val="001B627D"/>
    <w:rsid w:val="001B6391"/>
    <w:rsid w:val="001B6394"/>
    <w:rsid w:val="001B6430"/>
    <w:rsid w:val="001B64DC"/>
    <w:rsid w:val="001B6B81"/>
    <w:rsid w:val="001B6C62"/>
    <w:rsid w:val="001B6D15"/>
    <w:rsid w:val="001B6D3F"/>
    <w:rsid w:val="001B6DA4"/>
    <w:rsid w:val="001B6F1E"/>
    <w:rsid w:val="001B6F39"/>
    <w:rsid w:val="001B6F5B"/>
    <w:rsid w:val="001B6FBB"/>
    <w:rsid w:val="001B7018"/>
    <w:rsid w:val="001B72AC"/>
    <w:rsid w:val="001B730E"/>
    <w:rsid w:val="001B735A"/>
    <w:rsid w:val="001B73C3"/>
    <w:rsid w:val="001B747C"/>
    <w:rsid w:val="001B7486"/>
    <w:rsid w:val="001B7598"/>
    <w:rsid w:val="001B76F7"/>
    <w:rsid w:val="001B7793"/>
    <w:rsid w:val="001B7910"/>
    <w:rsid w:val="001B799C"/>
    <w:rsid w:val="001B79A5"/>
    <w:rsid w:val="001B79F0"/>
    <w:rsid w:val="001B7C4B"/>
    <w:rsid w:val="001B7DF7"/>
    <w:rsid w:val="001B7E67"/>
    <w:rsid w:val="001B7F6B"/>
    <w:rsid w:val="001B7F7C"/>
    <w:rsid w:val="001C0321"/>
    <w:rsid w:val="001C0334"/>
    <w:rsid w:val="001C080C"/>
    <w:rsid w:val="001C084B"/>
    <w:rsid w:val="001C0901"/>
    <w:rsid w:val="001C0952"/>
    <w:rsid w:val="001C0C3B"/>
    <w:rsid w:val="001C0D8C"/>
    <w:rsid w:val="001C0FD0"/>
    <w:rsid w:val="001C1246"/>
    <w:rsid w:val="001C1383"/>
    <w:rsid w:val="001C1577"/>
    <w:rsid w:val="001C184B"/>
    <w:rsid w:val="001C1A62"/>
    <w:rsid w:val="001C1B4F"/>
    <w:rsid w:val="001C1E65"/>
    <w:rsid w:val="001C216A"/>
    <w:rsid w:val="001C236F"/>
    <w:rsid w:val="001C249D"/>
    <w:rsid w:val="001C25FF"/>
    <w:rsid w:val="001C26EC"/>
    <w:rsid w:val="001C2792"/>
    <w:rsid w:val="001C281B"/>
    <w:rsid w:val="001C29E9"/>
    <w:rsid w:val="001C29F7"/>
    <w:rsid w:val="001C2BAE"/>
    <w:rsid w:val="001C2C1B"/>
    <w:rsid w:val="001C2DE5"/>
    <w:rsid w:val="001C301A"/>
    <w:rsid w:val="001C30C9"/>
    <w:rsid w:val="001C3216"/>
    <w:rsid w:val="001C3362"/>
    <w:rsid w:val="001C33DD"/>
    <w:rsid w:val="001C3418"/>
    <w:rsid w:val="001C3465"/>
    <w:rsid w:val="001C34E0"/>
    <w:rsid w:val="001C3594"/>
    <w:rsid w:val="001C36C4"/>
    <w:rsid w:val="001C372E"/>
    <w:rsid w:val="001C38BC"/>
    <w:rsid w:val="001C3961"/>
    <w:rsid w:val="001C3A97"/>
    <w:rsid w:val="001C3AB6"/>
    <w:rsid w:val="001C3B42"/>
    <w:rsid w:val="001C3C2A"/>
    <w:rsid w:val="001C3C62"/>
    <w:rsid w:val="001C3E63"/>
    <w:rsid w:val="001C3EED"/>
    <w:rsid w:val="001C4006"/>
    <w:rsid w:val="001C41D2"/>
    <w:rsid w:val="001C4237"/>
    <w:rsid w:val="001C4259"/>
    <w:rsid w:val="001C42B7"/>
    <w:rsid w:val="001C4333"/>
    <w:rsid w:val="001C44E7"/>
    <w:rsid w:val="001C44EB"/>
    <w:rsid w:val="001C485E"/>
    <w:rsid w:val="001C4A57"/>
    <w:rsid w:val="001C4F2F"/>
    <w:rsid w:val="001C4F85"/>
    <w:rsid w:val="001C5123"/>
    <w:rsid w:val="001C563D"/>
    <w:rsid w:val="001C57D4"/>
    <w:rsid w:val="001C59DF"/>
    <w:rsid w:val="001C59E8"/>
    <w:rsid w:val="001C5BDA"/>
    <w:rsid w:val="001C5E19"/>
    <w:rsid w:val="001C5F59"/>
    <w:rsid w:val="001C677B"/>
    <w:rsid w:val="001C6842"/>
    <w:rsid w:val="001C69FD"/>
    <w:rsid w:val="001C6AB7"/>
    <w:rsid w:val="001C6EB1"/>
    <w:rsid w:val="001C718B"/>
    <w:rsid w:val="001C7307"/>
    <w:rsid w:val="001C7533"/>
    <w:rsid w:val="001C7729"/>
    <w:rsid w:val="001C77A9"/>
    <w:rsid w:val="001C79D1"/>
    <w:rsid w:val="001C7A40"/>
    <w:rsid w:val="001C7B47"/>
    <w:rsid w:val="001C7BFE"/>
    <w:rsid w:val="001C7CF8"/>
    <w:rsid w:val="001C7CF9"/>
    <w:rsid w:val="001C7E84"/>
    <w:rsid w:val="001C7EB5"/>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0CA"/>
    <w:rsid w:val="001D21E5"/>
    <w:rsid w:val="001D248F"/>
    <w:rsid w:val="001D24EE"/>
    <w:rsid w:val="001D29EC"/>
    <w:rsid w:val="001D2A60"/>
    <w:rsid w:val="001D2B11"/>
    <w:rsid w:val="001D2B5D"/>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204"/>
    <w:rsid w:val="001D43BB"/>
    <w:rsid w:val="001D4628"/>
    <w:rsid w:val="001D4844"/>
    <w:rsid w:val="001D49C5"/>
    <w:rsid w:val="001D4A00"/>
    <w:rsid w:val="001D4B69"/>
    <w:rsid w:val="001D4C39"/>
    <w:rsid w:val="001D4C43"/>
    <w:rsid w:val="001D4DA7"/>
    <w:rsid w:val="001D4E67"/>
    <w:rsid w:val="001D4EA5"/>
    <w:rsid w:val="001D4EF1"/>
    <w:rsid w:val="001D5097"/>
    <w:rsid w:val="001D5114"/>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79A"/>
    <w:rsid w:val="001D7996"/>
    <w:rsid w:val="001D79DD"/>
    <w:rsid w:val="001D7ABD"/>
    <w:rsid w:val="001D7B04"/>
    <w:rsid w:val="001D7D12"/>
    <w:rsid w:val="001D7EEC"/>
    <w:rsid w:val="001E039D"/>
    <w:rsid w:val="001E041A"/>
    <w:rsid w:val="001E04C0"/>
    <w:rsid w:val="001E0519"/>
    <w:rsid w:val="001E0525"/>
    <w:rsid w:val="001E05FA"/>
    <w:rsid w:val="001E0651"/>
    <w:rsid w:val="001E06C7"/>
    <w:rsid w:val="001E079E"/>
    <w:rsid w:val="001E0876"/>
    <w:rsid w:val="001E0A26"/>
    <w:rsid w:val="001E0CB4"/>
    <w:rsid w:val="001E0DB6"/>
    <w:rsid w:val="001E0E0B"/>
    <w:rsid w:val="001E0F4E"/>
    <w:rsid w:val="001E12A1"/>
    <w:rsid w:val="001E1492"/>
    <w:rsid w:val="001E1559"/>
    <w:rsid w:val="001E16E5"/>
    <w:rsid w:val="001E196B"/>
    <w:rsid w:val="001E1A11"/>
    <w:rsid w:val="001E1E2D"/>
    <w:rsid w:val="001E1EDC"/>
    <w:rsid w:val="001E1FD1"/>
    <w:rsid w:val="001E20B3"/>
    <w:rsid w:val="001E2314"/>
    <w:rsid w:val="001E2514"/>
    <w:rsid w:val="001E251F"/>
    <w:rsid w:val="001E25B2"/>
    <w:rsid w:val="001E265D"/>
    <w:rsid w:val="001E27C4"/>
    <w:rsid w:val="001E29E4"/>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1C"/>
    <w:rsid w:val="001E47B2"/>
    <w:rsid w:val="001E4B33"/>
    <w:rsid w:val="001E4E13"/>
    <w:rsid w:val="001E4E22"/>
    <w:rsid w:val="001E4F54"/>
    <w:rsid w:val="001E4FE0"/>
    <w:rsid w:val="001E508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2C7"/>
    <w:rsid w:val="001E6347"/>
    <w:rsid w:val="001E635F"/>
    <w:rsid w:val="001E6422"/>
    <w:rsid w:val="001E64C0"/>
    <w:rsid w:val="001E6742"/>
    <w:rsid w:val="001E69AF"/>
    <w:rsid w:val="001E6C9E"/>
    <w:rsid w:val="001E6CA5"/>
    <w:rsid w:val="001E6E4E"/>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04D"/>
    <w:rsid w:val="001F121F"/>
    <w:rsid w:val="001F12AE"/>
    <w:rsid w:val="001F1361"/>
    <w:rsid w:val="001F1405"/>
    <w:rsid w:val="001F144D"/>
    <w:rsid w:val="001F148B"/>
    <w:rsid w:val="001F1509"/>
    <w:rsid w:val="001F1576"/>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3E1"/>
    <w:rsid w:val="001F2460"/>
    <w:rsid w:val="001F25D2"/>
    <w:rsid w:val="001F263C"/>
    <w:rsid w:val="001F279E"/>
    <w:rsid w:val="001F28AA"/>
    <w:rsid w:val="001F2A67"/>
    <w:rsid w:val="001F2A84"/>
    <w:rsid w:val="001F2ACA"/>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E3E"/>
    <w:rsid w:val="001F3F4E"/>
    <w:rsid w:val="001F3F55"/>
    <w:rsid w:val="001F3F7F"/>
    <w:rsid w:val="001F4029"/>
    <w:rsid w:val="001F4192"/>
    <w:rsid w:val="001F4208"/>
    <w:rsid w:val="001F4267"/>
    <w:rsid w:val="001F4385"/>
    <w:rsid w:val="001F43B6"/>
    <w:rsid w:val="001F43DE"/>
    <w:rsid w:val="001F4447"/>
    <w:rsid w:val="001F4680"/>
    <w:rsid w:val="001F475D"/>
    <w:rsid w:val="001F4B92"/>
    <w:rsid w:val="001F4C78"/>
    <w:rsid w:val="001F4D17"/>
    <w:rsid w:val="001F4D78"/>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DF"/>
    <w:rsid w:val="001F78E1"/>
    <w:rsid w:val="001F797E"/>
    <w:rsid w:val="001F7CF1"/>
    <w:rsid w:val="001F7F75"/>
    <w:rsid w:val="00200006"/>
    <w:rsid w:val="00200127"/>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106"/>
    <w:rsid w:val="002012A6"/>
    <w:rsid w:val="0020131A"/>
    <w:rsid w:val="002013D5"/>
    <w:rsid w:val="00201417"/>
    <w:rsid w:val="0020150A"/>
    <w:rsid w:val="0020186D"/>
    <w:rsid w:val="00201985"/>
    <w:rsid w:val="0020198A"/>
    <w:rsid w:val="00201D1C"/>
    <w:rsid w:val="00201DF3"/>
    <w:rsid w:val="00201F87"/>
    <w:rsid w:val="00201FD2"/>
    <w:rsid w:val="002020CC"/>
    <w:rsid w:val="002021D3"/>
    <w:rsid w:val="0020245B"/>
    <w:rsid w:val="00202758"/>
    <w:rsid w:val="002028B0"/>
    <w:rsid w:val="00202980"/>
    <w:rsid w:val="00202ADA"/>
    <w:rsid w:val="00202BCA"/>
    <w:rsid w:val="00202E4F"/>
    <w:rsid w:val="002031E9"/>
    <w:rsid w:val="0020332C"/>
    <w:rsid w:val="002033A2"/>
    <w:rsid w:val="002033FA"/>
    <w:rsid w:val="0020342C"/>
    <w:rsid w:val="0020347F"/>
    <w:rsid w:val="00203702"/>
    <w:rsid w:val="00203788"/>
    <w:rsid w:val="00203A48"/>
    <w:rsid w:val="00203ABA"/>
    <w:rsid w:val="00203B33"/>
    <w:rsid w:val="00203F05"/>
    <w:rsid w:val="00203F2B"/>
    <w:rsid w:val="00203F78"/>
    <w:rsid w:val="00203F91"/>
    <w:rsid w:val="00203FD6"/>
    <w:rsid w:val="002040F0"/>
    <w:rsid w:val="002043EA"/>
    <w:rsid w:val="00204552"/>
    <w:rsid w:val="00204738"/>
    <w:rsid w:val="00204740"/>
    <w:rsid w:val="00204ADA"/>
    <w:rsid w:val="00204B2F"/>
    <w:rsid w:val="00204F59"/>
    <w:rsid w:val="00205075"/>
    <w:rsid w:val="00205109"/>
    <w:rsid w:val="0020517A"/>
    <w:rsid w:val="00205282"/>
    <w:rsid w:val="00205495"/>
    <w:rsid w:val="0020559E"/>
    <w:rsid w:val="0020565C"/>
    <w:rsid w:val="00205679"/>
    <w:rsid w:val="0020595F"/>
    <w:rsid w:val="0020598B"/>
    <w:rsid w:val="00205A45"/>
    <w:rsid w:val="00205BAD"/>
    <w:rsid w:val="00205C5F"/>
    <w:rsid w:val="00205C93"/>
    <w:rsid w:val="00205CC2"/>
    <w:rsid w:val="00205E2A"/>
    <w:rsid w:val="00205ECD"/>
    <w:rsid w:val="00205EFA"/>
    <w:rsid w:val="00205F88"/>
    <w:rsid w:val="00205F9C"/>
    <w:rsid w:val="00205FE7"/>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7D8"/>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D7"/>
    <w:rsid w:val="002110F5"/>
    <w:rsid w:val="00211202"/>
    <w:rsid w:val="00211205"/>
    <w:rsid w:val="00211459"/>
    <w:rsid w:val="00211974"/>
    <w:rsid w:val="00211A3E"/>
    <w:rsid w:val="00211AAE"/>
    <w:rsid w:val="00211CB9"/>
    <w:rsid w:val="00211CD5"/>
    <w:rsid w:val="00211D28"/>
    <w:rsid w:val="00211D4D"/>
    <w:rsid w:val="00211E81"/>
    <w:rsid w:val="00211FAF"/>
    <w:rsid w:val="002122E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0F"/>
    <w:rsid w:val="00214D6C"/>
    <w:rsid w:val="00214DC7"/>
    <w:rsid w:val="00214E16"/>
    <w:rsid w:val="00214E1D"/>
    <w:rsid w:val="00214E60"/>
    <w:rsid w:val="002150CF"/>
    <w:rsid w:val="002150D5"/>
    <w:rsid w:val="00215157"/>
    <w:rsid w:val="002154AB"/>
    <w:rsid w:val="002154CD"/>
    <w:rsid w:val="002159A6"/>
    <w:rsid w:val="00215B62"/>
    <w:rsid w:val="00215CD6"/>
    <w:rsid w:val="00215EDD"/>
    <w:rsid w:val="00215F36"/>
    <w:rsid w:val="00215F95"/>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43F"/>
    <w:rsid w:val="002176DA"/>
    <w:rsid w:val="0021780A"/>
    <w:rsid w:val="002178FF"/>
    <w:rsid w:val="00217A3B"/>
    <w:rsid w:val="00217A85"/>
    <w:rsid w:val="00217B1B"/>
    <w:rsid w:val="00217BF0"/>
    <w:rsid w:val="00217C0B"/>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50"/>
    <w:rsid w:val="00221FDA"/>
    <w:rsid w:val="0022219D"/>
    <w:rsid w:val="00222645"/>
    <w:rsid w:val="00222957"/>
    <w:rsid w:val="00222998"/>
    <w:rsid w:val="002229EC"/>
    <w:rsid w:val="00222A7D"/>
    <w:rsid w:val="00222AFC"/>
    <w:rsid w:val="00222C48"/>
    <w:rsid w:val="00222C7B"/>
    <w:rsid w:val="00222FB0"/>
    <w:rsid w:val="00222FD1"/>
    <w:rsid w:val="0022336F"/>
    <w:rsid w:val="00223431"/>
    <w:rsid w:val="0022346A"/>
    <w:rsid w:val="00223560"/>
    <w:rsid w:val="00223624"/>
    <w:rsid w:val="00223675"/>
    <w:rsid w:val="00223725"/>
    <w:rsid w:val="002237C4"/>
    <w:rsid w:val="0022394F"/>
    <w:rsid w:val="002239D5"/>
    <w:rsid w:val="00223A81"/>
    <w:rsid w:val="00223BAA"/>
    <w:rsid w:val="00223D3F"/>
    <w:rsid w:val="00223F28"/>
    <w:rsid w:val="00223FFD"/>
    <w:rsid w:val="0022423A"/>
    <w:rsid w:val="002243A0"/>
    <w:rsid w:val="002243C5"/>
    <w:rsid w:val="0022445F"/>
    <w:rsid w:val="0022446A"/>
    <w:rsid w:val="002245DD"/>
    <w:rsid w:val="0022480D"/>
    <w:rsid w:val="00224889"/>
    <w:rsid w:val="00224CFF"/>
    <w:rsid w:val="00224D41"/>
    <w:rsid w:val="00224F05"/>
    <w:rsid w:val="00224F68"/>
    <w:rsid w:val="00224FB5"/>
    <w:rsid w:val="00225015"/>
    <w:rsid w:val="0022501A"/>
    <w:rsid w:val="00225247"/>
    <w:rsid w:val="002254F0"/>
    <w:rsid w:val="002255AD"/>
    <w:rsid w:val="002255E6"/>
    <w:rsid w:val="002258D1"/>
    <w:rsid w:val="00225B74"/>
    <w:rsid w:val="00225DC9"/>
    <w:rsid w:val="00225E71"/>
    <w:rsid w:val="00225E87"/>
    <w:rsid w:val="00225F8F"/>
    <w:rsid w:val="0022601B"/>
    <w:rsid w:val="00226107"/>
    <w:rsid w:val="0022611D"/>
    <w:rsid w:val="002262C0"/>
    <w:rsid w:val="002263D2"/>
    <w:rsid w:val="002263E3"/>
    <w:rsid w:val="002264B2"/>
    <w:rsid w:val="002264BF"/>
    <w:rsid w:val="002264C6"/>
    <w:rsid w:val="00226654"/>
    <w:rsid w:val="0022685D"/>
    <w:rsid w:val="00226A36"/>
    <w:rsid w:val="00226AAD"/>
    <w:rsid w:val="00226B8B"/>
    <w:rsid w:val="00226CD5"/>
    <w:rsid w:val="00226E89"/>
    <w:rsid w:val="00226E91"/>
    <w:rsid w:val="00226E9E"/>
    <w:rsid w:val="00226EBA"/>
    <w:rsid w:val="00226F67"/>
    <w:rsid w:val="0022721C"/>
    <w:rsid w:val="00227279"/>
    <w:rsid w:val="00227417"/>
    <w:rsid w:val="00227455"/>
    <w:rsid w:val="002274A4"/>
    <w:rsid w:val="002276CD"/>
    <w:rsid w:val="0022771E"/>
    <w:rsid w:val="002277EB"/>
    <w:rsid w:val="00227812"/>
    <w:rsid w:val="00227838"/>
    <w:rsid w:val="002278C4"/>
    <w:rsid w:val="002278CA"/>
    <w:rsid w:val="00227A3A"/>
    <w:rsid w:val="00227C3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293"/>
    <w:rsid w:val="00231320"/>
    <w:rsid w:val="0023138C"/>
    <w:rsid w:val="002315F3"/>
    <w:rsid w:val="00231654"/>
    <w:rsid w:val="00231820"/>
    <w:rsid w:val="002319EF"/>
    <w:rsid w:val="00231A08"/>
    <w:rsid w:val="00231A1E"/>
    <w:rsid w:val="00231A39"/>
    <w:rsid w:val="00231BC6"/>
    <w:rsid w:val="00231F09"/>
    <w:rsid w:val="0023204F"/>
    <w:rsid w:val="0023205F"/>
    <w:rsid w:val="002320A9"/>
    <w:rsid w:val="002320BD"/>
    <w:rsid w:val="002323C4"/>
    <w:rsid w:val="00232664"/>
    <w:rsid w:val="00232685"/>
    <w:rsid w:val="00232855"/>
    <w:rsid w:val="00232ACA"/>
    <w:rsid w:val="00232ACE"/>
    <w:rsid w:val="00232BA3"/>
    <w:rsid w:val="00232BB1"/>
    <w:rsid w:val="00232BC6"/>
    <w:rsid w:val="00232C47"/>
    <w:rsid w:val="00232CD7"/>
    <w:rsid w:val="00232DFB"/>
    <w:rsid w:val="00233073"/>
    <w:rsid w:val="00233137"/>
    <w:rsid w:val="0023313F"/>
    <w:rsid w:val="002331CC"/>
    <w:rsid w:val="00233218"/>
    <w:rsid w:val="00233473"/>
    <w:rsid w:val="002335BD"/>
    <w:rsid w:val="0023363D"/>
    <w:rsid w:val="002336D1"/>
    <w:rsid w:val="00233778"/>
    <w:rsid w:val="00233966"/>
    <w:rsid w:val="00233CBA"/>
    <w:rsid w:val="00233DD0"/>
    <w:rsid w:val="00233EFA"/>
    <w:rsid w:val="00233F7E"/>
    <w:rsid w:val="0023417A"/>
    <w:rsid w:val="00234343"/>
    <w:rsid w:val="00234669"/>
    <w:rsid w:val="002346DF"/>
    <w:rsid w:val="00234996"/>
    <w:rsid w:val="00234C65"/>
    <w:rsid w:val="00234D44"/>
    <w:rsid w:val="00234FE0"/>
    <w:rsid w:val="00235131"/>
    <w:rsid w:val="0023516A"/>
    <w:rsid w:val="002351F9"/>
    <w:rsid w:val="002352D2"/>
    <w:rsid w:val="00235549"/>
    <w:rsid w:val="00235567"/>
    <w:rsid w:val="00235591"/>
    <w:rsid w:val="00235784"/>
    <w:rsid w:val="00235A4D"/>
    <w:rsid w:val="00235A65"/>
    <w:rsid w:val="00235AF5"/>
    <w:rsid w:val="00235BDD"/>
    <w:rsid w:val="00235C93"/>
    <w:rsid w:val="00235EF6"/>
    <w:rsid w:val="0023619C"/>
    <w:rsid w:val="002361DA"/>
    <w:rsid w:val="002362AE"/>
    <w:rsid w:val="00236367"/>
    <w:rsid w:val="002365DD"/>
    <w:rsid w:val="00236612"/>
    <w:rsid w:val="00236775"/>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71"/>
    <w:rsid w:val="002378B1"/>
    <w:rsid w:val="0023798B"/>
    <w:rsid w:val="00237B72"/>
    <w:rsid w:val="0024009B"/>
    <w:rsid w:val="002400A4"/>
    <w:rsid w:val="00240508"/>
    <w:rsid w:val="002405E7"/>
    <w:rsid w:val="002406CE"/>
    <w:rsid w:val="002406FA"/>
    <w:rsid w:val="00240B53"/>
    <w:rsid w:val="00240BD7"/>
    <w:rsid w:val="00240CC7"/>
    <w:rsid w:val="002410EC"/>
    <w:rsid w:val="0024112D"/>
    <w:rsid w:val="00241436"/>
    <w:rsid w:val="00241486"/>
    <w:rsid w:val="00241566"/>
    <w:rsid w:val="002415B3"/>
    <w:rsid w:val="00241653"/>
    <w:rsid w:val="0024165C"/>
    <w:rsid w:val="0024169A"/>
    <w:rsid w:val="002416E0"/>
    <w:rsid w:val="0024187E"/>
    <w:rsid w:val="002418DE"/>
    <w:rsid w:val="00241900"/>
    <w:rsid w:val="00241AF8"/>
    <w:rsid w:val="00241B13"/>
    <w:rsid w:val="00241B2C"/>
    <w:rsid w:val="00241C63"/>
    <w:rsid w:val="00241D96"/>
    <w:rsid w:val="00241EAF"/>
    <w:rsid w:val="00241F92"/>
    <w:rsid w:val="00242237"/>
    <w:rsid w:val="002422A4"/>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37"/>
    <w:rsid w:val="00243BD7"/>
    <w:rsid w:val="00243D58"/>
    <w:rsid w:val="00243DDB"/>
    <w:rsid w:val="00243E60"/>
    <w:rsid w:val="00243EA4"/>
    <w:rsid w:val="00243F2E"/>
    <w:rsid w:val="00244101"/>
    <w:rsid w:val="0024430D"/>
    <w:rsid w:val="00244327"/>
    <w:rsid w:val="0024440B"/>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7E7"/>
    <w:rsid w:val="002458E7"/>
    <w:rsid w:val="002458F8"/>
    <w:rsid w:val="00245BA8"/>
    <w:rsid w:val="00245DC8"/>
    <w:rsid w:val="00245EB1"/>
    <w:rsid w:val="00245EF3"/>
    <w:rsid w:val="00245F6B"/>
    <w:rsid w:val="00245FAE"/>
    <w:rsid w:val="00246021"/>
    <w:rsid w:val="002460CD"/>
    <w:rsid w:val="002461A0"/>
    <w:rsid w:val="002462E4"/>
    <w:rsid w:val="00246414"/>
    <w:rsid w:val="00246431"/>
    <w:rsid w:val="0024646D"/>
    <w:rsid w:val="00246676"/>
    <w:rsid w:val="00246691"/>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71"/>
    <w:rsid w:val="00250A96"/>
    <w:rsid w:val="00250AC8"/>
    <w:rsid w:val="00250BE4"/>
    <w:rsid w:val="00250C4E"/>
    <w:rsid w:val="00251105"/>
    <w:rsid w:val="0025119D"/>
    <w:rsid w:val="002517E6"/>
    <w:rsid w:val="002518A5"/>
    <w:rsid w:val="00251C4B"/>
    <w:rsid w:val="00251CDD"/>
    <w:rsid w:val="00251CE5"/>
    <w:rsid w:val="002520C9"/>
    <w:rsid w:val="00252186"/>
    <w:rsid w:val="002521BC"/>
    <w:rsid w:val="00252250"/>
    <w:rsid w:val="0025226F"/>
    <w:rsid w:val="002522AD"/>
    <w:rsid w:val="0025235E"/>
    <w:rsid w:val="00252619"/>
    <w:rsid w:val="00252699"/>
    <w:rsid w:val="0025277F"/>
    <w:rsid w:val="0025285A"/>
    <w:rsid w:val="00252BB0"/>
    <w:rsid w:val="00252C5C"/>
    <w:rsid w:val="00252D36"/>
    <w:rsid w:val="00252DC8"/>
    <w:rsid w:val="00252E48"/>
    <w:rsid w:val="00252FCA"/>
    <w:rsid w:val="00253060"/>
    <w:rsid w:val="002530D4"/>
    <w:rsid w:val="002536CC"/>
    <w:rsid w:val="00253771"/>
    <w:rsid w:val="002537FD"/>
    <w:rsid w:val="00253915"/>
    <w:rsid w:val="00253AEB"/>
    <w:rsid w:val="00253BA3"/>
    <w:rsid w:val="00253EE1"/>
    <w:rsid w:val="00253F3B"/>
    <w:rsid w:val="0025411B"/>
    <w:rsid w:val="002542BE"/>
    <w:rsid w:val="0025434B"/>
    <w:rsid w:val="0025434C"/>
    <w:rsid w:val="0025456E"/>
    <w:rsid w:val="00254601"/>
    <w:rsid w:val="0025465F"/>
    <w:rsid w:val="00254819"/>
    <w:rsid w:val="00254A71"/>
    <w:rsid w:val="00254AC6"/>
    <w:rsid w:val="00254D63"/>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8C5"/>
    <w:rsid w:val="00256939"/>
    <w:rsid w:val="00256956"/>
    <w:rsid w:val="00256C30"/>
    <w:rsid w:val="00256CB3"/>
    <w:rsid w:val="00256D29"/>
    <w:rsid w:val="00256EF0"/>
    <w:rsid w:val="00256F00"/>
    <w:rsid w:val="00257128"/>
    <w:rsid w:val="002571B4"/>
    <w:rsid w:val="002573E6"/>
    <w:rsid w:val="00257664"/>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4F"/>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59"/>
    <w:rsid w:val="0026346F"/>
    <w:rsid w:val="00263651"/>
    <w:rsid w:val="002637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818"/>
    <w:rsid w:val="002668BA"/>
    <w:rsid w:val="00266913"/>
    <w:rsid w:val="002669AE"/>
    <w:rsid w:val="00266A9A"/>
    <w:rsid w:val="00266AD6"/>
    <w:rsid w:val="00266AF6"/>
    <w:rsid w:val="00266B62"/>
    <w:rsid w:val="00266E6F"/>
    <w:rsid w:val="00266EB0"/>
    <w:rsid w:val="0026701F"/>
    <w:rsid w:val="0026718E"/>
    <w:rsid w:val="002671C5"/>
    <w:rsid w:val="00267292"/>
    <w:rsid w:val="002672D8"/>
    <w:rsid w:val="0026768C"/>
    <w:rsid w:val="002676B4"/>
    <w:rsid w:val="00267826"/>
    <w:rsid w:val="00267945"/>
    <w:rsid w:val="002679E7"/>
    <w:rsid w:val="00267A58"/>
    <w:rsid w:val="00267AF7"/>
    <w:rsid w:val="00267C27"/>
    <w:rsid w:val="00267E13"/>
    <w:rsid w:val="00267E6D"/>
    <w:rsid w:val="00267FB3"/>
    <w:rsid w:val="0027018F"/>
    <w:rsid w:val="0027038E"/>
    <w:rsid w:val="00270442"/>
    <w:rsid w:val="00270571"/>
    <w:rsid w:val="00270876"/>
    <w:rsid w:val="002708CB"/>
    <w:rsid w:val="002709E5"/>
    <w:rsid w:val="00270BD3"/>
    <w:rsid w:val="00270C4E"/>
    <w:rsid w:val="00270D35"/>
    <w:rsid w:val="00270DCC"/>
    <w:rsid w:val="00270E4D"/>
    <w:rsid w:val="00270ED0"/>
    <w:rsid w:val="00270F10"/>
    <w:rsid w:val="002712BE"/>
    <w:rsid w:val="002717A4"/>
    <w:rsid w:val="002717AD"/>
    <w:rsid w:val="002717BB"/>
    <w:rsid w:val="0027191F"/>
    <w:rsid w:val="0027193C"/>
    <w:rsid w:val="00271B49"/>
    <w:rsid w:val="002720E8"/>
    <w:rsid w:val="00272179"/>
    <w:rsid w:val="002722A7"/>
    <w:rsid w:val="002722BF"/>
    <w:rsid w:val="002722F2"/>
    <w:rsid w:val="00272408"/>
    <w:rsid w:val="002725DA"/>
    <w:rsid w:val="00272956"/>
    <w:rsid w:val="00272B0F"/>
    <w:rsid w:val="00272B3B"/>
    <w:rsid w:val="00272BE8"/>
    <w:rsid w:val="00272C9C"/>
    <w:rsid w:val="00272DFB"/>
    <w:rsid w:val="00272EFD"/>
    <w:rsid w:val="00272FB3"/>
    <w:rsid w:val="00273051"/>
    <w:rsid w:val="0027358F"/>
    <w:rsid w:val="00273637"/>
    <w:rsid w:val="002736C5"/>
    <w:rsid w:val="00273942"/>
    <w:rsid w:val="00273981"/>
    <w:rsid w:val="00273B73"/>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33"/>
    <w:rsid w:val="0027614B"/>
    <w:rsid w:val="002764FB"/>
    <w:rsid w:val="0027659C"/>
    <w:rsid w:val="002765F3"/>
    <w:rsid w:val="00276843"/>
    <w:rsid w:val="002768B1"/>
    <w:rsid w:val="00276927"/>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DA"/>
    <w:rsid w:val="00277BEB"/>
    <w:rsid w:val="00277BFE"/>
    <w:rsid w:val="00277D38"/>
    <w:rsid w:val="00277E0F"/>
    <w:rsid w:val="00277ED5"/>
    <w:rsid w:val="00277EF7"/>
    <w:rsid w:val="00277FD9"/>
    <w:rsid w:val="00280126"/>
    <w:rsid w:val="002803AF"/>
    <w:rsid w:val="00280425"/>
    <w:rsid w:val="00280559"/>
    <w:rsid w:val="002805FC"/>
    <w:rsid w:val="002805FF"/>
    <w:rsid w:val="0028075F"/>
    <w:rsid w:val="00280770"/>
    <w:rsid w:val="00280795"/>
    <w:rsid w:val="002808E6"/>
    <w:rsid w:val="00280BB2"/>
    <w:rsid w:val="00280D5B"/>
    <w:rsid w:val="00280E6A"/>
    <w:rsid w:val="0028123B"/>
    <w:rsid w:val="0028124B"/>
    <w:rsid w:val="0028130A"/>
    <w:rsid w:val="0028133C"/>
    <w:rsid w:val="00281375"/>
    <w:rsid w:val="00281660"/>
    <w:rsid w:val="002817BD"/>
    <w:rsid w:val="00281A41"/>
    <w:rsid w:val="00281ACB"/>
    <w:rsid w:val="00281CE9"/>
    <w:rsid w:val="00281EC9"/>
    <w:rsid w:val="00282057"/>
    <w:rsid w:val="0028208B"/>
    <w:rsid w:val="002820AE"/>
    <w:rsid w:val="00282170"/>
    <w:rsid w:val="00282565"/>
    <w:rsid w:val="00282834"/>
    <w:rsid w:val="00282AF2"/>
    <w:rsid w:val="00282B08"/>
    <w:rsid w:val="00282EC7"/>
    <w:rsid w:val="00282F87"/>
    <w:rsid w:val="00283388"/>
    <w:rsid w:val="00283592"/>
    <w:rsid w:val="00283606"/>
    <w:rsid w:val="0028386B"/>
    <w:rsid w:val="00283871"/>
    <w:rsid w:val="0028389E"/>
    <w:rsid w:val="00283A5B"/>
    <w:rsid w:val="00283CDB"/>
    <w:rsid w:val="00283D14"/>
    <w:rsid w:val="00283D7A"/>
    <w:rsid w:val="00283F43"/>
    <w:rsid w:val="0028405C"/>
    <w:rsid w:val="0028418B"/>
    <w:rsid w:val="0028427D"/>
    <w:rsid w:val="002842C3"/>
    <w:rsid w:val="002843B8"/>
    <w:rsid w:val="002846BE"/>
    <w:rsid w:val="0028473C"/>
    <w:rsid w:val="00284749"/>
    <w:rsid w:val="00284A6C"/>
    <w:rsid w:val="00284A82"/>
    <w:rsid w:val="00284AFB"/>
    <w:rsid w:val="00284BC5"/>
    <w:rsid w:val="00284CE3"/>
    <w:rsid w:val="00284EAD"/>
    <w:rsid w:val="00284F8E"/>
    <w:rsid w:val="00284FD6"/>
    <w:rsid w:val="0028510C"/>
    <w:rsid w:val="00285674"/>
    <w:rsid w:val="002856C3"/>
    <w:rsid w:val="00285788"/>
    <w:rsid w:val="0028578F"/>
    <w:rsid w:val="002857C7"/>
    <w:rsid w:val="002858BE"/>
    <w:rsid w:val="00285C29"/>
    <w:rsid w:val="00285C58"/>
    <w:rsid w:val="00285E13"/>
    <w:rsid w:val="00285EC5"/>
    <w:rsid w:val="00285F4A"/>
    <w:rsid w:val="002860F7"/>
    <w:rsid w:val="00286290"/>
    <w:rsid w:val="0028638A"/>
    <w:rsid w:val="002863A5"/>
    <w:rsid w:val="00286503"/>
    <w:rsid w:val="00286657"/>
    <w:rsid w:val="002867D4"/>
    <w:rsid w:val="002868AF"/>
    <w:rsid w:val="00286904"/>
    <w:rsid w:val="00286AC9"/>
    <w:rsid w:val="00286C1F"/>
    <w:rsid w:val="00286E7F"/>
    <w:rsid w:val="00286F2C"/>
    <w:rsid w:val="00286F6D"/>
    <w:rsid w:val="002871FD"/>
    <w:rsid w:val="0028748F"/>
    <w:rsid w:val="002877A1"/>
    <w:rsid w:val="002878A4"/>
    <w:rsid w:val="00287A92"/>
    <w:rsid w:val="00287B07"/>
    <w:rsid w:val="00287BA2"/>
    <w:rsid w:val="00287D45"/>
    <w:rsid w:val="00287D50"/>
    <w:rsid w:val="00287DD7"/>
    <w:rsid w:val="002901BD"/>
    <w:rsid w:val="0029027A"/>
    <w:rsid w:val="002902EF"/>
    <w:rsid w:val="00290357"/>
    <w:rsid w:val="002903A4"/>
    <w:rsid w:val="00290536"/>
    <w:rsid w:val="0029072E"/>
    <w:rsid w:val="002908C8"/>
    <w:rsid w:val="00290905"/>
    <w:rsid w:val="00290A62"/>
    <w:rsid w:val="00290A6E"/>
    <w:rsid w:val="00290BE1"/>
    <w:rsid w:val="00290BF5"/>
    <w:rsid w:val="00290C30"/>
    <w:rsid w:val="00290C7A"/>
    <w:rsid w:val="00291086"/>
    <w:rsid w:val="00291104"/>
    <w:rsid w:val="00291182"/>
    <w:rsid w:val="002914A3"/>
    <w:rsid w:val="00291553"/>
    <w:rsid w:val="002915A8"/>
    <w:rsid w:val="00291889"/>
    <w:rsid w:val="00291A8C"/>
    <w:rsid w:val="00291DBE"/>
    <w:rsid w:val="00291E21"/>
    <w:rsid w:val="00291F97"/>
    <w:rsid w:val="00291FA8"/>
    <w:rsid w:val="00291FFC"/>
    <w:rsid w:val="00292222"/>
    <w:rsid w:val="0029224F"/>
    <w:rsid w:val="002922C1"/>
    <w:rsid w:val="00292587"/>
    <w:rsid w:val="0029261D"/>
    <w:rsid w:val="00292641"/>
    <w:rsid w:val="002926A8"/>
    <w:rsid w:val="002928F8"/>
    <w:rsid w:val="00292ADB"/>
    <w:rsid w:val="00292BE4"/>
    <w:rsid w:val="00292C7A"/>
    <w:rsid w:val="00292CC7"/>
    <w:rsid w:val="00292CFB"/>
    <w:rsid w:val="00292D3A"/>
    <w:rsid w:val="00292DFA"/>
    <w:rsid w:val="00293020"/>
    <w:rsid w:val="00293307"/>
    <w:rsid w:val="00293483"/>
    <w:rsid w:val="002934E5"/>
    <w:rsid w:val="00293634"/>
    <w:rsid w:val="002936AC"/>
    <w:rsid w:val="002936D0"/>
    <w:rsid w:val="002937F3"/>
    <w:rsid w:val="0029389C"/>
    <w:rsid w:val="002938C2"/>
    <w:rsid w:val="00293934"/>
    <w:rsid w:val="00293C51"/>
    <w:rsid w:val="00293DDC"/>
    <w:rsid w:val="00293E47"/>
    <w:rsid w:val="00293F21"/>
    <w:rsid w:val="0029401B"/>
    <w:rsid w:val="00294041"/>
    <w:rsid w:val="002943F7"/>
    <w:rsid w:val="00294687"/>
    <w:rsid w:val="00294756"/>
    <w:rsid w:val="0029483C"/>
    <w:rsid w:val="00294914"/>
    <w:rsid w:val="00294968"/>
    <w:rsid w:val="00294A0E"/>
    <w:rsid w:val="00294C06"/>
    <w:rsid w:val="00294C3F"/>
    <w:rsid w:val="00294D9E"/>
    <w:rsid w:val="00294EA3"/>
    <w:rsid w:val="00295079"/>
    <w:rsid w:val="0029519D"/>
    <w:rsid w:val="002951E4"/>
    <w:rsid w:val="00295335"/>
    <w:rsid w:val="0029571C"/>
    <w:rsid w:val="0029571E"/>
    <w:rsid w:val="00295896"/>
    <w:rsid w:val="00295949"/>
    <w:rsid w:val="0029594F"/>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BBE"/>
    <w:rsid w:val="00296CA4"/>
    <w:rsid w:val="00296D14"/>
    <w:rsid w:val="00296D7E"/>
    <w:rsid w:val="00296E2D"/>
    <w:rsid w:val="00296E59"/>
    <w:rsid w:val="0029717A"/>
    <w:rsid w:val="0029721E"/>
    <w:rsid w:val="002973FE"/>
    <w:rsid w:val="00297484"/>
    <w:rsid w:val="002975AB"/>
    <w:rsid w:val="002975B6"/>
    <w:rsid w:val="0029782A"/>
    <w:rsid w:val="00297A68"/>
    <w:rsid w:val="00297A7E"/>
    <w:rsid w:val="00297BE5"/>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06"/>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0F"/>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9D6"/>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2F"/>
    <w:rsid w:val="002A634C"/>
    <w:rsid w:val="002A645B"/>
    <w:rsid w:val="002A64B7"/>
    <w:rsid w:val="002A650E"/>
    <w:rsid w:val="002A65A5"/>
    <w:rsid w:val="002A6816"/>
    <w:rsid w:val="002A6824"/>
    <w:rsid w:val="002A6896"/>
    <w:rsid w:val="002A690F"/>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61D"/>
    <w:rsid w:val="002A77A1"/>
    <w:rsid w:val="002A77CA"/>
    <w:rsid w:val="002A7808"/>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3AA"/>
    <w:rsid w:val="002B0664"/>
    <w:rsid w:val="002B06D4"/>
    <w:rsid w:val="002B0790"/>
    <w:rsid w:val="002B07A3"/>
    <w:rsid w:val="002B082F"/>
    <w:rsid w:val="002B0A17"/>
    <w:rsid w:val="002B0ACA"/>
    <w:rsid w:val="002B0BBB"/>
    <w:rsid w:val="002B0BE7"/>
    <w:rsid w:val="002B0CCF"/>
    <w:rsid w:val="002B0D0B"/>
    <w:rsid w:val="002B14B7"/>
    <w:rsid w:val="002B1504"/>
    <w:rsid w:val="002B17CC"/>
    <w:rsid w:val="002B1967"/>
    <w:rsid w:val="002B19F6"/>
    <w:rsid w:val="002B1B2C"/>
    <w:rsid w:val="002B1C5F"/>
    <w:rsid w:val="002B1CC9"/>
    <w:rsid w:val="002B1FEE"/>
    <w:rsid w:val="002B2222"/>
    <w:rsid w:val="002B231D"/>
    <w:rsid w:val="002B2385"/>
    <w:rsid w:val="002B241C"/>
    <w:rsid w:val="002B257B"/>
    <w:rsid w:val="002B284C"/>
    <w:rsid w:val="002B2949"/>
    <w:rsid w:val="002B2966"/>
    <w:rsid w:val="002B2975"/>
    <w:rsid w:val="002B299E"/>
    <w:rsid w:val="002B2BAC"/>
    <w:rsid w:val="002B2D12"/>
    <w:rsid w:val="002B3028"/>
    <w:rsid w:val="002B30CC"/>
    <w:rsid w:val="002B3241"/>
    <w:rsid w:val="002B33C9"/>
    <w:rsid w:val="002B3549"/>
    <w:rsid w:val="002B35B9"/>
    <w:rsid w:val="002B38AC"/>
    <w:rsid w:val="002B396B"/>
    <w:rsid w:val="002B39B8"/>
    <w:rsid w:val="002B3B3C"/>
    <w:rsid w:val="002B3BA4"/>
    <w:rsid w:val="002B3C51"/>
    <w:rsid w:val="002B3D4F"/>
    <w:rsid w:val="002B3D9C"/>
    <w:rsid w:val="002B3DF7"/>
    <w:rsid w:val="002B3F13"/>
    <w:rsid w:val="002B414F"/>
    <w:rsid w:val="002B419A"/>
    <w:rsid w:val="002B4299"/>
    <w:rsid w:val="002B43B0"/>
    <w:rsid w:val="002B443D"/>
    <w:rsid w:val="002B4452"/>
    <w:rsid w:val="002B4470"/>
    <w:rsid w:val="002B475E"/>
    <w:rsid w:val="002B4A2E"/>
    <w:rsid w:val="002B4A88"/>
    <w:rsid w:val="002B4E0A"/>
    <w:rsid w:val="002B5139"/>
    <w:rsid w:val="002B514F"/>
    <w:rsid w:val="002B5190"/>
    <w:rsid w:val="002B55EE"/>
    <w:rsid w:val="002B573C"/>
    <w:rsid w:val="002B5753"/>
    <w:rsid w:val="002B58B9"/>
    <w:rsid w:val="002B592A"/>
    <w:rsid w:val="002B5D6A"/>
    <w:rsid w:val="002B5E43"/>
    <w:rsid w:val="002B5F70"/>
    <w:rsid w:val="002B60D7"/>
    <w:rsid w:val="002B60E6"/>
    <w:rsid w:val="002B613F"/>
    <w:rsid w:val="002B625F"/>
    <w:rsid w:val="002B629B"/>
    <w:rsid w:val="002B635E"/>
    <w:rsid w:val="002B6690"/>
    <w:rsid w:val="002B6B2D"/>
    <w:rsid w:val="002B6DED"/>
    <w:rsid w:val="002B6DF8"/>
    <w:rsid w:val="002B6E74"/>
    <w:rsid w:val="002B6FA1"/>
    <w:rsid w:val="002B7010"/>
    <w:rsid w:val="002B715E"/>
    <w:rsid w:val="002B72CB"/>
    <w:rsid w:val="002B7377"/>
    <w:rsid w:val="002B7593"/>
    <w:rsid w:val="002B761B"/>
    <w:rsid w:val="002B795D"/>
    <w:rsid w:val="002B7A85"/>
    <w:rsid w:val="002B7AD0"/>
    <w:rsid w:val="002B7B9A"/>
    <w:rsid w:val="002B7CAB"/>
    <w:rsid w:val="002B7CCA"/>
    <w:rsid w:val="002B7D73"/>
    <w:rsid w:val="002B7F5D"/>
    <w:rsid w:val="002B7F95"/>
    <w:rsid w:val="002C0081"/>
    <w:rsid w:val="002C01C8"/>
    <w:rsid w:val="002C02FE"/>
    <w:rsid w:val="002C05A1"/>
    <w:rsid w:val="002C05A9"/>
    <w:rsid w:val="002C0611"/>
    <w:rsid w:val="002C0654"/>
    <w:rsid w:val="002C0753"/>
    <w:rsid w:val="002C0936"/>
    <w:rsid w:val="002C0938"/>
    <w:rsid w:val="002C095F"/>
    <w:rsid w:val="002C09C2"/>
    <w:rsid w:val="002C0AE3"/>
    <w:rsid w:val="002C0F62"/>
    <w:rsid w:val="002C1171"/>
    <w:rsid w:val="002C1204"/>
    <w:rsid w:val="002C122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38"/>
    <w:rsid w:val="002C1D67"/>
    <w:rsid w:val="002C1E60"/>
    <w:rsid w:val="002C1ED8"/>
    <w:rsid w:val="002C1FA6"/>
    <w:rsid w:val="002C1FF1"/>
    <w:rsid w:val="002C206E"/>
    <w:rsid w:val="002C2074"/>
    <w:rsid w:val="002C220D"/>
    <w:rsid w:val="002C23AD"/>
    <w:rsid w:val="002C2421"/>
    <w:rsid w:val="002C24FD"/>
    <w:rsid w:val="002C26A5"/>
    <w:rsid w:val="002C2876"/>
    <w:rsid w:val="002C295E"/>
    <w:rsid w:val="002C29BC"/>
    <w:rsid w:val="002C2B21"/>
    <w:rsid w:val="002C2EC7"/>
    <w:rsid w:val="002C30CB"/>
    <w:rsid w:val="002C31B4"/>
    <w:rsid w:val="002C31DD"/>
    <w:rsid w:val="002C32C4"/>
    <w:rsid w:val="002C334C"/>
    <w:rsid w:val="002C3606"/>
    <w:rsid w:val="002C365A"/>
    <w:rsid w:val="002C3762"/>
    <w:rsid w:val="002C3775"/>
    <w:rsid w:val="002C37E3"/>
    <w:rsid w:val="002C396D"/>
    <w:rsid w:val="002C3A51"/>
    <w:rsid w:val="002C3D67"/>
    <w:rsid w:val="002C3EC1"/>
    <w:rsid w:val="002C3FB7"/>
    <w:rsid w:val="002C4192"/>
    <w:rsid w:val="002C4459"/>
    <w:rsid w:val="002C44A9"/>
    <w:rsid w:val="002C44E6"/>
    <w:rsid w:val="002C4696"/>
    <w:rsid w:val="002C4916"/>
    <w:rsid w:val="002C4917"/>
    <w:rsid w:val="002C496A"/>
    <w:rsid w:val="002C49B2"/>
    <w:rsid w:val="002C4AFC"/>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CDE"/>
    <w:rsid w:val="002C5CE0"/>
    <w:rsid w:val="002C5DE1"/>
    <w:rsid w:val="002C5E41"/>
    <w:rsid w:val="002C5E42"/>
    <w:rsid w:val="002C6052"/>
    <w:rsid w:val="002C610E"/>
    <w:rsid w:val="002C611F"/>
    <w:rsid w:val="002C6173"/>
    <w:rsid w:val="002C6198"/>
    <w:rsid w:val="002C6216"/>
    <w:rsid w:val="002C6373"/>
    <w:rsid w:val="002C64B0"/>
    <w:rsid w:val="002C6709"/>
    <w:rsid w:val="002C67F6"/>
    <w:rsid w:val="002C6984"/>
    <w:rsid w:val="002C6B13"/>
    <w:rsid w:val="002C6C49"/>
    <w:rsid w:val="002C6D01"/>
    <w:rsid w:val="002C6D44"/>
    <w:rsid w:val="002C6D64"/>
    <w:rsid w:val="002C6DB9"/>
    <w:rsid w:val="002C6DDD"/>
    <w:rsid w:val="002C7007"/>
    <w:rsid w:val="002C708F"/>
    <w:rsid w:val="002C70A8"/>
    <w:rsid w:val="002C73A4"/>
    <w:rsid w:val="002C73D8"/>
    <w:rsid w:val="002C7704"/>
    <w:rsid w:val="002C79D3"/>
    <w:rsid w:val="002C7B1D"/>
    <w:rsid w:val="002C7BAF"/>
    <w:rsid w:val="002C7F05"/>
    <w:rsid w:val="002C7F79"/>
    <w:rsid w:val="002C7F9F"/>
    <w:rsid w:val="002C7FA8"/>
    <w:rsid w:val="002D022F"/>
    <w:rsid w:val="002D032C"/>
    <w:rsid w:val="002D0367"/>
    <w:rsid w:val="002D03E1"/>
    <w:rsid w:val="002D0554"/>
    <w:rsid w:val="002D06C7"/>
    <w:rsid w:val="002D0870"/>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058"/>
    <w:rsid w:val="002D2212"/>
    <w:rsid w:val="002D2214"/>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0D"/>
    <w:rsid w:val="002D2CBD"/>
    <w:rsid w:val="002D2D6C"/>
    <w:rsid w:val="002D2D7A"/>
    <w:rsid w:val="002D2D9E"/>
    <w:rsid w:val="002D2DFD"/>
    <w:rsid w:val="002D30C2"/>
    <w:rsid w:val="002D3335"/>
    <w:rsid w:val="002D33A3"/>
    <w:rsid w:val="002D33EA"/>
    <w:rsid w:val="002D3463"/>
    <w:rsid w:val="002D3544"/>
    <w:rsid w:val="002D35F6"/>
    <w:rsid w:val="002D3653"/>
    <w:rsid w:val="002D39A3"/>
    <w:rsid w:val="002D3AE8"/>
    <w:rsid w:val="002D3B6C"/>
    <w:rsid w:val="002D3C05"/>
    <w:rsid w:val="002D3CCD"/>
    <w:rsid w:val="002D3D09"/>
    <w:rsid w:val="002D3E14"/>
    <w:rsid w:val="002D3E66"/>
    <w:rsid w:val="002D3F07"/>
    <w:rsid w:val="002D4057"/>
    <w:rsid w:val="002D40B3"/>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704"/>
    <w:rsid w:val="002D5784"/>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CFA"/>
    <w:rsid w:val="002D6D29"/>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3B8"/>
    <w:rsid w:val="002E1669"/>
    <w:rsid w:val="002E1850"/>
    <w:rsid w:val="002E18FF"/>
    <w:rsid w:val="002E1AAC"/>
    <w:rsid w:val="002E1AD2"/>
    <w:rsid w:val="002E1ADF"/>
    <w:rsid w:val="002E1B64"/>
    <w:rsid w:val="002E1CD8"/>
    <w:rsid w:val="002E1D19"/>
    <w:rsid w:val="002E1DCC"/>
    <w:rsid w:val="002E1E51"/>
    <w:rsid w:val="002E1FBF"/>
    <w:rsid w:val="002E209F"/>
    <w:rsid w:val="002E20DD"/>
    <w:rsid w:val="002E215B"/>
    <w:rsid w:val="002E2234"/>
    <w:rsid w:val="002E226F"/>
    <w:rsid w:val="002E25A2"/>
    <w:rsid w:val="002E25BA"/>
    <w:rsid w:val="002E25EE"/>
    <w:rsid w:val="002E26E4"/>
    <w:rsid w:val="002E2800"/>
    <w:rsid w:val="002E292F"/>
    <w:rsid w:val="002E2B66"/>
    <w:rsid w:val="002E2CA6"/>
    <w:rsid w:val="002E2CB1"/>
    <w:rsid w:val="002E2D29"/>
    <w:rsid w:val="002E2DF3"/>
    <w:rsid w:val="002E2ECB"/>
    <w:rsid w:val="002E3080"/>
    <w:rsid w:val="002E3111"/>
    <w:rsid w:val="002E3358"/>
    <w:rsid w:val="002E344E"/>
    <w:rsid w:val="002E345C"/>
    <w:rsid w:val="002E367B"/>
    <w:rsid w:val="002E36D6"/>
    <w:rsid w:val="002E38AB"/>
    <w:rsid w:val="002E38EE"/>
    <w:rsid w:val="002E3A5A"/>
    <w:rsid w:val="002E3A68"/>
    <w:rsid w:val="002E3A9E"/>
    <w:rsid w:val="002E3CA3"/>
    <w:rsid w:val="002E3E01"/>
    <w:rsid w:val="002E3EAD"/>
    <w:rsid w:val="002E3EB9"/>
    <w:rsid w:val="002E3EDC"/>
    <w:rsid w:val="002E3FB4"/>
    <w:rsid w:val="002E3FE9"/>
    <w:rsid w:val="002E40F4"/>
    <w:rsid w:val="002E4113"/>
    <w:rsid w:val="002E42C8"/>
    <w:rsid w:val="002E4423"/>
    <w:rsid w:val="002E4488"/>
    <w:rsid w:val="002E4730"/>
    <w:rsid w:val="002E47F2"/>
    <w:rsid w:val="002E4A47"/>
    <w:rsid w:val="002E4B0E"/>
    <w:rsid w:val="002E4C92"/>
    <w:rsid w:val="002E4F0F"/>
    <w:rsid w:val="002E51EE"/>
    <w:rsid w:val="002E55C3"/>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1A1"/>
    <w:rsid w:val="002E7231"/>
    <w:rsid w:val="002E7260"/>
    <w:rsid w:val="002E756C"/>
    <w:rsid w:val="002E7586"/>
    <w:rsid w:val="002E75CC"/>
    <w:rsid w:val="002E7909"/>
    <w:rsid w:val="002E7A00"/>
    <w:rsid w:val="002E7AC9"/>
    <w:rsid w:val="002E7C61"/>
    <w:rsid w:val="002E7CBE"/>
    <w:rsid w:val="002E7DBB"/>
    <w:rsid w:val="002E7E6F"/>
    <w:rsid w:val="002F0157"/>
    <w:rsid w:val="002F03A1"/>
    <w:rsid w:val="002F0448"/>
    <w:rsid w:val="002F0532"/>
    <w:rsid w:val="002F067A"/>
    <w:rsid w:val="002F08B7"/>
    <w:rsid w:val="002F0A0A"/>
    <w:rsid w:val="002F0AF1"/>
    <w:rsid w:val="002F0D59"/>
    <w:rsid w:val="002F0EB2"/>
    <w:rsid w:val="002F10E5"/>
    <w:rsid w:val="002F1133"/>
    <w:rsid w:val="002F1350"/>
    <w:rsid w:val="002F155F"/>
    <w:rsid w:val="002F15A7"/>
    <w:rsid w:val="002F15F6"/>
    <w:rsid w:val="002F1A02"/>
    <w:rsid w:val="002F1CCD"/>
    <w:rsid w:val="002F1F0B"/>
    <w:rsid w:val="002F1F2D"/>
    <w:rsid w:val="002F1F99"/>
    <w:rsid w:val="002F1FD6"/>
    <w:rsid w:val="002F225D"/>
    <w:rsid w:val="002F22C9"/>
    <w:rsid w:val="002F23B9"/>
    <w:rsid w:val="002F2665"/>
    <w:rsid w:val="002F27FF"/>
    <w:rsid w:val="002F2925"/>
    <w:rsid w:val="002F2A0E"/>
    <w:rsid w:val="002F2B35"/>
    <w:rsid w:val="002F2C34"/>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B9C"/>
    <w:rsid w:val="002F3DCB"/>
    <w:rsid w:val="002F3E20"/>
    <w:rsid w:val="002F3EB7"/>
    <w:rsid w:val="002F3EF4"/>
    <w:rsid w:val="002F3F48"/>
    <w:rsid w:val="002F4070"/>
    <w:rsid w:val="002F41C3"/>
    <w:rsid w:val="002F44B5"/>
    <w:rsid w:val="002F4508"/>
    <w:rsid w:val="002F45DC"/>
    <w:rsid w:val="002F47E8"/>
    <w:rsid w:val="002F4877"/>
    <w:rsid w:val="002F49B9"/>
    <w:rsid w:val="002F49D7"/>
    <w:rsid w:val="002F4A8A"/>
    <w:rsid w:val="002F4CC0"/>
    <w:rsid w:val="002F4EA4"/>
    <w:rsid w:val="002F4EBB"/>
    <w:rsid w:val="002F5182"/>
    <w:rsid w:val="002F5293"/>
    <w:rsid w:val="002F537C"/>
    <w:rsid w:val="002F55FC"/>
    <w:rsid w:val="002F56E1"/>
    <w:rsid w:val="002F5844"/>
    <w:rsid w:val="002F5AE8"/>
    <w:rsid w:val="002F5AFA"/>
    <w:rsid w:val="002F5CB7"/>
    <w:rsid w:val="002F5D13"/>
    <w:rsid w:val="002F5D8F"/>
    <w:rsid w:val="002F5DE4"/>
    <w:rsid w:val="002F65FE"/>
    <w:rsid w:val="002F6854"/>
    <w:rsid w:val="002F6986"/>
    <w:rsid w:val="002F69DB"/>
    <w:rsid w:val="002F71A8"/>
    <w:rsid w:val="002F73AB"/>
    <w:rsid w:val="002F73D6"/>
    <w:rsid w:val="002F74EF"/>
    <w:rsid w:val="002F761C"/>
    <w:rsid w:val="002F7964"/>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0F1"/>
    <w:rsid w:val="00301206"/>
    <w:rsid w:val="00301253"/>
    <w:rsid w:val="003013B8"/>
    <w:rsid w:val="003013D8"/>
    <w:rsid w:val="0030141C"/>
    <w:rsid w:val="00301546"/>
    <w:rsid w:val="003016E9"/>
    <w:rsid w:val="003017F9"/>
    <w:rsid w:val="0030185E"/>
    <w:rsid w:val="003018D8"/>
    <w:rsid w:val="0030198E"/>
    <w:rsid w:val="00301A1D"/>
    <w:rsid w:val="00301A5F"/>
    <w:rsid w:val="00301B4A"/>
    <w:rsid w:val="00301BD2"/>
    <w:rsid w:val="00301CC9"/>
    <w:rsid w:val="00301D5C"/>
    <w:rsid w:val="00301E18"/>
    <w:rsid w:val="00301F7F"/>
    <w:rsid w:val="0030201E"/>
    <w:rsid w:val="00302063"/>
    <w:rsid w:val="003020BC"/>
    <w:rsid w:val="003021D4"/>
    <w:rsid w:val="00302263"/>
    <w:rsid w:val="00302332"/>
    <w:rsid w:val="0030297F"/>
    <w:rsid w:val="00302A52"/>
    <w:rsid w:val="00302AD7"/>
    <w:rsid w:val="00302CAE"/>
    <w:rsid w:val="00302DE8"/>
    <w:rsid w:val="00302DF0"/>
    <w:rsid w:val="00302E1C"/>
    <w:rsid w:val="00302FDD"/>
    <w:rsid w:val="00303252"/>
    <w:rsid w:val="0030333F"/>
    <w:rsid w:val="00303425"/>
    <w:rsid w:val="00303449"/>
    <w:rsid w:val="003036E2"/>
    <w:rsid w:val="003036F6"/>
    <w:rsid w:val="0030394C"/>
    <w:rsid w:val="003039EF"/>
    <w:rsid w:val="00303B30"/>
    <w:rsid w:val="00303CDC"/>
    <w:rsid w:val="00303E80"/>
    <w:rsid w:val="00303EA5"/>
    <w:rsid w:val="00303F37"/>
    <w:rsid w:val="00303FA5"/>
    <w:rsid w:val="00304001"/>
    <w:rsid w:val="003040EE"/>
    <w:rsid w:val="00304153"/>
    <w:rsid w:val="00304172"/>
    <w:rsid w:val="003043A5"/>
    <w:rsid w:val="00304704"/>
    <w:rsid w:val="003047FC"/>
    <w:rsid w:val="00304896"/>
    <w:rsid w:val="0030499B"/>
    <w:rsid w:val="00304A24"/>
    <w:rsid w:val="00304A8D"/>
    <w:rsid w:val="00304C68"/>
    <w:rsid w:val="00304C76"/>
    <w:rsid w:val="00304D64"/>
    <w:rsid w:val="00304E2B"/>
    <w:rsid w:val="00305023"/>
    <w:rsid w:val="003050A7"/>
    <w:rsid w:val="0030523B"/>
    <w:rsid w:val="00305400"/>
    <w:rsid w:val="0030544D"/>
    <w:rsid w:val="00305687"/>
    <w:rsid w:val="003056E4"/>
    <w:rsid w:val="00305794"/>
    <w:rsid w:val="003057C3"/>
    <w:rsid w:val="003057DC"/>
    <w:rsid w:val="0030583B"/>
    <w:rsid w:val="003058F1"/>
    <w:rsid w:val="00305AD3"/>
    <w:rsid w:val="00305B35"/>
    <w:rsid w:val="00305E9A"/>
    <w:rsid w:val="00306064"/>
    <w:rsid w:val="0030609B"/>
    <w:rsid w:val="00306246"/>
    <w:rsid w:val="00306267"/>
    <w:rsid w:val="003062B5"/>
    <w:rsid w:val="00306370"/>
    <w:rsid w:val="0030659C"/>
    <w:rsid w:val="003067AA"/>
    <w:rsid w:val="00306875"/>
    <w:rsid w:val="0030699B"/>
    <w:rsid w:val="00306A62"/>
    <w:rsid w:val="00306B65"/>
    <w:rsid w:val="00306BA7"/>
    <w:rsid w:val="00306C5A"/>
    <w:rsid w:val="00306D3C"/>
    <w:rsid w:val="00306D59"/>
    <w:rsid w:val="00306ECE"/>
    <w:rsid w:val="00306F2B"/>
    <w:rsid w:val="00306F87"/>
    <w:rsid w:val="0030700C"/>
    <w:rsid w:val="0030724D"/>
    <w:rsid w:val="00307888"/>
    <w:rsid w:val="00307B36"/>
    <w:rsid w:val="00307BF1"/>
    <w:rsid w:val="00307C00"/>
    <w:rsid w:val="00307C11"/>
    <w:rsid w:val="00307D40"/>
    <w:rsid w:val="00307E4B"/>
    <w:rsid w:val="00307F14"/>
    <w:rsid w:val="00310079"/>
    <w:rsid w:val="00310296"/>
    <w:rsid w:val="003102D2"/>
    <w:rsid w:val="00310349"/>
    <w:rsid w:val="003103B1"/>
    <w:rsid w:val="003104B5"/>
    <w:rsid w:val="003104F4"/>
    <w:rsid w:val="00310505"/>
    <w:rsid w:val="003105ED"/>
    <w:rsid w:val="00310644"/>
    <w:rsid w:val="003106EC"/>
    <w:rsid w:val="00310702"/>
    <w:rsid w:val="00310865"/>
    <w:rsid w:val="003108AA"/>
    <w:rsid w:val="003108C1"/>
    <w:rsid w:val="00310A79"/>
    <w:rsid w:val="00310AD4"/>
    <w:rsid w:val="00310E2B"/>
    <w:rsid w:val="00310F0F"/>
    <w:rsid w:val="00310F12"/>
    <w:rsid w:val="00310F14"/>
    <w:rsid w:val="00310F4F"/>
    <w:rsid w:val="003111CE"/>
    <w:rsid w:val="003112DF"/>
    <w:rsid w:val="0031149A"/>
    <w:rsid w:val="003115D2"/>
    <w:rsid w:val="0031169A"/>
    <w:rsid w:val="003116D2"/>
    <w:rsid w:val="003116F7"/>
    <w:rsid w:val="00311926"/>
    <w:rsid w:val="00311A35"/>
    <w:rsid w:val="00311BAB"/>
    <w:rsid w:val="00311C0D"/>
    <w:rsid w:val="00311E0A"/>
    <w:rsid w:val="00312074"/>
    <w:rsid w:val="00312116"/>
    <w:rsid w:val="0031227E"/>
    <w:rsid w:val="00312332"/>
    <w:rsid w:val="00312379"/>
    <w:rsid w:val="00312573"/>
    <w:rsid w:val="003126D6"/>
    <w:rsid w:val="00312775"/>
    <w:rsid w:val="003127FB"/>
    <w:rsid w:val="003128B2"/>
    <w:rsid w:val="00312952"/>
    <w:rsid w:val="00312B9F"/>
    <w:rsid w:val="00312C4C"/>
    <w:rsid w:val="00312E35"/>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3E6C"/>
    <w:rsid w:val="00314007"/>
    <w:rsid w:val="0031401D"/>
    <w:rsid w:val="003140B2"/>
    <w:rsid w:val="003142D7"/>
    <w:rsid w:val="003142E3"/>
    <w:rsid w:val="0031430C"/>
    <w:rsid w:val="003143E4"/>
    <w:rsid w:val="003144B0"/>
    <w:rsid w:val="00314518"/>
    <w:rsid w:val="0031457B"/>
    <w:rsid w:val="0031458E"/>
    <w:rsid w:val="003145A4"/>
    <w:rsid w:val="00314781"/>
    <w:rsid w:val="003147E3"/>
    <w:rsid w:val="00314877"/>
    <w:rsid w:val="00314881"/>
    <w:rsid w:val="00314A89"/>
    <w:rsid w:val="00314B35"/>
    <w:rsid w:val="00314B66"/>
    <w:rsid w:val="00314BDE"/>
    <w:rsid w:val="00314FBA"/>
    <w:rsid w:val="00314FDD"/>
    <w:rsid w:val="0031514E"/>
    <w:rsid w:val="003151FC"/>
    <w:rsid w:val="003152C8"/>
    <w:rsid w:val="003154F7"/>
    <w:rsid w:val="0031550F"/>
    <w:rsid w:val="00315751"/>
    <w:rsid w:val="0031577C"/>
    <w:rsid w:val="003158A3"/>
    <w:rsid w:val="003158A4"/>
    <w:rsid w:val="003158C5"/>
    <w:rsid w:val="0031595E"/>
    <w:rsid w:val="00315A6A"/>
    <w:rsid w:val="00315A7C"/>
    <w:rsid w:val="00315B08"/>
    <w:rsid w:val="00315B7F"/>
    <w:rsid w:val="00315D3A"/>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97"/>
    <w:rsid w:val="003175DC"/>
    <w:rsid w:val="00317765"/>
    <w:rsid w:val="003177BA"/>
    <w:rsid w:val="00317810"/>
    <w:rsid w:val="00317893"/>
    <w:rsid w:val="00317A3B"/>
    <w:rsid w:val="00317D7A"/>
    <w:rsid w:val="00317D86"/>
    <w:rsid w:val="00317E76"/>
    <w:rsid w:val="00317F1B"/>
    <w:rsid w:val="00320043"/>
    <w:rsid w:val="0032065D"/>
    <w:rsid w:val="003206FC"/>
    <w:rsid w:val="003207B0"/>
    <w:rsid w:val="003207CE"/>
    <w:rsid w:val="003207E3"/>
    <w:rsid w:val="003208FD"/>
    <w:rsid w:val="00320A9B"/>
    <w:rsid w:val="00320C7E"/>
    <w:rsid w:val="00320CD3"/>
    <w:rsid w:val="00320CFF"/>
    <w:rsid w:val="00320D63"/>
    <w:rsid w:val="00320D6A"/>
    <w:rsid w:val="00320EED"/>
    <w:rsid w:val="00320F99"/>
    <w:rsid w:val="00320FB1"/>
    <w:rsid w:val="00321073"/>
    <w:rsid w:val="003213AA"/>
    <w:rsid w:val="0032157F"/>
    <w:rsid w:val="003215A6"/>
    <w:rsid w:val="0032181D"/>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6F"/>
    <w:rsid w:val="003233E2"/>
    <w:rsid w:val="00323420"/>
    <w:rsid w:val="0032345B"/>
    <w:rsid w:val="0032348E"/>
    <w:rsid w:val="00323540"/>
    <w:rsid w:val="003236EF"/>
    <w:rsid w:val="0032381E"/>
    <w:rsid w:val="00323857"/>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976"/>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387"/>
    <w:rsid w:val="003264C4"/>
    <w:rsid w:val="003267D6"/>
    <w:rsid w:val="00326967"/>
    <w:rsid w:val="00326A93"/>
    <w:rsid w:val="00326AD5"/>
    <w:rsid w:val="00326C79"/>
    <w:rsid w:val="00326CAD"/>
    <w:rsid w:val="00326D47"/>
    <w:rsid w:val="00326DE7"/>
    <w:rsid w:val="00326F56"/>
    <w:rsid w:val="00326FB4"/>
    <w:rsid w:val="00326FF7"/>
    <w:rsid w:val="003270A9"/>
    <w:rsid w:val="003270B8"/>
    <w:rsid w:val="003270ED"/>
    <w:rsid w:val="00327255"/>
    <w:rsid w:val="00327336"/>
    <w:rsid w:val="003273B9"/>
    <w:rsid w:val="0032741D"/>
    <w:rsid w:val="003274B4"/>
    <w:rsid w:val="003275CA"/>
    <w:rsid w:val="00327624"/>
    <w:rsid w:val="00327941"/>
    <w:rsid w:val="00327963"/>
    <w:rsid w:val="00327987"/>
    <w:rsid w:val="00327C8E"/>
    <w:rsid w:val="00327CB0"/>
    <w:rsid w:val="00327CD2"/>
    <w:rsid w:val="00327D19"/>
    <w:rsid w:val="00327F30"/>
    <w:rsid w:val="00327F7D"/>
    <w:rsid w:val="00327FE0"/>
    <w:rsid w:val="00330034"/>
    <w:rsid w:val="00330059"/>
    <w:rsid w:val="003301D6"/>
    <w:rsid w:val="00330276"/>
    <w:rsid w:val="0033029C"/>
    <w:rsid w:val="00330518"/>
    <w:rsid w:val="00330779"/>
    <w:rsid w:val="00330822"/>
    <w:rsid w:val="00330883"/>
    <w:rsid w:val="003308A7"/>
    <w:rsid w:val="00330999"/>
    <w:rsid w:val="00330AC6"/>
    <w:rsid w:val="00330C5C"/>
    <w:rsid w:val="00330D6D"/>
    <w:rsid w:val="00330DCC"/>
    <w:rsid w:val="00330F03"/>
    <w:rsid w:val="00330F0D"/>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1B8"/>
    <w:rsid w:val="0033221A"/>
    <w:rsid w:val="003324F0"/>
    <w:rsid w:val="003326B0"/>
    <w:rsid w:val="00332749"/>
    <w:rsid w:val="0033289D"/>
    <w:rsid w:val="00332986"/>
    <w:rsid w:val="00332C62"/>
    <w:rsid w:val="00332CE9"/>
    <w:rsid w:val="003330EA"/>
    <w:rsid w:val="00333123"/>
    <w:rsid w:val="003332B7"/>
    <w:rsid w:val="00333352"/>
    <w:rsid w:val="00333587"/>
    <w:rsid w:val="0033375C"/>
    <w:rsid w:val="003338C2"/>
    <w:rsid w:val="003338CE"/>
    <w:rsid w:val="00333A8B"/>
    <w:rsid w:val="00333D0D"/>
    <w:rsid w:val="00333D28"/>
    <w:rsid w:val="00333DD1"/>
    <w:rsid w:val="00333DF6"/>
    <w:rsid w:val="00333F28"/>
    <w:rsid w:val="00333F6C"/>
    <w:rsid w:val="0033415D"/>
    <w:rsid w:val="003341C8"/>
    <w:rsid w:val="0033459A"/>
    <w:rsid w:val="0033464B"/>
    <w:rsid w:val="0033467D"/>
    <w:rsid w:val="0033482E"/>
    <w:rsid w:val="00334B94"/>
    <w:rsid w:val="00334E06"/>
    <w:rsid w:val="00334FB6"/>
    <w:rsid w:val="0033516D"/>
    <w:rsid w:val="003352A4"/>
    <w:rsid w:val="003353CE"/>
    <w:rsid w:val="0033543E"/>
    <w:rsid w:val="0033547F"/>
    <w:rsid w:val="003354A4"/>
    <w:rsid w:val="00335525"/>
    <w:rsid w:val="0033568F"/>
    <w:rsid w:val="0033576D"/>
    <w:rsid w:val="00335781"/>
    <w:rsid w:val="003357C5"/>
    <w:rsid w:val="003359FA"/>
    <w:rsid w:val="00335C0D"/>
    <w:rsid w:val="00335C7D"/>
    <w:rsid w:val="00335CF3"/>
    <w:rsid w:val="00335D5A"/>
    <w:rsid w:val="00335DE0"/>
    <w:rsid w:val="00335DF3"/>
    <w:rsid w:val="00335E09"/>
    <w:rsid w:val="00335EF7"/>
    <w:rsid w:val="00335F95"/>
    <w:rsid w:val="00336039"/>
    <w:rsid w:val="0033606A"/>
    <w:rsid w:val="0033611B"/>
    <w:rsid w:val="003364A6"/>
    <w:rsid w:val="00336603"/>
    <w:rsid w:val="003366CE"/>
    <w:rsid w:val="00336750"/>
    <w:rsid w:val="0033692D"/>
    <w:rsid w:val="00336936"/>
    <w:rsid w:val="00336AE5"/>
    <w:rsid w:val="00336B73"/>
    <w:rsid w:val="00336E1E"/>
    <w:rsid w:val="003370E1"/>
    <w:rsid w:val="00337250"/>
    <w:rsid w:val="0033727F"/>
    <w:rsid w:val="003374AE"/>
    <w:rsid w:val="0033771A"/>
    <w:rsid w:val="003377AE"/>
    <w:rsid w:val="003377B5"/>
    <w:rsid w:val="003377B9"/>
    <w:rsid w:val="00337C3A"/>
    <w:rsid w:val="00337C47"/>
    <w:rsid w:val="00337CCB"/>
    <w:rsid w:val="00337D1A"/>
    <w:rsid w:val="00340298"/>
    <w:rsid w:val="003403F7"/>
    <w:rsid w:val="003405AE"/>
    <w:rsid w:val="003407D8"/>
    <w:rsid w:val="0034080E"/>
    <w:rsid w:val="0034081D"/>
    <w:rsid w:val="003408B4"/>
    <w:rsid w:val="003409DD"/>
    <w:rsid w:val="00340AA3"/>
    <w:rsid w:val="00340D46"/>
    <w:rsid w:val="00340D8C"/>
    <w:rsid w:val="00340DD2"/>
    <w:rsid w:val="00340F00"/>
    <w:rsid w:val="00341032"/>
    <w:rsid w:val="0034114F"/>
    <w:rsid w:val="003412A6"/>
    <w:rsid w:val="003414D4"/>
    <w:rsid w:val="00341518"/>
    <w:rsid w:val="003415AD"/>
    <w:rsid w:val="003417B6"/>
    <w:rsid w:val="003417F3"/>
    <w:rsid w:val="00341886"/>
    <w:rsid w:val="003418B7"/>
    <w:rsid w:val="00341EB2"/>
    <w:rsid w:val="00341FB6"/>
    <w:rsid w:val="003421F9"/>
    <w:rsid w:val="003422E9"/>
    <w:rsid w:val="00342326"/>
    <w:rsid w:val="003424E8"/>
    <w:rsid w:val="003426F4"/>
    <w:rsid w:val="0034278B"/>
    <w:rsid w:val="00342945"/>
    <w:rsid w:val="003429D3"/>
    <w:rsid w:val="00342A84"/>
    <w:rsid w:val="00342D95"/>
    <w:rsid w:val="00342E42"/>
    <w:rsid w:val="00342F41"/>
    <w:rsid w:val="0034308A"/>
    <w:rsid w:val="003430B9"/>
    <w:rsid w:val="003431C0"/>
    <w:rsid w:val="00343220"/>
    <w:rsid w:val="00343275"/>
    <w:rsid w:val="003432EB"/>
    <w:rsid w:val="003433C3"/>
    <w:rsid w:val="00343642"/>
    <w:rsid w:val="00343741"/>
    <w:rsid w:val="00343AE3"/>
    <w:rsid w:val="00343FA9"/>
    <w:rsid w:val="00343FCA"/>
    <w:rsid w:val="00344031"/>
    <w:rsid w:val="0034411B"/>
    <w:rsid w:val="003443E7"/>
    <w:rsid w:val="003443F2"/>
    <w:rsid w:val="00344893"/>
    <w:rsid w:val="00344921"/>
    <w:rsid w:val="003449F8"/>
    <w:rsid w:val="00344A3F"/>
    <w:rsid w:val="00344A90"/>
    <w:rsid w:val="00344B29"/>
    <w:rsid w:val="0034509A"/>
    <w:rsid w:val="003452F8"/>
    <w:rsid w:val="00345305"/>
    <w:rsid w:val="003453C2"/>
    <w:rsid w:val="0034541F"/>
    <w:rsid w:val="003455CA"/>
    <w:rsid w:val="003455F4"/>
    <w:rsid w:val="003456AD"/>
    <w:rsid w:val="003456D8"/>
    <w:rsid w:val="00345749"/>
    <w:rsid w:val="003457B4"/>
    <w:rsid w:val="00345809"/>
    <w:rsid w:val="00345C6A"/>
    <w:rsid w:val="00345C93"/>
    <w:rsid w:val="00345CC7"/>
    <w:rsid w:val="00345F51"/>
    <w:rsid w:val="00345F5B"/>
    <w:rsid w:val="003462D3"/>
    <w:rsid w:val="0034647F"/>
    <w:rsid w:val="0034686A"/>
    <w:rsid w:val="003468C7"/>
    <w:rsid w:val="00346902"/>
    <w:rsid w:val="0034698B"/>
    <w:rsid w:val="00346AF0"/>
    <w:rsid w:val="00346B84"/>
    <w:rsid w:val="00346FD3"/>
    <w:rsid w:val="00346FD4"/>
    <w:rsid w:val="003470F1"/>
    <w:rsid w:val="00347214"/>
    <w:rsid w:val="0034754B"/>
    <w:rsid w:val="003475A2"/>
    <w:rsid w:val="003475A3"/>
    <w:rsid w:val="00347936"/>
    <w:rsid w:val="00347B16"/>
    <w:rsid w:val="00347C46"/>
    <w:rsid w:val="00347CCE"/>
    <w:rsid w:val="00347CFA"/>
    <w:rsid w:val="00347EED"/>
    <w:rsid w:val="0035003E"/>
    <w:rsid w:val="00350084"/>
    <w:rsid w:val="003500C6"/>
    <w:rsid w:val="003503C4"/>
    <w:rsid w:val="003504B2"/>
    <w:rsid w:val="003504CB"/>
    <w:rsid w:val="003504EC"/>
    <w:rsid w:val="00350733"/>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058"/>
    <w:rsid w:val="0035331E"/>
    <w:rsid w:val="00353387"/>
    <w:rsid w:val="00353494"/>
    <w:rsid w:val="00353578"/>
    <w:rsid w:val="0035382D"/>
    <w:rsid w:val="00353985"/>
    <w:rsid w:val="003539D6"/>
    <w:rsid w:val="003539DA"/>
    <w:rsid w:val="003539F2"/>
    <w:rsid w:val="00353BE2"/>
    <w:rsid w:val="00353D7A"/>
    <w:rsid w:val="00353E71"/>
    <w:rsid w:val="00354140"/>
    <w:rsid w:val="003542D8"/>
    <w:rsid w:val="003544F9"/>
    <w:rsid w:val="00354514"/>
    <w:rsid w:val="0035466E"/>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AA"/>
    <w:rsid w:val="00356FF4"/>
    <w:rsid w:val="0035702A"/>
    <w:rsid w:val="003570AF"/>
    <w:rsid w:val="003570CE"/>
    <w:rsid w:val="003571C8"/>
    <w:rsid w:val="003571FD"/>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9C3"/>
    <w:rsid w:val="00360CFF"/>
    <w:rsid w:val="00360DFD"/>
    <w:rsid w:val="00360F89"/>
    <w:rsid w:val="00361010"/>
    <w:rsid w:val="0036103F"/>
    <w:rsid w:val="00361142"/>
    <w:rsid w:val="00361166"/>
    <w:rsid w:val="00361210"/>
    <w:rsid w:val="0036139D"/>
    <w:rsid w:val="003613EA"/>
    <w:rsid w:val="00361545"/>
    <w:rsid w:val="003619A7"/>
    <w:rsid w:val="00361A9D"/>
    <w:rsid w:val="00361AD6"/>
    <w:rsid w:val="00361B97"/>
    <w:rsid w:val="00361D57"/>
    <w:rsid w:val="00361E39"/>
    <w:rsid w:val="00361FD7"/>
    <w:rsid w:val="003622A5"/>
    <w:rsid w:val="00362315"/>
    <w:rsid w:val="0036237C"/>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79F"/>
    <w:rsid w:val="0036391F"/>
    <w:rsid w:val="003639D1"/>
    <w:rsid w:val="00363A64"/>
    <w:rsid w:val="00363B3D"/>
    <w:rsid w:val="00363CBA"/>
    <w:rsid w:val="00363D24"/>
    <w:rsid w:val="00363DAE"/>
    <w:rsid w:val="00363E67"/>
    <w:rsid w:val="00364019"/>
    <w:rsid w:val="0036417D"/>
    <w:rsid w:val="003642B1"/>
    <w:rsid w:val="003644FF"/>
    <w:rsid w:val="003645E1"/>
    <w:rsid w:val="0036464D"/>
    <w:rsid w:val="00364682"/>
    <w:rsid w:val="00364692"/>
    <w:rsid w:val="003647E5"/>
    <w:rsid w:val="00364A52"/>
    <w:rsid w:val="00364AD0"/>
    <w:rsid w:val="00364E3B"/>
    <w:rsid w:val="00365074"/>
    <w:rsid w:val="003650AF"/>
    <w:rsid w:val="003650ED"/>
    <w:rsid w:val="00365293"/>
    <w:rsid w:val="003653F7"/>
    <w:rsid w:val="00365477"/>
    <w:rsid w:val="003654EC"/>
    <w:rsid w:val="003656E3"/>
    <w:rsid w:val="00365AC4"/>
    <w:rsid w:val="00365B5F"/>
    <w:rsid w:val="00366018"/>
    <w:rsid w:val="003661B0"/>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18"/>
    <w:rsid w:val="00367A82"/>
    <w:rsid w:val="00367B61"/>
    <w:rsid w:val="00367BBE"/>
    <w:rsid w:val="00367E53"/>
    <w:rsid w:val="00367EE5"/>
    <w:rsid w:val="00367FF3"/>
    <w:rsid w:val="003700B9"/>
    <w:rsid w:val="003700EE"/>
    <w:rsid w:val="003701A2"/>
    <w:rsid w:val="0037020E"/>
    <w:rsid w:val="0037035B"/>
    <w:rsid w:val="003706C6"/>
    <w:rsid w:val="00370787"/>
    <w:rsid w:val="0037082D"/>
    <w:rsid w:val="00370910"/>
    <w:rsid w:val="003709FA"/>
    <w:rsid w:val="00370AEC"/>
    <w:rsid w:val="00370B00"/>
    <w:rsid w:val="00370DB7"/>
    <w:rsid w:val="00370F3E"/>
    <w:rsid w:val="00370FDC"/>
    <w:rsid w:val="00371188"/>
    <w:rsid w:val="003714B0"/>
    <w:rsid w:val="003714D9"/>
    <w:rsid w:val="003714DE"/>
    <w:rsid w:val="0037163A"/>
    <w:rsid w:val="0037175D"/>
    <w:rsid w:val="0037199D"/>
    <w:rsid w:val="003719A8"/>
    <w:rsid w:val="00371D22"/>
    <w:rsid w:val="00371D67"/>
    <w:rsid w:val="00371DB0"/>
    <w:rsid w:val="00371DF7"/>
    <w:rsid w:val="00371FBC"/>
    <w:rsid w:val="00372097"/>
    <w:rsid w:val="0037236B"/>
    <w:rsid w:val="003723A3"/>
    <w:rsid w:val="00372471"/>
    <w:rsid w:val="003725EC"/>
    <w:rsid w:val="0037271B"/>
    <w:rsid w:val="0037273B"/>
    <w:rsid w:val="00372C66"/>
    <w:rsid w:val="00372C91"/>
    <w:rsid w:val="00372CE3"/>
    <w:rsid w:val="00372D47"/>
    <w:rsid w:val="00372FDE"/>
    <w:rsid w:val="003737D5"/>
    <w:rsid w:val="003739A4"/>
    <w:rsid w:val="00373AB8"/>
    <w:rsid w:val="00373BEB"/>
    <w:rsid w:val="00373D0E"/>
    <w:rsid w:val="00373E21"/>
    <w:rsid w:val="00373E8F"/>
    <w:rsid w:val="00373E93"/>
    <w:rsid w:val="00374002"/>
    <w:rsid w:val="0037409E"/>
    <w:rsid w:val="003741C2"/>
    <w:rsid w:val="003741CE"/>
    <w:rsid w:val="00374234"/>
    <w:rsid w:val="003743BE"/>
    <w:rsid w:val="00374464"/>
    <w:rsid w:val="00374811"/>
    <w:rsid w:val="003748B9"/>
    <w:rsid w:val="00374A0F"/>
    <w:rsid w:val="00374CFC"/>
    <w:rsid w:val="00374DE7"/>
    <w:rsid w:val="00374E2B"/>
    <w:rsid w:val="00374E9F"/>
    <w:rsid w:val="00374ED2"/>
    <w:rsid w:val="00374F47"/>
    <w:rsid w:val="0037534A"/>
    <w:rsid w:val="003754A9"/>
    <w:rsid w:val="003754AA"/>
    <w:rsid w:val="00375595"/>
    <w:rsid w:val="00375813"/>
    <w:rsid w:val="00375997"/>
    <w:rsid w:val="00375A24"/>
    <w:rsid w:val="00375A62"/>
    <w:rsid w:val="00375BFF"/>
    <w:rsid w:val="00375C7E"/>
    <w:rsid w:val="00375D14"/>
    <w:rsid w:val="00375DA1"/>
    <w:rsid w:val="00375E0B"/>
    <w:rsid w:val="00375E4A"/>
    <w:rsid w:val="00375EC5"/>
    <w:rsid w:val="00375F4E"/>
    <w:rsid w:val="00375FB0"/>
    <w:rsid w:val="00376049"/>
    <w:rsid w:val="0037638D"/>
    <w:rsid w:val="0037642A"/>
    <w:rsid w:val="003764F2"/>
    <w:rsid w:val="0037662A"/>
    <w:rsid w:val="00376751"/>
    <w:rsid w:val="00376AB6"/>
    <w:rsid w:val="00376B3E"/>
    <w:rsid w:val="00376BD5"/>
    <w:rsid w:val="00376E7B"/>
    <w:rsid w:val="00376F6A"/>
    <w:rsid w:val="00376FA0"/>
    <w:rsid w:val="00377090"/>
    <w:rsid w:val="003770AD"/>
    <w:rsid w:val="003771CF"/>
    <w:rsid w:val="00377268"/>
    <w:rsid w:val="0037747D"/>
    <w:rsid w:val="003776AE"/>
    <w:rsid w:val="003777EC"/>
    <w:rsid w:val="00377B69"/>
    <w:rsid w:val="00377BF9"/>
    <w:rsid w:val="00377CA4"/>
    <w:rsid w:val="00377CCA"/>
    <w:rsid w:val="00377D43"/>
    <w:rsid w:val="00377F65"/>
    <w:rsid w:val="00377FDA"/>
    <w:rsid w:val="00380100"/>
    <w:rsid w:val="00380132"/>
    <w:rsid w:val="00380451"/>
    <w:rsid w:val="003805FF"/>
    <w:rsid w:val="003806C0"/>
    <w:rsid w:val="003808BE"/>
    <w:rsid w:val="00380947"/>
    <w:rsid w:val="003809C4"/>
    <w:rsid w:val="00380AD2"/>
    <w:rsid w:val="00380D1B"/>
    <w:rsid w:val="00380F9B"/>
    <w:rsid w:val="00381017"/>
    <w:rsid w:val="0038113F"/>
    <w:rsid w:val="003811C4"/>
    <w:rsid w:val="0038140F"/>
    <w:rsid w:val="00381674"/>
    <w:rsid w:val="003816F6"/>
    <w:rsid w:val="0038171A"/>
    <w:rsid w:val="00381720"/>
    <w:rsid w:val="00381AB8"/>
    <w:rsid w:val="00381DE5"/>
    <w:rsid w:val="00381E4C"/>
    <w:rsid w:val="00381EB8"/>
    <w:rsid w:val="00381EE6"/>
    <w:rsid w:val="00381F32"/>
    <w:rsid w:val="00382018"/>
    <w:rsid w:val="00382050"/>
    <w:rsid w:val="00382287"/>
    <w:rsid w:val="003824A7"/>
    <w:rsid w:val="003824F0"/>
    <w:rsid w:val="0038256B"/>
    <w:rsid w:val="003825E2"/>
    <w:rsid w:val="0038272C"/>
    <w:rsid w:val="00382AAF"/>
    <w:rsid w:val="00382AC7"/>
    <w:rsid w:val="00382D24"/>
    <w:rsid w:val="00382D40"/>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AFC"/>
    <w:rsid w:val="00383D69"/>
    <w:rsid w:val="00384045"/>
    <w:rsid w:val="003841B5"/>
    <w:rsid w:val="0038425D"/>
    <w:rsid w:val="00384444"/>
    <w:rsid w:val="003845DA"/>
    <w:rsid w:val="003846D5"/>
    <w:rsid w:val="00384723"/>
    <w:rsid w:val="0038483B"/>
    <w:rsid w:val="003848CF"/>
    <w:rsid w:val="00384BBC"/>
    <w:rsid w:val="00384CBC"/>
    <w:rsid w:val="00384DF5"/>
    <w:rsid w:val="00384E48"/>
    <w:rsid w:val="00385095"/>
    <w:rsid w:val="003850A2"/>
    <w:rsid w:val="00385250"/>
    <w:rsid w:val="003853CD"/>
    <w:rsid w:val="00385424"/>
    <w:rsid w:val="0038545E"/>
    <w:rsid w:val="00385487"/>
    <w:rsid w:val="00385510"/>
    <w:rsid w:val="003856F8"/>
    <w:rsid w:val="00385C1D"/>
    <w:rsid w:val="00385CF3"/>
    <w:rsid w:val="0038617B"/>
    <w:rsid w:val="0038620F"/>
    <w:rsid w:val="00386337"/>
    <w:rsid w:val="003863B3"/>
    <w:rsid w:val="0038640C"/>
    <w:rsid w:val="003864CB"/>
    <w:rsid w:val="00386654"/>
    <w:rsid w:val="00386880"/>
    <w:rsid w:val="00386959"/>
    <w:rsid w:val="00386AF5"/>
    <w:rsid w:val="00386DA8"/>
    <w:rsid w:val="00386E51"/>
    <w:rsid w:val="00386E55"/>
    <w:rsid w:val="00387034"/>
    <w:rsid w:val="00387220"/>
    <w:rsid w:val="00387476"/>
    <w:rsid w:val="003876B0"/>
    <w:rsid w:val="00387738"/>
    <w:rsid w:val="00387A19"/>
    <w:rsid w:val="00387A29"/>
    <w:rsid w:val="00387BCF"/>
    <w:rsid w:val="00387C83"/>
    <w:rsid w:val="00387D91"/>
    <w:rsid w:val="00387E2D"/>
    <w:rsid w:val="00387E93"/>
    <w:rsid w:val="00387F8A"/>
    <w:rsid w:val="003905B2"/>
    <w:rsid w:val="003906DE"/>
    <w:rsid w:val="003906EE"/>
    <w:rsid w:val="00390761"/>
    <w:rsid w:val="00390857"/>
    <w:rsid w:val="00390A25"/>
    <w:rsid w:val="00390FEB"/>
    <w:rsid w:val="00391017"/>
    <w:rsid w:val="0039108C"/>
    <w:rsid w:val="00391209"/>
    <w:rsid w:val="00391220"/>
    <w:rsid w:val="00391224"/>
    <w:rsid w:val="0039138F"/>
    <w:rsid w:val="00391481"/>
    <w:rsid w:val="003914FA"/>
    <w:rsid w:val="00391771"/>
    <w:rsid w:val="0039195B"/>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EEF"/>
    <w:rsid w:val="00392F1E"/>
    <w:rsid w:val="0039302D"/>
    <w:rsid w:val="003930F5"/>
    <w:rsid w:val="00393128"/>
    <w:rsid w:val="0039321B"/>
    <w:rsid w:val="0039324B"/>
    <w:rsid w:val="0039325C"/>
    <w:rsid w:val="00393431"/>
    <w:rsid w:val="003936AA"/>
    <w:rsid w:val="0039388F"/>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9C0"/>
    <w:rsid w:val="00395A30"/>
    <w:rsid w:val="00395A50"/>
    <w:rsid w:val="00395AE9"/>
    <w:rsid w:val="00395BEB"/>
    <w:rsid w:val="00395D37"/>
    <w:rsid w:val="00395DFD"/>
    <w:rsid w:val="00395E02"/>
    <w:rsid w:val="00395F1F"/>
    <w:rsid w:val="00396072"/>
    <w:rsid w:val="003960D7"/>
    <w:rsid w:val="003960DC"/>
    <w:rsid w:val="0039618A"/>
    <w:rsid w:val="00396277"/>
    <w:rsid w:val="003963C6"/>
    <w:rsid w:val="003964CB"/>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AB"/>
    <w:rsid w:val="003A0CFF"/>
    <w:rsid w:val="003A0E55"/>
    <w:rsid w:val="003A10C0"/>
    <w:rsid w:val="003A1110"/>
    <w:rsid w:val="003A12DA"/>
    <w:rsid w:val="003A13A4"/>
    <w:rsid w:val="003A1664"/>
    <w:rsid w:val="003A1756"/>
    <w:rsid w:val="003A17B5"/>
    <w:rsid w:val="003A1852"/>
    <w:rsid w:val="003A1860"/>
    <w:rsid w:val="003A1975"/>
    <w:rsid w:val="003A19B8"/>
    <w:rsid w:val="003A1ACA"/>
    <w:rsid w:val="003A1B6B"/>
    <w:rsid w:val="003A1D94"/>
    <w:rsid w:val="003A1EA3"/>
    <w:rsid w:val="003A1FF5"/>
    <w:rsid w:val="003A1FF8"/>
    <w:rsid w:val="003A20F2"/>
    <w:rsid w:val="003A235F"/>
    <w:rsid w:val="003A2521"/>
    <w:rsid w:val="003A25B8"/>
    <w:rsid w:val="003A264B"/>
    <w:rsid w:val="003A271D"/>
    <w:rsid w:val="003A27A7"/>
    <w:rsid w:val="003A2A04"/>
    <w:rsid w:val="003A2A43"/>
    <w:rsid w:val="003A2B4D"/>
    <w:rsid w:val="003A2C65"/>
    <w:rsid w:val="003A2D7D"/>
    <w:rsid w:val="003A2E36"/>
    <w:rsid w:val="003A2E66"/>
    <w:rsid w:val="003A2E87"/>
    <w:rsid w:val="003A2EFE"/>
    <w:rsid w:val="003A30A4"/>
    <w:rsid w:val="003A30AF"/>
    <w:rsid w:val="003A30D3"/>
    <w:rsid w:val="003A313F"/>
    <w:rsid w:val="003A3226"/>
    <w:rsid w:val="003A364A"/>
    <w:rsid w:val="003A3834"/>
    <w:rsid w:val="003A39A1"/>
    <w:rsid w:val="003A3A35"/>
    <w:rsid w:val="003A3E5C"/>
    <w:rsid w:val="003A3EDA"/>
    <w:rsid w:val="003A4192"/>
    <w:rsid w:val="003A43CD"/>
    <w:rsid w:val="003A449D"/>
    <w:rsid w:val="003A4A4D"/>
    <w:rsid w:val="003A4AD7"/>
    <w:rsid w:val="003A4D0C"/>
    <w:rsid w:val="003A4D5A"/>
    <w:rsid w:val="003A4D9C"/>
    <w:rsid w:val="003A4DCB"/>
    <w:rsid w:val="003A4F0D"/>
    <w:rsid w:val="003A4FBE"/>
    <w:rsid w:val="003A50F0"/>
    <w:rsid w:val="003A51BF"/>
    <w:rsid w:val="003A5215"/>
    <w:rsid w:val="003A544D"/>
    <w:rsid w:val="003A5741"/>
    <w:rsid w:val="003A5817"/>
    <w:rsid w:val="003A5885"/>
    <w:rsid w:val="003A5A94"/>
    <w:rsid w:val="003A5A9D"/>
    <w:rsid w:val="003A5ACE"/>
    <w:rsid w:val="003A5AFD"/>
    <w:rsid w:val="003A5B36"/>
    <w:rsid w:val="003A5C91"/>
    <w:rsid w:val="003A5F2D"/>
    <w:rsid w:val="003A6360"/>
    <w:rsid w:val="003A63A3"/>
    <w:rsid w:val="003A63C0"/>
    <w:rsid w:val="003A68AD"/>
    <w:rsid w:val="003A695C"/>
    <w:rsid w:val="003A6BAC"/>
    <w:rsid w:val="003A6C0B"/>
    <w:rsid w:val="003A6D75"/>
    <w:rsid w:val="003A6F3A"/>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41"/>
    <w:rsid w:val="003B0B96"/>
    <w:rsid w:val="003B0D4B"/>
    <w:rsid w:val="003B0E8A"/>
    <w:rsid w:val="003B1081"/>
    <w:rsid w:val="003B12E5"/>
    <w:rsid w:val="003B13AF"/>
    <w:rsid w:val="003B13E4"/>
    <w:rsid w:val="003B15C6"/>
    <w:rsid w:val="003B17D2"/>
    <w:rsid w:val="003B193F"/>
    <w:rsid w:val="003B197F"/>
    <w:rsid w:val="003B1BEB"/>
    <w:rsid w:val="003B1C31"/>
    <w:rsid w:val="003B1D15"/>
    <w:rsid w:val="003B1D3A"/>
    <w:rsid w:val="003B1D97"/>
    <w:rsid w:val="003B1DC8"/>
    <w:rsid w:val="003B1E51"/>
    <w:rsid w:val="003B1F67"/>
    <w:rsid w:val="003B200C"/>
    <w:rsid w:val="003B21F9"/>
    <w:rsid w:val="003B2353"/>
    <w:rsid w:val="003B24DB"/>
    <w:rsid w:val="003B26CF"/>
    <w:rsid w:val="003B2ABE"/>
    <w:rsid w:val="003B2CF8"/>
    <w:rsid w:val="003B2D5C"/>
    <w:rsid w:val="003B2E47"/>
    <w:rsid w:val="003B2F01"/>
    <w:rsid w:val="003B3092"/>
    <w:rsid w:val="003B3097"/>
    <w:rsid w:val="003B31C3"/>
    <w:rsid w:val="003B3272"/>
    <w:rsid w:val="003B32D9"/>
    <w:rsid w:val="003B34C0"/>
    <w:rsid w:val="003B3551"/>
    <w:rsid w:val="003B364B"/>
    <w:rsid w:val="003B3675"/>
    <w:rsid w:val="003B38A5"/>
    <w:rsid w:val="003B38EE"/>
    <w:rsid w:val="003B394F"/>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C49"/>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8BA"/>
    <w:rsid w:val="003C0AB2"/>
    <w:rsid w:val="003C0B11"/>
    <w:rsid w:val="003C0BAF"/>
    <w:rsid w:val="003C0C05"/>
    <w:rsid w:val="003C0CB7"/>
    <w:rsid w:val="003C0D7E"/>
    <w:rsid w:val="003C10E7"/>
    <w:rsid w:val="003C11CC"/>
    <w:rsid w:val="003C126C"/>
    <w:rsid w:val="003C14B4"/>
    <w:rsid w:val="003C169E"/>
    <w:rsid w:val="003C16D0"/>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48C"/>
    <w:rsid w:val="003C259E"/>
    <w:rsid w:val="003C26F5"/>
    <w:rsid w:val="003C2794"/>
    <w:rsid w:val="003C27B1"/>
    <w:rsid w:val="003C2918"/>
    <w:rsid w:val="003C29BF"/>
    <w:rsid w:val="003C2A28"/>
    <w:rsid w:val="003C2A4A"/>
    <w:rsid w:val="003C2A6E"/>
    <w:rsid w:val="003C2E6B"/>
    <w:rsid w:val="003C2E7B"/>
    <w:rsid w:val="003C2EA4"/>
    <w:rsid w:val="003C321B"/>
    <w:rsid w:val="003C3269"/>
    <w:rsid w:val="003C35F2"/>
    <w:rsid w:val="003C36EA"/>
    <w:rsid w:val="003C390F"/>
    <w:rsid w:val="003C3912"/>
    <w:rsid w:val="003C3A80"/>
    <w:rsid w:val="003C3B1C"/>
    <w:rsid w:val="003C3B8F"/>
    <w:rsid w:val="003C3C24"/>
    <w:rsid w:val="003C3D16"/>
    <w:rsid w:val="003C3D83"/>
    <w:rsid w:val="003C3DB2"/>
    <w:rsid w:val="003C3EB7"/>
    <w:rsid w:val="003C3EFC"/>
    <w:rsid w:val="003C42F2"/>
    <w:rsid w:val="003C484D"/>
    <w:rsid w:val="003C49D4"/>
    <w:rsid w:val="003C4AA7"/>
    <w:rsid w:val="003C4D86"/>
    <w:rsid w:val="003C4E05"/>
    <w:rsid w:val="003C4FEF"/>
    <w:rsid w:val="003C51B7"/>
    <w:rsid w:val="003C52AF"/>
    <w:rsid w:val="003C52B5"/>
    <w:rsid w:val="003C5515"/>
    <w:rsid w:val="003C5532"/>
    <w:rsid w:val="003C573C"/>
    <w:rsid w:val="003C574C"/>
    <w:rsid w:val="003C5B2D"/>
    <w:rsid w:val="003C5BF7"/>
    <w:rsid w:val="003C5C2E"/>
    <w:rsid w:val="003C5C69"/>
    <w:rsid w:val="003C5D64"/>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C05"/>
    <w:rsid w:val="003C6D34"/>
    <w:rsid w:val="003C6FAF"/>
    <w:rsid w:val="003C716B"/>
    <w:rsid w:val="003C74C0"/>
    <w:rsid w:val="003C7515"/>
    <w:rsid w:val="003C7557"/>
    <w:rsid w:val="003C7794"/>
    <w:rsid w:val="003C77EA"/>
    <w:rsid w:val="003C780C"/>
    <w:rsid w:val="003C78A4"/>
    <w:rsid w:val="003C7A4F"/>
    <w:rsid w:val="003D0174"/>
    <w:rsid w:val="003D0185"/>
    <w:rsid w:val="003D0338"/>
    <w:rsid w:val="003D0386"/>
    <w:rsid w:val="003D03EB"/>
    <w:rsid w:val="003D0411"/>
    <w:rsid w:val="003D04A8"/>
    <w:rsid w:val="003D078C"/>
    <w:rsid w:val="003D0837"/>
    <w:rsid w:val="003D088C"/>
    <w:rsid w:val="003D08E8"/>
    <w:rsid w:val="003D08EA"/>
    <w:rsid w:val="003D093E"/>
    <w:rsid w:val="003D0B04"/>
    <w:rsid w:val="003D0B0B"/>
    <w:rsid w:val="003D0C45"/>
    <w:rsid w:val="003D0C60"/>
    <w:rsid w:val="003D0D0B"/>
    <w:rsid w:val="003D0D65"/>
    <w:rsid w:val="003D0D85"/>
    <w:rsid w:val="003D0DDB"/>
    <w:rsid w:val="003D0F00"/>
    <w:rsid w:val="003D1003"/>
    <w:rsid w:val="003D1293"/>
    <w:rsid w:val="003D13C0"/>
    <w:rsid w:val="003D147E"/>
    <w:rsid w:val="003D1494"/>
    <w:rsid w:val="003D14F0"/>
    <w:rsid w:val="003D178C"/>
    <w:rsid w:val="003D1790"/>
    <w:rsid w:val="003D1870"/>
    <w:rsid w:val="003D191A"/>
    <w:rsid w:val="003D19FA"/>
    <w:rsid w:val="003D1AA7"/>
    <w:rsid w:val="003D1B0B"/>
    <w:rsid w:val="003D1B23"/>
    <w:rsid w:val="003D1C1F"/>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BC0"/>
    <w:rsid w:val="003D2C85"/>
    <w:rsid w:val="003D2F37"/>
    <w:rsid w:val="003D2F82"/>
    <w:rsid w:val="003D30DD"/>
    <w:rsid w:val="003D30FC"/>
    <w:rsid w:val="003D329F"/>
    <w:rsid w:val="003D336B"/>
    <w:rsid w:val="003D348C"/>
    <w:rsid w:val="003D34CC"/>
    <w:rsid w:val="003D36B0"/>
    <w:rsid w:val="003D37A3"/>
    <w:rsid w:val="003D39B0"/>
    <w:rsid w:val="003D3B5D"/>
    <w:rsid w:val="003D3CA8"/>
    <w:rsid w:val="003D3ECB"/>
    <w:rsid w:val="003D41EC"/>
    <w:rsid w:val="003D42BB"/>
    <w:rsid w:val="003D42C7"/>
    <w:rsid w:val="003D4333"/>
    <w:rsid w:val="003D439F"/>
    <w:rsid w:val="003D461D"/>
    <w:rsid w:val="003D4712"/>
    <w:rsid w:val="003D494C"/>
    <w:rsid w:val="003D49B4"/>
    <w:rsid w:val="003D4BEF"/>
    <w:rsid w:val="003D4BFD"/>
    <w:rsid w:val="003D4BFF"/>
    <w:rsid w:val="003D4D8D"/>
    <w:rsid w:val="003D4F3D"/>
    <w:rsid w:val="003D4FAD"/>
    <w:rsid w:val="003D505C"/>
    <w:rsid w:val="003D50A6"/>
    <w:rsid w:val="003D52F8"/>
    <w:rsid w:val="003D5345"/>
    <w:rsid w:val="003D54B1"/>
    <w:rsid w:val="003D57C9"/>
    <w:rsid w:val="003D58C7"/>
    <w:rsid w:val="003D5976"/>
    <w:rsid w:val="003D59DA"/>
    <w:rsid w:val="003D5AFB"/>
    <w:rsid w:val="003D5B05"/>
    <w:rsid w:val="003D5B18"/>
    <w:rsid w:val="003D5BF5"/>
    <w:rsid w:val="003D5C12"/>
    <w:rsid w:val="003D5E5F"/>
    <w:rsid w:val="003D5FB1"/>
    <w:rsid w:val="003D6083"/>
    <w:rsid w:val="003D6133"/>
    <w:rsid w:val="003D62E5"/>
    <w:rsid w:val="003D62F9"/>
    <w:rsid w:val="003D6503"/>
    <w:rsid w:val="003D666A"/>
    <w:rsid w:val="003D667D"/>
    <w:rsid w:val="003D6702"/>
    <w:rsid w:val="003D672D"/>
    <w:rsid w:val="003D6AAE"/>
    <w:rsid w:val="003D6D2A"/>
    <w:rsid w:val="003D6DDD"/>
    <w:rsid w:val="003D6FD0"/>
    <w:rsid w:val="003D70FB"/>
    <w:rsid w:val="003D719D"/>
    <w:rsid w:val="003D71B0"/>
    <w:rsid w:val="003D72B5"/>
    <w:rsid w:val="003D73B1"/>
    <w:rsid w:val="003D7404"/>
    <w:rsid w:val="003D740C"/>
    <w:rsid w:val="003D747A"/>
    <w:rsid w:val="003D7668"/>
    <w:rsid w:val="003D7B6B"/>
    <w:rsid w:val="003D7B80"/>
    <w:rsid w:val="003D7C3E"/>
    <w:rsid w:val="003D7E66"/>
    <w:rsid w:val="003D7F42"/>
    <w:rsid w:val="003E002A"/>
    <w:rsid w:val="003E0072"/>
    <w:rsid w:val="003E0153"/>
    <w:rsid w:val="003E02EC"/>
    <w:rsid w:val="003E0467"/>
    <w:rsid w:val="003E04BE"/>
    <w:rsid w:val="003E05AF"/>
    <w:rsid w:val="003E0606"/>
    <w:rsid w:val="003E0A64"/>
    <w:rsid w:val="003E0B9C"/>
    <w:rsid w:val="003E0C3F"/>
    <w:rsid w:val="003E0D65"/>
    <w:rsid w:val="003E0DE3"/>
    <w:rsid w:val="003E0EB4"/>
    <w:rsid w:val="003E0F70"/>
    <w:rsid w:val="003E0F88"/>
    <w:rsid w:val="003E1052"/>
    <w:rsid w:val="003E1360"/>
    <w:rsid w:val="003E1393"/>
    <w:rsid w:val="003E1466"/>
    <w:rsid w:val="003E1591"/>
    <w:rsid w:val="003E1715"/>
    <w:rsid w:val="003E186C"/>
    <w:rsid w:val="003E18D9"/>
    <w:rsid w:val="003E196A"/>
    <w:rsid w:val="003E1C1C"/>
    <w:rsid w:val="003E1D76"/>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037"/>
    <w:rsid w:val="003E311F"/>
    <w:rsid w:val="003E314C"/>
    <w:rsid w:val="003E31BE"/>
    <w:rsid w:val="003E33C1"/>
    <w:rsid w:val="003E36A1"/>
    <w:rsid w:val="003E39FE"/>
    <w:rsid w:val="003E3DF2"/>
    <w:rsid w:val="003E3F64"/>
    <w:rsid w:val="003E3FCA"/>
    <w:rsid w:val="003E40AE"/>
    <w:rsid w:val="003E411D"/>
    <w:rsid w:val="003E41E8"/>
    <w:rsid w:val="003E4369"/>
    <w:rsid w:val="003E43A2"/>
    <w:rsid w:val="003E4436"/>
    <w:rsid w:val="003E4549"/>
    <w:rsid w:val="003E45E9"/>
    <w:rsid w:val="003E45F1"/>
    <w:rsid w:val="003E4631"/>
    <w:rsid w:val="003E4A2A"/>
    <w:rsid w:val="003E4AB0"/>
    <w:rsid w:val="003E4C97"/>
    <w:rsid w:val="003E4E1A"/>
    <w:rsid w:val="003E4F16"/>
    <w:rsid w:val="003E5151"/>
    <w:rsid w:val="003E5424"/>
    <w:rsid w:val="003E563D"/>
    <w:rsid w:val="003E5696"/>
    <w:rsid w:val="003E5857"/>
    <w:rsid w:val="003E586C"/>
    <w:rsid w:val="003E59B1"/>
    <w:rsid w:val="003E5AC4"/>
    <w:rsid w:val="003E5D48"/>
    <w:rsid w:val="003E5DEA"/>
    <w:rsid w:val="003E5E1C"/>
    <w:rsid w:val="003E5EA0"/>
    <w:rsid w:val="003E5EA3"/>
    <w:rsid w:val="003E5EFB"/>
    <w:rsid w:val="003E5F07"/>
    <w:rsid w:val="003E5FC7"/>
    <w:rsid w:val="003E61B3"/>
    <w:rsid w:val="003E64AC"/>
    <w:rsid w:val="003E651B"/>
    <w:rsid w:val="003E67FD"/>
    <w:rsid w:val="003E68EE"/>
    <w:rsid w:val="003E6BDE"/>
    <w:rsid w:val="003E7014"/>
    <w:rsid w:val="003E701E"/>
    <w:rsid w:val="003E70AC"/>
    <w:rsid w:val="003E7202"/>
    <w:rsid w:val="003E727D"/>
    <w:rsid w:val="003E7379"/>
    <w:rsid w:val="003E74F3"/>
    <w:rsid w:val="003E752E"/>
    <w:rsid w:val="003E75AE"/>
    <w:rsid w:val="003E7761"/>
    <w:rsid w:val="003E78C1"/>
    <w:rsid w:val="003E7919"/>
    <w:rsid w:val="003E7AAD"/>
    <w:rsid w:val="003E7F39"/>
    <w:rsid w:val="003E7FB7"/>
    <w:rsid w:val="003F00CD"/>
    <w:rsid w:val="003F03CB"/>
    <w:rsid w:val="003F04AA"/>
    <w:rsid w:val="003F053D"/>
    <w:rsid w:val="003F078C"/>
    <w:rsid w:val="003F08CD"/>
    <w:rsid w:val="003F0B11"/>
    <w:rsid w:val="003F0B3F"/>
    <w:rsid w:val="003F0BB3"/>
    <w:rsid w:val="003F0FC7"/>
    <w:rsid w:val="003F10A7"/>
    <w:rsid w:val="003F1193"/>
    <w:rsid w:val="003F119A"/>
    <w:rsid w:val="003F11BF"/>
    <w:rsid w:val="003F14FC"/>
    <w:rsid w:val="003F1533"/>
    <w:rsid w:val="003F1BFF"/>
    <w:rsid w:val="003F1D43"/>
    <w:rsid w:val="003F1DEA"/>
    <w:rsid w:val="003F1E87"/>
    <w:rsid w:val="003F1F28"/>
    <w:rsid w:val="003F1FB9"/>
    <w:rsid w:val="003F2027"/>
    <w:rsid w:val="003F20C0"/>
    <w:rsid w:val="003F2108"/>
    <w:rsid w:val="003F2189"/>
    <w:rsid w:val="003F21D7"/>
    <w:rsid w:val="003F2232"/>
    <w:rsid w:val="003F2378"/>
    <w:rsid w:val="003F23DC"/>
    <w:rsid w:val="003F23FD"/>
    <w:rsid w:val="003F243A"/>
    <w:rsid w:val="003F25F5"/>
    <w:rsid w:val="003F2646"/>
    <w:rsid w:val="003F2739"/>
    <w:rsid w:val="003F2A34"/>
    <w:rsid w:val="003F2C2D"/>
    <w:rsid w:val="003F2C66"/>
    <w:rsid w:val="003F2D99"/>
    <w:rsid w:val="003F2DB5"/>
    <w:rsid w:val="003F2DBA"/>
    <w:rsid w:val="003F2E36"/>
    <w:rsid w:val="003F2FF8"/>
    <w:rsid w:val="003F3577"/>
    <w:rsid w:val="003F35EE"/>
    <w:rsid w:val="003F3915"/>
    <w:rsid w:val="003F3B63"/>
    <w:rsid w:val="003F3B7E"/>
    <w:rsid w:val="003F3CF8"/>
    <w:rsid w:val="003F3D84"/>
    <w:rsid w:val="003F3DF6"/>
    <w:rsid w:val="003F4131"/>
    <w:rsid w:val="003F4150"/>
    <w:rsid w:val="003F4218"/>
    <w:rsid w:val="003F4337"/>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8B4"/>
    <w:rsid w:val="003F694C"/>
    <w:rsid w:val="003F69A9"/>
    <w:rsid w:val="003F6B4E"/>
    <w:rsid w:val="003F6C40"/>
    <w:rsid w:val="003F70C4"/>
    <w:rsid w:val="003F70EF"/>
    <w:rsid w:val="003F7208"/>
    <w:rsid w:val="003F7389"/>
    <w:rsid w:val="003F7458"/>
    <w:rsid w:val="003F7737"/>
    <w:rsid w:val="003F778D"/>
    <w:rsid w:val="003F7860"/>
    <w:rsid w:val="003F7892"/>
    <w:rsid w:val="003F78BB"/>
    <w:rsid w:val="003F7A4F"/>
    <w:rsid w:val="003F7A5E"/>
    <w:rsid w:val="003F7B0E"/>
    <w:rsid w:val="003F7C7C"/>
    <w:rsid w:val="003F7E27"/>
    <w:rsid w:val="003F7EFB"/>
    <w:rsid w:val="003F7F68"/>
    <w:rsid w:val="004000C3"/>
    <w:rsid w:val="004001B4"/>
    <w:rsid w:val="004001CC"/>
    <w:rsid w:val="0040049B"/>
    <w:rsid w:val="004005F5"/>
    <w:rsid w:val="0040066C"/>
    <w:rsid w:val="004008BB"/>
    <w:rsid w:val="00400949"/>
    <w:rsid w:val="00400B2D"/>
    <w:rsid w:val="00400B49"/>
    <w:rsid w:val="00400BFC"/>
    <w:rsid w:val="00400D6B"/>
    <w:rsid w:val="00400EDF"/>
    <w:rsid w:val="004010FA"/>
    <w:rsid w:val="004011ED"/>
    <w:rsid w:val="004012A1"/>
    <w:rsid w:val="004012FE"/>
    <w:rsid w:val="004016D8"/>
    <w:rsid w:val="0040178C"/>
    <w:rsid w:val="004017A5"/>
    <w:rsid w:val="004017FD"/>
    <w:rsid w:val="0040191D"/>
    <w:rsid w:val="00401958"/>
    <w:rsid w:val="00401C55"/>
    <w:rsid w:val="00401CA5"/>
    <w:rsid w:val="00401D51"/>
    <w:rsid w:val="00401F54"/>
    <w:rsid w:val="00401F81"/>
    <w:rsid w:val="00401FCD"/>
    <w:rsid w:val="0040201E"/>
    <w:rsid w:val="0040226B"/>
    <w:rsid w:val="00402447"/>
    <w:rsid w:val="0040247D"/>
    <w:rsid w:val="0040265D"/>
    <w:rsid w:val="00402884"/>
    <w:rsid w:val="00402906"/>
    <w:rsid w:val="00402B91"/>
    <w:rsid w:val="00402F3E"/>
    <w:rsid w:val="00402FBC"/>
    <w:rsid w:val="00402FF1"/>
    <w:rsid w:val="00403015"/>
    <w:rsid w:val="0040312B"/>
    <w:rsid w:val="0040313D"/>
    <w:rsid w:val="0040328E"/>
    <w:rsid w:val="004032BF"/>
    <w:rsid w:val="00403301"/>
    <w:rsid w:val="00403499"/>
    <w:rsid w:val="00403568"/>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DD4"/>
    <w:rsid w:val="00404E88"/>
    <w:rsid w:val="00404F0F"/>
    <w:rsid w:val="0040509C"/>
    <w:rsid w:val="0040521B"/>
    <w:rsid w:val="0040525F"/>
    <w:rsid w:val="004054D6"/>
    <w:rsid w:val="004055E4"/>
    <w:rsid w:val="00405706"/>
    <w:rsid w:val="0040573A"/>
    <w:rsid w:val="00405911"/>
    <w:rsid w:val="00405ACC"/>
    <w:rsid w:val="00405F38"/>
    <w:rsid w:val="0040600E"/>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61"/>
    <w:rsid w:val="00407CB9"/>
    <w:rsid w:val="00407D63"/>
    <w:rsid w:val="00407D7F"/>
    <w:rsid w:val="00407DB7"/>
    <w:rsid w:val="00407E4D"/>
    <w:rsid w:val="00410160"/>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CF8"/>
    <w:rsid w:val="00412D6D"/>
    <w:rsid w:val="00412D8C"/>
    <w:rsid w:val="00412E03"/>
    <w:rsid w:val="00412ECD"/>
    <w:rsid w:val="004133B9"/>
    <w:rsid w:val="00413413"/>
    <w:rsid w:val="004135C5"/>
    <w:rsid w:val="004139D6"/>
    <w:rsid w:val="004139DB"/>
    <w:rsid w:val="004139DD"/>
    <w:rsid w:val="00413BFD"/>
    <w:rsid w:val="00413C13"/>
    <w:rsid w:val="00413C6D"/>
    <w:rsid w:val="00413D67"/>
    <w:rsid w:val="00413DA8"/>
    <w:rsid w:val="00413F61"/>
    <w:rsid w:val="00414022"/>
    <w:rsid w:val="004140BF"/>
    <w:rsid w:val="004142D7"/>
    <w:rsid w:val="004145CB"/>
    <w:rsid w:val="004146AD"/>
    <w:rsid w:val="004148CE"/>
    <w:rsid w:val="00414A2D"/>
    <w:rsid w:val="00414AE4"/>
    <w:rsid w:val="00414BB0"/>
    <w:rsid w:val="00414E02"/>
    <w:rsid w:val="00414E86"/>
    <w:rsid w:val="00414F77"/>
    <w:rsid w:val="004151CC"/>
    <w:rsid w:val="004151D2"/>
    <w:rsid w:val="0041525F"/>
    <w:rsid w:val="004154CE"/>
    <w:rsid w:val="00415507"/>
    <w:rsid w:val="00415641"/>
    <w:rsid w:val="00415642"/>
    <w:rsid w:val="00415662"/>
    <w:rsid w:val="004158CB"/>
    <w:rsid w:val="00415A9B"/>
    <w:rsid w:val="00415AAC"/>
    <w:rsid w:val="00415CB4"/>
    <w:rsid w:val="00415D27"/>
    <w:rsid w:val="00415D7F"/>
    <w:rsid w:val="00415DAB"/>
    <w:rsid w:val="00415DB1"/>
    <w:rsid w:val="00415EC9"/>
    <w:rsid w:val="00415EF0"/>
    <w:rsid w:val="00415FA9"/>
    <w:rsid w:val="00416074"/>
    <w:rsid w:val="004160A6"/>
    <w:rsid w:val="00416237"/>
    <w:rsid w:val="0041651B"/>
    <w:rsid w:val="004166C8"/>
    <w:rsid w:val="004166F8"/>
    <w:rsid w:val="0041672D"/>
    <w:rsid w:val="00416733"/>
    <w:rsid w:val="00416822"/>
    <w:rsid w:val="004169A1"/>
    <w:rsid w:val="00416A15"/>
    <w:rsid w:val="00416AAE"/>
    <w:rsid w:val="00416AB1"/>
    <w:rsid w:val="00416ABD"/>
    <w:rsid w:val="00416B4F"/>
    <w:rsid w:val="00416D1D"/>
    <w:rsid w:val="00416D6C"/>
    <w:rsid w:val="00416E9F"/>
    <w:rsid w:val="00416F21"/>
    <w:rsid w:val="00417092"/>
    <w:rsid w:val="004172DA"/>
    <w:rsid w:val="004174BD"/>
    <w:rsid w:val="0041770D"/>
    <w:rsid w:val="0041777B"/>
    <w:rsid w:val="004177C7"/>
    <w:rsid w:val="004179E0"/>
    <w:rsid w:val="00417CF7"/>
    <w:rsid w:val="00417EDA"/>
    <w:rsid w:val="004200FA"/>
    <w:rsid w:val="004203E4"/>
    <w:rsid w:val="00420407"/>
    <w:rsid w:val="00420519"/>
    <w:rsid w:val="004205C2"/>
    <w:rsid w:val="004206E1"/>
    <w:rsid w:val="00420751"/>
    <w:rsid w:val="004208E6"/>
    <w:rsid w:val="00420A25"/>
    <w:rsid w:val="00420A98"/>
    <w:rsid w:val="00420B66"/>
    <w:rsid w:val="00420C75"/>
    <w:rsid w:val="00420C86"/>
    <w:rsid w:val="00420CCF"/>
    <w:rsid w:val="00420CFC"/>
    <w:rsid w:val="00420DFD"/>
    <w:rsid w:val="00420EA7"/>
    <w:rsid w:val="00420EC8"/>
    <w:rsid w:val="00421150"/>
    <w:rsid w:val="0042121F"/>
    <w:rsid w:val="00421271"/>
    <w:rsid w:val="00421391"/>
    <w:rsid w:val="004213EE"/>
    <w:rsid w:val="00421484"/>
    <w:rsid w:val="0042189D"/>
    <w:rsid w:val="00421955"/>
    <w:rsid w:val="004219DB"/>
    <w:rsid w:val="00421A60"/>
    <w:rsid w:val="00421CD2"/>
    <w:rsid w:val="00421CEF"/>
    <w:rsid w:val="00421EE2"/>
    <w:rsid w:val="00421F63"/>
    <w:rsid w:val="00422105"/>
    <w:rsid w:val="004221EB"/>
    <w:rsid w:val="00422215"/>
    <w:rsid w:val="004222F4"/>
    <w:rsid w:val="0042231A"/>
    <w:rsid w:val="0042242B"/>
    <w:rsid w:val="00422431"/>
    <w:rsid w:val="00422517"/>
    <w:rsid w:val="00422540"/>
    <w:rsid w:val="004226D6"/>
    <w:rsid w:val="00422801"/>
    <w:rsid w:val="004228BB"/>
    <w:rsid w:val="00422A3A"/>
    <w:rsid w:val="00422CED"/>
    <w:rsid w:val="00422CFD"/>
    <w:rsid w:val="00422E7A"/>
    <w:rsid w:val="00422E7C"/>
    <w:rsid w:val="00422FC8"/>
    <w:rsid w:val="00422FED"/>
    <w:rsid w:val="004230F1"/>
    <w:rsid w:val="00423173"/>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90A"/>
    <w:rsid w:val="00424C7B"/>
    <w:rsid w:val="0042501E"/>
    <w:rsid w:val="00425212"/>
    <w:rsid w:val="00425604"/>
    <w:rsid w:val="00425726"/>
    <w:rsid w:val="00425877"/>
    <w:rsid w:val="004258CC"/>
    <w:rsid w:val="00425989"/>
    <w:rsid w:val="00425E5B"/>
    <w:rsid w:val="00425EEB"/>
    <w:rsid w:val="004260C3"/>
    <w:rsid w:val="004260D2"/>
    <w:rsid w:val="00426146"/>
    <w:rsid w:val="00426577"/>
    <w:rsid w:val="004265A9"/>
    <w:rsid w:val="004266B7"/>
    <w:rsid w:val="004266E6"/>
    <w:rsid w:val="00426760"/>
    <w:rsid w:val="004267B4"/>
    <w:rsid w:val="004269F8"/>
    <w:rsid w:val="00426AFF"/>
    <w:rsid w:val="00426FE8"/>
    <w:rsid w:val="00427117"/>
    <w:rsid w:val="00427369"/>
    <w:rsid w:val="004273A5"/>
    <w:rsid w:val="004274D5"/>
    <w:rsid w:val="00427900"/>
    <w:rsid w:val="0042794A"/>
    <w:rsid w:val="00427AA6"/>
    <w:rsid w:val="00427BB5"/>
    <w:rsid w:val="00427C79"/>
    <w:rsid w:val="00427EB9"/>
    <w:rsid w:val="0043050A"/>
    <w:rsid w:val="00430714"/>
    <w:rsid w:val="00430795"/>
    <w:rsid w:val="00430882"/>
    <w:rsid w:val="00430ABC"/>
    <w:rsid w:val="00430B05"/>
    <w:rsid w:val="00430BB7"/>
    <w:rsid w:val="00430F05"/>
    <w:rsid w:val="00430FB8"/>
    <w:rsid w:val="00430FE1"/>
    <w:rsid w:val="00430FFD"/>
    <w:rsid w:val="004310BB"/>
    <w:rsid w:val="00431156"/>
    <w:rsid w:val="00431166"/>
    <w:rsid w:val="004313BC"/>
    <w:rsid w:val="004314AF"/>
    <w:rsid w:val="00431608"/>
    <w:rsid w:val="0043188C"/>
    <w:rsid w:val="00431C35"/>
    <w:rsid w:val="00431CCD"/>
    <w:rsid w:val="00431D11"/>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3B3"/>
    <w:rsid w:val="00433488"/>
    <w:rsid w:val="00433528"/>
    <w:rsid w:val="00433557"/>
    <w:rsid w:val="0043376C"/>
    <w:rsid w:val="004337A8"/>
    <w:rsid w:val="00433862"/>
    <w:rsid w:val="004338C7"/>
    <w:rsid w:val="00433989"/>
    <w:rsid w:val="004339D8"/>
    <w:rsid w:val="00433A01"/>
    <w:rsid w:val="00433BAB"/>
    <w:rsid w:val="00433C95"/>
    <w:rsid w:val="00433DA2"/>
    <w:rsid w:val="00433F8B"/>
    <w:rsid w:val="004340E8"/>
    <w:rsid w:val="00434177"/>
    <w:rsid w:val="00434237"/>
    <w:rsid w:val="00434614"/>
    <w:rsid w:val="0043463F"/>
    <w:rsid w:val="0043474D"/>
    <w:rsid w:val="004347C3"/>
    <w:rsid w:val="00434807"/>
    <w:rsid w:val="004349F7"/>
    <w:rsid w:val="00434AD0"/>
    <w:rsid w:val="00434B45"/>
    <w:rsid w:val="00434DF4"/>
    <w:rsid w:val="00434E06"/>
    <w:rsid w:val="00434ECA"/>
    <w:rsid w:val="00434F4A"/>
    <w:rsid w:val="00434FDA"/>
    <w:rsid w:val="00435280"/>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3E3"/>
    <w:rsid w:val="004366B7"/>
    <w:rsid w:val="00436745"/>
    <w:rsid w:val="0043699E"/>
    <w:rsid w:val="00436A31"/>
    <w:rsid w:val="00436BE3"/>
    <w:rsid w:val="00436C4E"/>
    <w:rsid w:val="00436F0B"/>
    <w:rsid w:val="00436FE2"/>
    <w:rsid w:val="0043725A"/>
    <w:rsid w:val="004372D6"/>
    <w:rsid w:val="0043748F"/>
    <w:rsid w:val="0043749C"/>
    <w:rsid w:val="0043771D"/>
    <w:rsid w:val="00437759"/>
    <w:rsid w:val="00437A82"/>
    <w:rsid w:val="00437AB0"/>
    <w:rsid w:val="00437AF0"/>
    <w:rsid w:val="00437B50"/>
    <w:rsid w:val="00437B82"/>
    <w:rsid w:val="00437B98"/>
    <w:rsid w:val="00437C90"/>
    <w:rsid w:val="00437C93"/>
    <w:rsid w:val="0044009C"/>
    <w:rsid w:val="00440581"/>
    <w:rsid w:val="004405C4"/>
    <w:rsid w:val="00440746"/>
    <w:rsid w:val="0044077E"/>
    <w:rsid w:val="004408C3"/>
    <w:rsid w:val="0044092C"/>
    <w:rsid w:val="00440A24"/>
    <w:rsid w:val="00440C3B"/>
    <w:rsid w:val="00440C95"/>
    <w:rsid w:val="00440F56"/>
    <w:rsid w:val="00440FDA"/>
    <w:rsid w:val="00441264"/>
    <w:rsid w:val="00441298"/>
    <w:rsid w:val="00441353"/>
    <w:rsid w:val="00441580"/>
    <w:rsid w:val="004415D0"/>
    <w:rsid w:val="00441616"/>
    <w:rsid w:val="00441637"/>
    <w:rsid w:val="00441641"/>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CD0"/>
    <w:rsid w:val="00442E42"/>
    <w:rsid w:val="00442F16"/>
    <w:rsid w:val="00443106"/>
    <w:rsid w:val="00443144"/>
    <w:rsid w:val="004431BF"/>
    <w:rsid w:val="0044325B"/>
    <w:rsid w:val="004432B4"/>
    <w:rsid w:val="004432D9"/>
    <w:rsid w:val="004433D9"/>
    <w:rsid w:val="00443439"/>
    <w:rsid w:val="0044359B"/>
    <w:rsid w:val="0044363F"/>
    <w:rsid w:val="00443735"/>
    <w:rsid w:val="0044386A"/>
    <w:rsid w:val="00443D94"/>
    <w:rsid w:val="00443F39"/>
    <w:rsid w:val="004440F8"/>
    <w:rsid w:val="0044444C"/>
    <w:rsid w:val="00444508"/>
    <w:rsid w:val="00444621"/>
    <w:rsid w:val="00444628"/>
    <w:rsid w:val="00444C2C"/>
    <w:rsid w:val="00444D7E"/>
    <w:rsid w:val="00444E07"/>
    <w:rsid w:val="00444F5A"/>
    <w:rsid w:val="004450DE"/>
    <w:rsid w:val="0044528D"/>
    <w:rsid w:val="004452EF"/>
    <w:rsid w:val="0044553E"/>
    <w:rsid w:val="004457FA"/>
    <w:rsid w:val="00445869"/>
    <w:rsid w:val="0044588E"/>
    <w:rsid w:val="00445AE4"/>
    <w:rsid w:val="00445B18"/>
    <w:rsid w:val="00445F04"/>
    <w:rsid w:val="00446025"/>
    <w:rsid w:val="004460DF"/>
    <w:rsid w:val="004463FA"/>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259"/>
    <w:rsid w:val="00450493"/>
    <w:rsid w:val="004504CE"/>
    <w:rsid w:val="0045052D"/>
    <w:rsid w:val="00450621"/>
    <w:rsid w:val="00450803"/>
    <w:rsid w:val="0045081B"/>
    <w:rsid w:val="00450A48"/>
    <w:rsid w:val="00450B88"/>
    <w:rsid w:val="00450FA2"/>
    <w:rsid w:val="00451301"/>
    <w:rsid w:val="00451380"/>
    <w:rsid w:val="004513A4"/>
    <w:rsid w:val="004513EC"/>
    <w:rsid w:val="0045150E"/>
    <w:rsid w:val="004516C2"/>
    <w:rsid w:val="00451976"/>
    <w:rsid w:val="00451BA8"/>
    <w:rsid w:val="00451BBB"/>
    <w:rsid w:val="00451C14"/>
    <w:rsid w:val="00451C41"/>
    <w:rsid w:val="00451D0F"/>
    <w:rsid w:val="004523ED"/>
    <w:rsid w:val="00452500"/>
    <w:rsid w:val="00452A59"/>
    <w:rsid w:val="00452C13"/>
    <w:rsid w:val="00452F04"/>
    <w:rsid w:val="00453099"/>
    <w:rsid w:val="004530AD"/>
    <w:rsid w:val="004530EA"/>
    <w:rsid w:val="0045310B"/>
    <w:rsid w:val="00453228"/>
    <w:rsid w:val="004534D2"/>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1F8"/>
    <w:rsid w:val="00454222"/>
    <w:rsid w:val="0045449D"/>
    <w:rsid w:val="00454597"/>
    <w:rsid w:val="004545FA"/>
    <w:rsid w:val="00454681"/>
    <w:rsid w:val="00454BA9"/>
    <w:rsid w:val="00454C79"/>
    <w:rsid w:val="00454D42"/>
    <w:rsid w:val="00454E22"/>
    <w:rsid w:val="00454E6D"/>
    <w:rsid w:val="00454F39"/>
    <w:rsid w:val="00455466"/>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5F7"/>
    <w:rsid w:val="00456611"/>
    <w:rsid w:val="0045674B"/>
    <w:rsid w:val="00456971"/>
    <w:rsid w:val="00456988"/>
    <w:rsid w:val="004569F2"/>
    <w:rsid w:val="00456B7A"/>
    <w:rsid w:val="00456B9C"/>
    <w:rsid w:val="00456E2A"/>
    <w:rsid w:val="00456E33"/>
    <w:rsid w:val="00456E7A"/>
    <w:rsid w:val="00456EA0"/>
    <w:rsid w:val="00457530"/>
    <w:rsid w:val="00457660"/>
    <w:rsid w:val="00457A0C"/>
    <w:rsid w:val="00457AC3"/>
    <w:rsid w:val="00457C9E"/>
    <w:rsid w:val="00457CD0"/>
    <w:rsid w:val="00457CDC"/>
    <w:rsid w:val="00457EE3"/>
    <w:rsid w:val="0046018E"/>
    <w:rsid w:val="004601A7"/>
    <w:rsid w:val="0046026A"/>
    <w:rsid w:val="00460467"/>
    <w:rsid w:val="0046060A"/>
    <w:rsid w:val="00460655"/>
    <w:rsid w:val="0046083F"/>
    <w:rsid w:val="004609BE"/>
    <w:rsid w:val="00460A97"/>
    <w:rsid w:val="00460BD0"/>
    <w:rsid w:val="00460DB8"/>
    <w:rsid w:val="00461101"/>
    <w:rsid w:val="0046121F"/>
    <w:rsid w:val="00461360"/>
    <w:rsid w:val="004613EA"/>
    <w:rsid w:val="0046143A"/>
    <w:rsid w:val="004617FE"/>
    <w:rsid w:val="0046195A"/>
    <w:rsid w:val="00461A33"/>
    <w:rsid w:val="00461CFF"/>
    <w:rsid w:val="00461D3B"/>
    <w:rsid w:val="00461D6D"/>
    <w:rsid w:val="00461D71"/>
    <w:rsid w:val="00462091"/>
    <w:rsid w:val="0046242C"/>
    <w:rsid w:val="0046253D"/>
    <w:rsid w:val="0046255D"/>
    <w:rsid w:val="004625FF"/>
    <w:rsid w:val="0046287E"/>
    <w:rsid w:val="00462998"/>
    <w:rsid w:val="00462A17"/>
    <w:rsid w:val="00462A26"/>
    <w:rsid w:val="00462E58"/>
    <w:rsid w:val="00462ED1"/>
    <w:rsid w:val="00462F77"/>
    <w:rsid w:val="00462F91"/>
    <w:rsid w:val="00462FB9"/>
    <w:rsid w:val="004631A5"/>
    <w:rsid w:val="00463209"/>
    <w:rsid w:val="0046361D"/>
    <w:rsid w:val="004636A4"/>
    <w:rsid w:val="00463A32"/>
    <w:rsid w:val="00463A60"/>
    <w:rsid w:val="00463B40"/>
    <w:rsid w:val="00463C4E"/>
    <w:rsid w:val="00463CEF"/>
    <w:rsid w:val="00463D0D"/>
    <w:rsid w:val="00463DC7"/>
    <w:rsid w:val="00463DDD"/>
    <w:rsid w:val="00463E00"/>
    <w:rsid w:val="00463F48"/>
    <w:rsid w:val="00463FAB"/>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5F9"/>
    <w:rsid w:val="00465668"/>
    <w:rsid w:val="00465798"/>
    <w:rsid w:val="00465800"/>
    <w:rsid w:val="00465818"/>
    <w:rsid w:val="00465930"/>
    <w:rsid w:val="00465C02"/>
    <w:rsid w:val="00465DB1"/>
    <w:rsid w:val="00465F78"/>
    <w:rsid w:val="00466026"/>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33"/>
    <w:rsid w:val="00467961"/>
    <w:rsid w:val="004679DE"/>
    <w:rsid w:val="00467C27"/>
    <w:rsid w:val="00467CEB"/>
    <w:rsid w:val="00467FBD"/>
    <w:rsid w:val="004701D5"/>
    <w:rsid w:val="004702BF"/>
    <w:rsid w:val="004703FD"/>
    <w:rsid w:val="004704AD"/>
    <w:rsid w:val="004704B9"/>
    <w:rsid w:val="00470509"/>
    <w:rsid w:val="00470554"/>
    <w:rsid w:val="0047058C"/>
    <w:rsid w:val="004705D7"/>
    <w:rsid w:val="00470BDE"/>
    <w:rsid w:val="00470C58"/>
    <w:rsid w:val="00470D47"/>
    <w:rsid w:val="00470E4D"/>
    <w:rsid w:val="00470EF1"/>
    <w:rsid w:val="00470FAC"/>
    <w:rsid w:val="00470FB6"/>
    <w:rsid w:val="004710A9"/>
    <w:rsid w:val="00471276"/>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4ED"/>
    <w:rsid w:val="00472768"/>
    <w:rsid w:val="00472894"/>
    <w:rsid w:val="004728F0"/>
    <w:rsid w:val="00472A57"/>
    <w:rsid w:val="00472AC9"/>
    <w:rsid w:val="00472F72"/>
    <w:rsid w:val="00473017"/>
    <w:rsid w:val="004730DF"/>
    <w:rsid w:val="004732CA"/>
    <w:rsid w:val="0047335C"/>
    <w:rsid w:val="0047343A"/>
    <w:rsid w:val="004739C9"/>
    <w:rsid w:val="00473BC1"/>
    <w:rsid w:val="00473CCA"/>
    <w:rsid w:val="00473D8E"/>
    <w:rsid w:val="00473F38"/>
    <w:rsid w:val="00473FBA"/>
    <w:rsid w:val="00473FD9"/>
    <w:rsid w:val="00474296"/>
    <w:rsid w:val="004743D3"/>
    <w:rsid w:val="004744F0"/>
    <w:rsid w:val="00474697"/>
    <w:rsid w:val="004747AB"/>
    <w:rsid w:val="00474830"/>
    <w:rsid w:val="00474AE1"/>
    <w:rsid w:val="00474B15"/>
    <w:rsid w:val="00474C2F"/>
    <w:rsid w:val="00474CEB"/>
    <w:rsid w:val="00474CF8"/>
    <w:rsid w:val="00474D8B"/>
    <w:rsid w:val="00474DD4"/>
    <w:rsid w:val="00474E10"/>
    <w:rsid w:val="0047506F"/>
    <w:rsid w:val="004751B6"/>
    <w:rsid w:val="00475411"/>
    <w:rsid w:val="00475414"/>
    <w:rsid w:val="00475553"/>
    <w:rsid w:val="0047562E"/>
    <w:rsid w:val="00475845"/>
    <w:rsid w:val="004758B8"/>
    <w:rsid w:val="00475980"/>
    <w:rsid w:val="00475A53"/>
    <w:rsid w:val="00475AA7"/>
    <w:rsid w:val="00475EBE"/>
    <w:rsid w:val="00475F91"/>
    <w:rsid w:val="00476038"/>
    <w:rsid w:val="0047625D"/>
    <w:rsid w:val="004762EF"/>
    <w:rsid w:val="00476392"/>
    <w:rsid w:val="00476449"/>
    <w:rsid w:val="0047656A"/>
    <w:rsid w:val="00476577"/>
    <w:rsid w:val="004767E9"/>
    <w:rsid w:val="00476875"/>
    <w:rsid w:val="00476878"/>
    <w:rsid w:val="00476A93"/>
    <w:rsid w:val="00476C2A"/>
    <w:rsid w:val="00476C64"/>
    <w:rsid w:val="00476ECC"/>
    <w:rsid w:val="00476EEB"/>
    <w:rsid w:val="00476F68"/>
    <w:rsid w:val="0047716A"/>
    <w:rsid w:val="00477332"/>
    <w:rsid w:val="004773FE"/>
    <w:rsid w:val="00477496"/>
    <w:rsid w:val="004774A4"/>
    <w:rsid w:val="00477A3E"/>
    <w:rsid w:val="00477D7E"/>
    <w:rsid w:val="00477DA9"/>
    <w:rsid w:val="00480143"/>
    <w:rsid w:val="00480197"/>
    <w:rsid w:val="004801AE"/>
    <w:rsid w:val="004802AE"/>
    <w:rsid w:val="004802C8"/>
    <w:rsid w:val="00480447"/>
    <w:rsid w:val="00480495"/>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5C"/>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2E99"/>
    <w:rsid w:val="00483076"/>
    <w:rsid w:val="0048311E"/>
    <w:rsid w:val="00483268"/>
    <w:rsid w:val="004832AD"/>
    <w:rsid w:val="004834A0"/>
    <w:rsid w:val="00483564"/>
    <w:rsid w:val="00483787"/>
    <w:rsid w:val="0048391E"/>
    <w:rsid w:val="00483B13"/>
    <w:rsid w:val="00483C52"/>
    <w:rsid w:val="00483FA4"/>
    <w:rsid w:val="00483FA8"/>
    <w:rsid w:val="0048401A"/>
    <w:rsid w:val="00484146"/>
    <w:rsid w:val="00484323"/>
    <w:rsid w:val="00484586"/>
    <w:rsid w:val="004846DA"/>
    <w:rsid w:val="004847AB"/>
    <w:rsid w:val="00484940"/>
    <w:rsid w:val="004849AC"/>
    <w:rsid w:val="00484AB2"/>
    <w:rsid w:val="00484BDA"/>
    <w:rsid w:val="00484CEE"/>
    <w:rsid w:val="00484D6C"/>
    <w:rsid w:val="00484D78"/>
    <w:rsid w:val="00484DD1"/>
    <w:rsid w:val="00484F62"/>
    <w:rsid w:val="00485218"/>
    <w:rsid w:val="00485293"/>
    <w:rsid w:val="0048529A"/>
    <w:rsid w:val="004852A4"/>
    <w:rsid w:val="00485390"/>
    <w:rsid w:val="0048539E"/>
    <w:rsid w:val="00485778"/>
    <w:rsid w:val="004857C0"/>
    <w:rsid w:val="004857FA"/>
    <w:rsid w:val="00485AA7"/>
    <w:rsid w:val="00485B86"/>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DF3"/>
    <w:rsid w:val="00486EB8"/>
    <w:rsid w:val="00486F33"/>
    <w:rsid w:val="0048703C"/>
    <w:rsid w:val="004873C5"/>
    <w:rsid w:val="004873D1"/>
    <w:rsid w:val="004874EC"/>
    <w:rsid w:val="00487522"/>
    <w:rsid w:val="00487612"/>
    <w:rsid w:val="00487675"/>
    <w:rsid w:val="004876FB"/>
    <w:rsid w:val="004877C2"/>
    <w:rsid w:val="00487AE5"/>
    <w:rsid w:val="00487B80"/>
    <w:rsid w:val="00487C78"/>
    <w:rsid w:val="00487D6A"/>
    <w:rsid w:val="00487E3F"/>
    <w:rsid w:val="00487E4B"/>
    <w:rsid w:val="00490165"/>
    <w:rsid w:val="0049020B"/>
    <w:rsid w:val="00490327"/>
    <w:rsid w:val="004903EF"/>
    <w:rsid w:val="00490424"/>
    <w:rsid w:val="00490502"/>
    <w:rsid w:val="004905DC"/>
    <w:rsid w:val="00490882"/>
    <w:rsid w:val="004909AB"/>
    <w:rsid w:val="00490A8C"/>
    <w:rsid w:val="00490BE5"/>
    <w:rsid w:val="00490D6E"/>
    <w:rsid w:val="00490D74"/>
    <w:rsid w:val="00490E64"/>
    <w:rsid w:val="00490EB1"/>
    <w:rsid w:val="00490EEF"/>
    <w:rsid w:val="00491001"/>
    <w:rsid w:val="004911D6"/>
    <w:rsid w:val="004911FA"/>
    <w:rsid w:val="004915D5"/>
    <w:rsid w:val="00491605"/>
    <w:rsid w:val="0049171C"/>
    <w:rsid w:val="00491818"/>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BEB"/>
    <w:rsid w:val="00492E61"/>
    <w:rsid w:val="00492E80"/>
    <w:rsid w:val="00492E96"/>
    <w:rsid w:val="0049300D"/>
    <w:rsid w:val="00493040"/>
    <w:rsid w:val="0049325A"/>
    <w:rsid w:val="00493357"/>
    <w:rsid w:val="004933EC"/>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6E2"/>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5FFA"/>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6F9"/>
    <w:rsid w:val="004977F8"/>
    <w:rsid w:val="00497906"/>
    <w:rsid w:val="004979E9"/>
    <w:rsid w:val="00497AB8"/>
    <w:rsid w:val="00497CA8"/>
    <w:rsid w:val="00497CEF"/>
    <w:rsid w:val="00497E48"/>
    <w:rsid w:val="00497F21"/>
    <w:rsid w:val="00497F49"/>
    <w:rsid w:val="00497FD2"/>
    <w:rsid w:val="004A0107"/>
    <w:rsid w:val="004A02D7"/>
    <w:rsid w:val="004A0344"/>
    <w:rsid w:val="004A0394"/>
    <w:rsid w:val="004A03E6"/>
    <w:rsid w:val="004A03FA"/>
    <w:rsid w:val="004A05F3"/>
    <w:rsid w:val="004A0685"/>
    <w:rsid w:val="004A06E6"/>
    <w:rsid w:val="004A07A1"/>
    <w:rsid w:val="004A07BC"/>
    <w:rsid w:val="004A09A0"/>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11"/>
    <w:rsid w:val="004A1E98"/>
    <w:rsid w:val="004A2034"/>
    <w:rsid w:val="004A2079"/>
    <w:rsid w:val="004A2083"/>
    <w:rsid w:val="004A223C"/>
    <w:rsid w:val="004A255F"/>
    <w:rsid w:val="004A259A"/>
    <w:rsid w:val="004A26F5"/>
    <w:rsid w:val="004A276E"/>
    <w:rsid w:val="004A292A"/>
    <w:rsid w:val="004A2984"/>
    <w:rsid w:val="004A2A3A"/>
    <w:rsid w:val="004A2CFB"/>
    <w:rsid w:val="004A2D69"/>
    <w:rsid w:val="004A2E4F"/>
    <w:rsid w:val="004A2EAB"/>
    <w:rsid w:val="004A2F4F"/>
    <w:rsid w:val="004A3144"/>
    <w:rsid w:val="004A31CD"/>
    <w:rsid w:val="004A3380"/>
    <w:rsid w:val="004A3400"/>
    <w:rsid w:val="004A34DC"/>
    <w:rsid w:val="004A35E5"/>
    <w:rsid w:val="004A3711"/>
    <w:rsid w:val="004A3728"/>
    <w:rsid w:val="004A3933"/>
    <w:rsid w:val="004A3987"/>
    <w:rsid w:val="004A39A0"/>
    <w:rsid w:val="004A3A0D"/>
    <w:rsid w:val="004A3BD8"/>
    <w:rsid w:val="004A3C0B"/>
    <w:rsid w:val="004A3C16"/>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5D"/>
    <w:rsid w:val="004A4F78"/>
    <w:rsid w:val="004A525F"/>
    <w:rsid w:val="004A534E"/>
    <w:rsid w:val="004A53DA"/>
    <w:rsid w:val="004A53F7"/>
    <w:rsid w:val="004A54DE"/>
    <w:rsid w:val="004A59B2"/>
    <w:rsid w:val="004A5B46"/>
    <w:rsid w:val="004A5D3B"/>
    <w:rsid w:val="004A5F95"/>
    <w:rsid w:val="004A608B"/>
    <w:rsid w:val="004A6253"/>
    <w:rsid w:val="004A63A9"/>
    <w:rsid w:val="004A6462"/>
    <w:rsid w:val="004A64EE"/>
    <w:rsid w:val="004A657B"/>
    <w:rsid w:val="004A6638"/>
    <w:rsid w:val="004A6738"/>
    <w:rsid w:val="004A67C7"/>
    <w:rsid w:val="004A6863"/>
    <w:rsid w:val="004A6B89"/>
    <w:rsid w:val="004A6CA3"/>
    <w:rsid w:val="004A6E3A"/>
    <w:rsid w:val="004A6EDF"/>
    <w:rsid w:val="004A6EF3"/>
    <w:rsid w:val="004A7293"/>
    <w:rsid w:val="004A753D"/>
    <w:rsid w:val="004A77FD"/>
    <w:rsid w:val="004A799B"/>
    <w:rsid w:val="004A7A15"/>
    <w:rsid w:val="004A7A3A"/>
    <w:rsid w:val="004A7AF1"/>
    <w:rsid w:val="004A7B83"/>
    <w:rsid w:val="004A7BA1"/>
    <w:rsid w:val="004A7CE9"/>
    <w:rsid w:val="004A7E48"/>
    <w:rsid w:val="004A7FA3"/>
    <w:rsid w:val="004A7FB5"/>
    <w:rsid w:val="004B0034"/>
    <w:rsid w:val="004B00B2"/>
    <w:rsid w:val="004B011A"/>
    <w:rsid w:val="004B021E"/>
    <w:rsid w:val="004B0546"/>
    <w:rsid w:val="004B0553"/>
    <w:rsid w:val="004B056E"/>
    <w:rsid w:val="004B06B9"/>
    <w:rsid w:val="004B0730"/>
    <w:rsid w:val="004B07A6"/>
    <w:rsid w:val="004B0811"/>
    <w:rsid w:val="004B093E"/>
    <w:rsid w:val="004B0A45"/>
    <w:rsid w:val="004B0DFA"/>
    <w:rsid w:val="004B0E0B"/>
    <w:rsid w:val="004B11E2"/>
    <w:rsid w:val="004B1292"/>
    <w:rsid w:val="004B12A2"/>
    <w:rsid w:val="004B13BA"/>
    <w:rsid w:val="004B14A2"/>
    <w:rsid w:val="004B1768"/>
    <w:rsid w:val="004B183C"/>
    <w:rsid w:val="004B1BD1"/>
    <w:rsid w:val="004B1C42"/>
    <w:rsid w:val="004B1CE4"/>
    <w:rsid w:val="004B2236"/>
    <w:rsid w:val="004B24C7"/>
    <w:rsid w:val="004B2573"/>
    <w:rsid w:val="004B2BDE"/>
    <w:rsid w:val="004B2D4C"/>
    <w:rsid w:val="004B2F73"/>
    <w:rsid w:val="004B305A"/>
    <w:rsid w:val="004B32A3"/>
    <w:rsid w:val="004B3454"/>
    <w:rsid w:val="004B36A5"/>
    <w:rsid w:val="004B375F"/>
    <w:rsid w:val="004B3BB9"/>
    <w:rsid w:val="004B3C72"/>
    <w:rsid w:val="004B3D71"/>
    <w:rsid w:val="004B3DCA"/>
    <w:rsid w:val="004B40C9"/>
    <w:rsid w:val="004B41BD"/>
    <w:rsid w:val="004B42E2"/>
    <w:rsid w:val="004B4520"/>
    <w:rsid w:val="004B4528"/>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DF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6DD1"/>
    <w:rsid w:val="004B72B4"/>
    <w:rsid w:val="004B7400"/>
    <w:rsid w:val="004B7430"/>
    <w:rsid w:val="004B75D0"/>
    <w:rsid w:val="004B75DF"/>
    <w:rsid w:val="004B7684"/>
    <w:rsid w:val="004B76D0"/>
    <w:rsid w:val="004B7919"/>
    <w:rsid w:val="004B7970"/>
    <w:rsid w:val="004B7A3A"/>
    <w:rsid w:val="004B7A58"/>
    <w:rsid w:val="004B7A7E"/>
    <w:rsid w:val="004B7AED"/>
    <w:rsid w:val="004B7B51"/>
    <w:rsid w:val="004B7E7F"/>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1E"/>
    <w:rsid w:val="004C1226"/>
    <w:rsid w:val="004C12EA"/>
    <w:rsid w:val="004C13A1"/>
    <w:rsid w:val="004C1516"/>
    <w:rsid w:val="004C151E"/>
    <w:rsid w:val="004C1546"/>
    <w:rsid w:val="004C1547"/>
    <w:rsid w:val="004C1697"/>
    <w:rsid w:val="004C17A3"/>
    <w:rsid w:val="004C1829"/>
    <w:rsid w:val="004C1904"/>
    <w:rsid w:val="004C1B6E"/>
    <w:rsid w:val="004C1C7F"/>
    <w:rsid w:val="004C201E"/>
    <w:rsid w:val="004C23EF"/>
    <w:rsid w:val="004C2492"/>
    <w:rsid w:val="004C278F"/>
    <w:rsid w:val="004C2843"/>
    <w:rsid w:val="004C28EE"/>
    <w:rsid w:val="004C2C30"/>
    <w:rsid w:val="004C2C42"/>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9E"/>
    <w:rsid w:val="004C46AC"/>
    <w:rsid w:val="004C4709"/>
    <w:rsid w:val="004C478F"/>
    <w:rsid w:val="004C4959"/>
    <w:rsid w:val="004C4B16"/>
    <w:rsid w:val="004C4BE7"/>
    <w:rsid w:val="004C4DD3"/>
    <w:rsid w:val="004C4E03"/>
    <w:rsid w:val="004C524E"/>
    <w:rsid w:val="004C529E"/>
    <w:rsid w:val="004C52AB"/>
    <w:rsid w:val="004C54A4"/>
    <w:rsid w:val="004C570B"/>
    <w:rsid w:val="004C5868"/>
    <w:rsid w:val="004C593E"/>
    <w:rsid w:val="004C5956"/>
    <w:rsid w:val="004C5AE7"/>
    <w:rsid w:val="004C5D67"/>
    <w:rsid w:val="004C5F24"/>
    <w:rsid w:val="004C5FA7"/>
    <w:rsid w:val="004C610F"/>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089"/>
    <w:rsid w:val="004C71C6"/>
    <w:rsid w:val="004C7495"/>
    <w:rsid w:val="004C7527"/>
    <w:rsid w:val="004C7535"/>
    <w:rsid w:val="004C75C6"/>
    <w:rsid w:val="004C7603"/>
    <w:rsid w:val="004C7ACD"/>
    <w:rsid w:val="004C7DC5"/>
    <w:rsid w:val="004C7DD3"/>
    <w:rsid w:val="004C7E37"/>
    <w:rsid w:val="004D0008"/>
    <w:rsid w:val="004D023F"/>
    <w:rsid w:val="004D0255"/>
    <w:rsid w:val="004D02B8"/>
    <w:rsid w:val="004D030B"/>
    <w:rsid w:val="004D04D2"/>
    <w:rsid w:val="004D052C"/>
    <w:rsid w:val="004D0543"/>
    <w:rsid w:val="004D05B9"/>
    <w:rsid w:val="004D0888"/>
    <w:rsid w:val="004D09F4"/>
    <w:rsid w:val="004D0A00"/>
    <w:rsid w:val="004D0AE3"/>
    <w:rsid w:val="004D0AEF"/>
    <w:rsid w:val="004D0C44"/>
    <w:rsid w:val="004D0D19"/>
    <w:rsid w:val="004D0E43"/>
    <w:rsid w:val="004D0F4B"/>
    <w:rsid w:val="004D12F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78"/>
    <w:rsid w:val="004D2ABB"/>
    <w:rsid w:val="004D2ADE"/>
    <w:rsid w:val="004D2CA1"/>
    <w:rsid w:val="004D2CA3"/>
    <w:rsid w:val="004D2EDD"/>
    <w:rsid w:val="004D2F2D"/>
    <w:rsid w:val="004D2F93"/>
    <w:rsid w:val="004D3039"/>
    <w:rsid w:val="004D33B2"/>
    <w:rsid w:val="004D3436"/>
    <w:rsid w:val="004D34D9"/>
    <w:rsid w:val="004D3595"/>
    <w:rsid w:val="004D35E1"/>
    <w:rsid w:val="004D3619"/>
    <w:rsid w:val="004D3627"/>
    <w:rsid w:val="004D3716"/>
    <w:rsid w:val="004D38EC"/>
    <w:rsid w:val="004D391C"/>
    <w:rsid w:val="004D3923"/>
    <w:rsid w:val="004D3AEC"/>
    <w:rsid w:val="004D3C00"/>
    <w:rsid w:val="004D3C23"/>
    <w:rsid w:val="004D3C98"/>
    <w:rsid w:val="004D3F44"/>
    <w:rsid w:val="004D4173"/>
    <w:rsid w:val="004D42E7"/>
    <w:rsid w:val="004D43B1"/>
    <w:rsid w:val="004D43F1"/>
    <w:rsid w:val="004D45E8"/>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B15"/>
    <w:rsid w:val="004D5C81"/>
    <w:rsid w:val="004D5D18"/>
    <w:rsid w:val="004D5D85"/>
    <w:rsid w:val="004D5E03"/>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A7B"/>
    <w:rsid w:val="004E0B1C"/>
    <w:rsid w:val="004E0BAF"/>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9DA"/>
    <w:rsid w:val="004E2A74"/>
    <w:rsid w:val="004E2E28"/>
    <w:rsid w:val="004E2EDA"/>
    <w:rsid w:val="004E3015"/>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5D7"/>
    <w:rsid w:val="004E487D"/>
    <w:rsid w:val="004E48C2"/>
    <w:rsid w:val="004E4C64"/>
    <w:rsid w:val="004E4C93"/>
    <w:rsid w:val="004E4CD9"/>
    <w:rsid w:val="004E4CE1"/>
    <w:rsid w:val="004E4CFC"/>
    <w:rsid w:val="004E4F29"/>
    <w:rsid w:val="004E4F42"/>
    <w:rsid w:val="004E503C"/>
    <w:rsid w:val="004E50CD"/>
    <w:rsid w:val="004E513A"/>
    <w:rsid w:val="004E52B0"/>
    <w:rsid w:val="004E5379"/>
    <w:rsid w:val="004E58DE"/>
    <w:rsid w:val="004E598D"/>
    <w:rsid w:val="004E5DFF"/>
    <w:rsid w:val="004E5E2F"/>
    <w:rsid w:val="004E5FF3"/>
    <w:rsid w:val="004E6012"/>
    <w:rsid w:val="004E6030"/>
    <w:rsid w:val="004E6052"/>
    <w:rsid w:val="004E6128"/>
    <w:rsid w:val="004E617C"/>
    <w:rsid w:val="004E6208"/>
    <w:rsid w:val="004E6296"/>
    <w:rsid w:val="004E6337"/>
    <w:rsid w:val="004E633F"/>
    <w:rsid w:val="004E6396"/>
    <w:rsid w:val="004E6814"/>
    <w:rsid w:val="004E6C20"/>
    <w:rsid w:val="004E6C34"/>
    <w:rsid w:val="004E6CD2"/>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995"/>
    <w:rsid w:val="004F0AF6"/>
    <w:rsid w:val="004F0B70"/>
    <w:rsid w:val="004F0ED8"/>
    <w:rsid w:val="004F0F2C"/>
    <w:rsid w:val="004F100F"/>
    <w:rsid w:val="004F11C3"/>
    <w:rsid w:val="004F1443"/>
    <w:rsid w:val="004F1472"/>
    <w:rsid w:val="004F15DA"/>
    <w:rsid w:val="004F16DF"/>
    <w:rsid w:val="004F1722"/>
    <w:rsid w:val="004F1775"/>
    <w:rsid w:val="004F1783"/>
    <w:rsid w:val="004F18EC"/>
    <w:rsid w:val="004F1A18"/>
    <w:rsid w:val="004F1A31"/>
    <w:rsid w:val="004F1B09"/>
    <w:rsid w:val="004F1BA3"/>
    <w:rsid w:val="004F1C1C"/>
    <w:rsid w:val="004F1D59"/>
    <w:rsid w:val="004F1FF7"/>
    <w:rsid w:val="004F21C2"/>
    <w:rsid w:val="004F21DF"/>
    <w:rsid w:val="004F2362"/>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7FC"/>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446"/>
    <w:rsid w:val="004F558C"/>
    <w:rsid w:val="004F59A9"/>
    <w:rsid w:val="004F5A4A"/>
    <w:rsid w:val="004F5A8D"/>
    <w:rsid w:val="004F5B25"/>
    <w:rsid w:val="004F5B38"/>
    <w:rsid w:val="004F5B51"/>
    <w:rsid w:val="004F5C7D"/>
    <w:rsid w:val="004F5FA4"/>
    <w:rsid w:val="004F5FB4"/>
    <w:rsid w:val="004F5FC3"/>
    <w:rsid w:val="004F606D"/>
    <w:rsid w:val="004F6078"/>
    <w:rsid w:val="004F6147"/>
    <w:rsid w:val="004F626A"/>
    <w:rsid w:val="004F639C"/>
    <w:rsid w:val="004F63AE"/>
    <w:rsid w:val="004F64DE"/>
    <w:rsid w:val="004F6710"/>
    <w:rsid w:val="004F672A"/>
    <w:rsid w:val="004F6825"/>
    <w:rsid w:val="004F6862"/>
    <w:rsid w:val="004F68F6"/>
    <w:rsid w:val="004F6978"/>
    <w:rsid w:val="004F6AE5"/>
    <w:rsid w:val="004F6C91"/>
    <w:rsid w:val="004F6EA9"/>
    <w:rsid w:val="004F6EE0"/>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0DFD"/>
    <w:rsid w:val="00500EB7"/>
    <w:rsid w:val="00501043"/>
    <w:rsid w:val="0050107C"/>
    <w:rsid w:val="005010F8"/>
    <w:rsid w:val="00501240"/>
    <w:rsid w:val="005012D2"/>
    <w:rsid w:val="00501664"/>
    <w:rsid w:val="00501732"/>
    <w:rsid w:val="0050177D"/>
    <w:rsid w:val="0050190A"/>
    <w:rsid w:val="00501940"/>
    <w:rsid w:val="00501AC6"/>
    <w:rsid w:val="00501B17"/>
    <w:rsid w:val="00501C9D"/>
    <w:rsid w:val="00501DDC"/>
    <w:rsid w:val="00501E4E"/>
    <w:rsid w:val="00501EC6"/>
    <w:rsid w:val="00502061"/>
    <w:rsid w:val="00502125"/>
    <w:rsid w:val="00502226"/>
    <w:rsid w:val="00502520"/>
    <w:rsid w:val="005026DE"/>
    <w:rsid w:val="00502BB1"/>
    <w:rsid w:val="00502C59"/>
    <w:rsid w:val="00502DB0"/>
    <w:rsid w:val="00502EE4"/>
    <w:rsid w:val="00502F0F"/>
    <w:rsid w:val="00502F1C"/>
    <w:rsid w:val="00503001"/>
    <w:rsid w:val="00503013"/>
    <w:rsid w:val="00503031"/>
    <w:rsid w:val="005031E3"/>
    <w:rsid w:val="0050335C"/>
    <w:rsid w:val="00503626"/>
    <w:rsid w:val="005036AE"/>
    <w:rsid w:val="0050390B"/>
    <w:rsid w:val="0050391D"/>
    <w:rsid w:val="00503997"/>
    <w:rsid w:val="00503C0E"/>
    <w:rsid w:val="00503C1B"/>
    <w:rsid w:val="00503FFE"/>
    <w:rsid w:val="005040AE"/>
    <w:rsid w:val="00504162"/>
    <w:rsid w:val="00504163"/>
    <w:rsid w:val="005042C0"/>
    <w:rsid w:val="00504340"/>
    <w:rsid w:val="00504353"/>
    <w:rsid w:val="0050482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28"/>
    <w:rsid w:val="00505433"/>
    <w:rsid w:val="0050548F"/>
    <w:rsid w:val="00505568"/>
    <w:rsid w:val="0050560E"/>
    <w:rsid w:val="0050566C"/>
    <w:rsid w:val="00505704"/>
    <w:rsid w:val="0050575C"/>
    <w:rsid w:val="005057AC"/>
    <w:rsid w:val="0050589F"/>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8C1"/>
    <w:rsid w:val="00506DD4"/>
    <w:rsid w:val="00507043"/>
    <w:rsid w:val="00507116"/>
    <w:rsid w:val="005071F7"/>
    <w:rsid w:val="00507287"/>
    <w:rsid w:val="00507450"/>
    <w:rsid w:val="0050746D"/>
    <w:rsid w:val="0050747A"/>
    <w:rsid w:val="005074B4"/>
    <w:rsid w:val="005075F1"/>
    <w:rsid w:val="00507604"/>
    <w:rsid w:val="00507863"/>
    <w:rsid w:val="005079A9"/>
    <w:rsid w:val="00507B11"/>
    <w:rsid w:val="00507C1A"/>
    <w:rsid w:val="00507CDB"/>
    <w:rsid w:val="00507DED"/>
    <w:rsid w:val="00507FDF"/>
    <w:rsid w:val="0051013A"/>
    <w:rsid w:val="005103E4"/>
    <w:rsid w:val="00510446"/>
    <w:rsid w:val="005105C0"/>
    <w:rsid w:val="0051069E"/>
    <w:rsid w:val="0051081E"/>
    <w:rsid w:val="005108A5"/>
    <w:rsid w:val="00510BCE"/>
    <w:rsid w:val="00510D36"/>
    <w:rsid w:val="00510D89"/>
    <w:rsid w:val="00510E45"/>
    <w:rsid w:val="00511085"/>
    <w:rsid w:val="00511249"/>
    <w:rsid w:val="0051143C"/>
    <w:rsid w:val="00511441"/>
    <w:rsid w:val="0051156E"/>
    <w:rsid w:val="005115F0"/>
    <w:rsid w:val="00511695"/>
    <w:rsid w:val="005116DF"/>
    <w:rsid w:val="00511907"/>
    <w:rsid w:val="00511C8E"/>
    <w:rsid w:val="00511EEE"/>
    <w:rsid w:val="00511FED"/>
    <w:rsid w:val="0051208D"/>
    <w:rsid w:val="005123BD"/>
    <w:rsid w:val="00512442"/>
    <w:rsid w:val="00512599"/>
    <w:rsid w:val="005126AD"/>
    <w:rsid w:val="0051272A"/>
    <w:rsid w:val="005128F7"/>
    <w:rsid w:val="00512933"/>
    <w:rsid w:val="00512A00"/>
    <w:rsid w:val="00512A93"/>
    <w:rsid w:val="00512D71"/>
    <w:rsid w:val="00512E3B"/>
    <w:rsid w:val="00512EB5"/>
    <w:rsid w:val="00512F45"/>
    <w:rsid w:val="00512F94"/>
    <w:rsid w:val="00512FCD"/>
    <w:rsid w:val="005132B9"/>
    <w:rsid w:val="005132ED"/>
    <w:rsid w:val="00513403"/>
    <w:rsid w:val="0051343B"/>
    <w:rsid w:val="00513574"/>
    <w:rsid w:val="0051358D"/>
    <w:rsid w:val="00513653"/>
    <w:rsid w:val="00513681"/>
    <w:rsid w:val="005136A8"/>
    <w:rsid w:val="005139B2"/>
    <w:rsid w:val="00513A4E"/>
    <w:rsid w:val="00513AE2"/>
    <w:rsid w:val="00513B65"/>
    <w:rsid w:val="00513B9B"/>
    <w:rsid w:val="00513BB2"/>
    <w:rsid w:val="00513DF9"/>
    <w:rsid w:val="00513EB9"/>
    <w:rsid w:val="005140AB"/>
    <w:rsid w:val="005142FC"/>
    <w:rsid w:val="0051440A"/>
    <w:rsid w:val="00514414"/>
    <w:rsid w:val="005144EB"/>
    <w:rsid w:val="00514629"/>
    <w:rsid w:val="0051476D"/>
    <w:rsid w:val="00514877"/>
    <w:rsid w:val="0051496C"/>
    <w:rsid w:val="00514E30"/>
    <w:rsid w:val="00515000"/>
    <w:rsid w:val="00515183"/>
    <w:rsid w:val="005151BD"/>
    <w:rsid w:val="005152AF"/>
    <w:rsid w:val="0051549B"/>
    <w:rsid w:val="005154DC"/>
    <w:rsid w:val="005154FE"/>
    <w:rsid w:val="00515523"/>
    <w:rsid w:val="00515656"/>
    <w:rsid w:val="005157CF"/>
    <w:rsid w:val="00515957"/>
    <w:rsid w:val="00515ABD"/>
    <w:rsid w:val="00515C8A"/>
    <w:rsid w:val="00515EEC"/>
    <w:rsid w:val="00515F38"/>
    <w:rsid w:val="005162BD"/>
    <w:rsid w:val="00516557"/>
    <w:rsid w:val="0051656D"/>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20"/>
    <w:rsid w:val="00521A6D"/>
    <w:rsid w:val="00521AAA"/>
    <w:rsid w:val="00521E07"/>
    <w:rsid w:val="00521E9E"/>
    <w:rsid w:val="00521EAF"/>
    <w:rsid w:val="005220AE"/>
    <w:rsid w:val="0052219C"/>
    <w:rsid w:val="0052259E"/>
    <w:rsid w:val="00522763"/>
    <w:rsid w:val="005228A8"/>
    <w:rsid w:val="00522CAA"/>
    <w:rsid w:val="00522D83"/>
    <w:rsid w:val="00522E3F"/>
    <w:rsid w:val="00522FC2"/>
    <w:rsid w:val="00523022"/>
    <w:rsid w:val="00523157"/>
    <w:rsid w:val="0052334C"/>
    <w:rsid w:val="005233F6"/>
    <w:rsid w:val="00523430"/>
    <w:rsid w:val="0052344D"/>
    <w:rsid w:val="0052344E"/>
    <w:rsid w:val="00523495"/>
    <w:rsid w:val="00523977"/>
    <w:rsid w:val="00523981"/>
    <w:rsid w:val="005239A4"/>
    <w:rsid w:val="00523ECF"/>
    <w:rsid w:val="00524174"/>
    <w:rsid w:val="005242AB"/>
    <w:rsid w:val="005242CC"/>
    <w:rsid w:val="0052435E"/>
    <w:rsid w:val="0052444C"/>
    <w:rsid w:val="0052478A"/>
    <w:rsid w:val="005247A3"/>
    <w:rsid w:val="005247E2"/>
    <w:rsid w:val="00524912"/>
    <w:rsid w:val="00524A0D"/>
    <w:rsid w:val="00524A18"/>
    <w:rsid w:val="005250B6"/>
    <w:rsid w:val="0052519F"/>
    <w:rsid w:val="005252A9"/>
    <w:rsid w:val="005252EF"/>
    <w:rsid w:val="005253C6"/>
    <w:rsid w:val="00525507"/>
    <w:rsid w:val="00525849"/>
    <w:rsid w:val="00525880"/>
    <w:rsid w:val="00525A59"/>
    <w:rsid w:val="00525AE1"/>
    <w:rsid w:val="00525E7E"/>
    <w:rsid w:val="00525FC5"/>
    <w:rsid w:val="00525FC6"/>
    <w:rsid w:val="0052617A"/>
    <w:rsid w:val="005263CE"/>
    <w:rsid w:val="0052649A"/>
    <w:rsid w:val="00526530"/>
    <w:rsid w:val="005265B1"/>
    <w:rsid w:val="005265BF"/>
    <w:rsid w:val="00526845"/>
    <w:rsid w:val="00526932"/>
    <w:rsid w:val="00526A1E"/>
    <w:rsid w:val="00526A7A"/>
    <w:rsid w:val="00526A84"/>
    <w:rsid w:val="00526DD8"/>
    <w:rsid w:val="005270BA"/>
    <w:rsid w:val="005271A4"/>
    <w:rsid w:val="005271B4"/>
    <w:rsid w:val="005271C2"/>
    <w:rsid w:val="005273A2"/>
    <w:rsid w:val="005273B3"/>
    <w:rsid w:val="0052747D"/>
    <w:rsid w:val="005274DD"/>
    <w:rsid w:val="005275C0"/>
    <w:rsid w:val="005275EC"/>
    <w:rsid w:val="00527610"/>
    <w:rsid w:val="005276C0"/>
    <w:rsid w:val="0052770D"/>
    <w:rsid w:val="00527723"/>
    <w:rsid w:val="00527996"/>
    <w:rsid w:val="00527A17"/>
    <w:rsid w:val="00527AAF"/>
    <w:rsid w:val="00527BD9"/>
    <w:rsid w:val="00527C48"/>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168"/>
    <w:rsid w:val="00531326"/>
    <w:rsid w:val="00531463"/>
    <w:rsid w:val="005315D8"/>
    <w:rsid w:val="005316B2"/>
    <w:rsid w:val="005319A5"/>
    <w:rsid w:val="005319C3"/>
    <w:rsid w:val="005319F8"/>
    <w:rsid w:val="00531A7A"/>
    <w:rsid w:val="00531CB6"/>
    <w:rsid w:val="00531E76"/>
    <w:rsid w:val="0053202A"/>
    <w:rsid w:val="0053222A"/>
    <w:rsid w:val="00532232"/>
    <w:rsid w:val="0053231C"/>
    <w:rsid w:val="005323D1"/>
    <w:rsid w:val="00532449"/>
    <w:rsid w:val="005325F5"/>
    <w:rsid w:val="005326B4"/>
    <w:rsid w:val="005327F0"/>
    <w:rsid w:val="005328DA"/>
    <w:rsid w:val="00532902"/>
    <w:rsid w:val="00532CCE"/>
    <w:rsid w:val="00532E91"/>
    <w:rsid w:val="00532FC6"/>
    <w:rsid w:val="0053303F"/>
    <w:rsid w:val="00533130"/>
    <w:rsid w:val="00533174"/>
    <w:rsid w:val="00533198"/>
    <w:rsid w:val="005332FA"/>
    <w:rsid w:val="005333AD"/>
    <w:rsid w:val="005334F5"/>
    <w:rsid w:val="0053355F"/>
    <w:rsid w:val="005335F4"/>
    <w:rsid w:val="00533734"/>
    <w:rsid w:val="00533A2C"/>
    <w:rsid w:val="00533BFA"/>
    <w:rsid w:val="00533D9C"/>
    <w:rsid w:val="00533FD2"/>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7F"/>
    <w:rsid w:val="00536C9D"/>
    <w:rsid w:val="00536D17"/>
    <w:rsid w:val="00536D38"/>
    <w:rsid w:val="00536F61"/>
    <w:rsid w:val="0053726F"/>
    <w:rsid w:val="005375A8"/>
    <w:rsid w:val="0053772B"/>
    <w:rsid w:val="00537748"/>
    <w:rsid w:val="0053789C"/>
    <w:rsid w:val="00537B02"/>
    <w:rsid w:val="00537C3F"/>
    <w:rsid w:val="00537C54"/>
    <w:rsid w:val="00537CA2"/>
    <w:rsid w:val="0054000D"/>
    <w:rsid w:val="0054002B"/>
    <w:rsid w:val="005400EF"/>
    <w:rsid w:val="005401B6"/>
    <w:rsid w:val="00540264"/>
    <w:rsid w:val="00540372"/>
    <w:rsid w:val="00540534"/>
    <w:rsid w:val="00540565"/>
    <w:rsid w:val="005405C6"/>
    <w:rsid w:val="00540722"/>
    <w:rsid w:val="00540882"/>
    <w:rsid w:val="005408F9"/>
    <w:rsid w:val="00540A9C"/>
    <w:rsid w:val="00540CB7"/>
    <w:rsid w:val="00540DE0"/>
    <w:rsid w:val="00540EC8"/>
    <w:rsid w:val="00540F55"/>
    <w:rsid w:val="00540FD3"/>
    <w:rsid w:val="00541175"/>
    <w:rsid w:val="005411C0"/>
    <w:rsid w:val="005413D7"/>
    <w:rsid w:val="005413E8"/>
    <w:rsid w:val="005414BD"/>
    <w:rsid w:val="00541777"/>
    <w:rsid w:val="005417AE"/>
    <w:rsid w:val="0054195C"/>
    <w:rsid w:val="00541D33"/>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1F"/>
    <w:rsid w:val="005431C3"/>
    <w:rsid w:val="005434A9"/>
    <w:rsid w:val="005434F3"/>
    <w:rsid w:val="005435A4"/>
    <w:rsid w:val="0054361A"/>
    <w:rsid w:val="0054362F"/>
    <w:rsid w:val="00543917"/>
    <w:rsid w:val="00543BA7"/>
    <w:rsid w:val="00543D0B"/>
    <w:rsid w:val="0054408E"/>
    <w:rsid w:val="00544106"/>
    <w:rsid w:val="0054430F"/>
    <w:rsid w:val="00544375"/>
    <w:rsid w:val="00544684"/>
    <w:rsid w:val="0054469E"/>
    <w:rsid w:val="005448FC"/>
    <w:rsid w:val="00544921"/>
    <w:rsid w:val="00544CC1"/>
    <w:rsid w:val="00544D87"/>
    <w:rsid w:val="00544E07"/>
    <w:rsid w:val="00544EB6"/>
    <w:rsid w:val="005450FB"/>
    <w:rsid w:val="00545427"/>
    <w:rsid w:val="005454C7"/>
    <w:rsid w:val="005456FE"/>
    <w:rsid w:val="00545737"/>
    <w:rsid w:val="005457F6"/>
    <w:rsid w:val="005458FE"/>
    <w:rsid w:val="005459AB"/>
    <w:rsid w:val="00545CA1"/>
    <w:rsid w:val="00545DE6"/>
    <w:rsid w:val="00545E39"/>
    <w:rsid w:val="00545E9E"/>
    <w:rsid w:val="00545F8F"/>
    <w:rsid w:val="00546021"/>
    <w:rsid w:val="00546134"/>
    <w:rsid w:val="005461FA"/>
    <w:rsid w:val="00546210"/>
    <w:rsid w:val="005465A0"/>
    <w:rsid w:val="005469ED"/>
    <w:rsid w:val="00546EEB"/>
    <w:rsid w:val="00547185"/>
    <w:rsid w:val="005471FC"/>
    <w:rsid w:val="00547337"/>
    <w:rsid w:val="005474A6"/>
    <w:rsid w:val="00547625"/>
    <w:rsid w:val="00547946"/>
    <w:rsid w:val="00547A65"/>
    <w:rsid w:val="00547A8C"/>
    <w:rsid w:val="00547B5F"/>
    <w:rsid w:val="00547C88"/>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24"/>
    <w:rsid w:val="0055104E"/>
    <w:rsid w:val="0055104F"/>
    <w:rsid w:val="00551114"/>
    <w:rsid w:val="00551419"/>
    <w:rsid w:val="00551543"/>
    <w:rsid w:val="005515ED"/>
    <w:rsid w:val="00551836"/>
    <w:rsid w:val="0055185A"/>
    <w:rsid w:val="0055196D"/>
    <w:rsid w:val="00551A5E"/>
    <w:rsid w:val="00551A61"/>
    <w:rsid w:val="00551B85"/>
    <w:rsid w:val="00551C03"/>
    <w:rsid w:val="00551C57"/>
    <w:rsid w:val="00551CB9"/>
    <w:rsid w:val="00551E4B"/>
    <w:rsid w:val="00551EDE"/>
    <w:rsid w:val="00551FCE"/>
    <w:rsid w:val="00552100"/>
    <w:rsid w:val="0055215D"/>
    <w:rsid w:val="005527CE"/>
    <w:rsid w:val="0055288B"/>
    <w:rsid w:val="00552918"/>
    <w:rsid w:val="00552A7E"/>
    <w:rsid w:val="00552A9A"/>
    <w:rsid w:val="00552EA7"/>
    <w:rsid w:val="00552EF8"/>
    <w:rsid w:val="00553057"/>
    <w:rsid w:val="005531A8"/>
    <w:rsid w:val="00553448"/>
    <w:rsid w:val="0055379E"/>
    <w:rsid w:val="0055385D"/>
    <w:rsid w:val="00553886"/>
    <w:rsid w:val="00553983"/>
    <w:rsid w:val="00553A80"/>
    <w:rsid w:val="00553BFC"/>
    <w:rsid w:val="00553FA5"/>
    <w:rsid w:val="0055422F"/>
    <w:rsid w:val="00554677"/>
    <w:rsid w:val="0055489C"/>
    <w:rsid w:val="00554943"/>
    <w:rsid w:val="005549AB"/>
    <w:rsid w:val="005549D1"/>
    <w:rsid w:val="00554AFC"/>
    <w:rsid w:val="00554D32"/>
    <w:rsid w:val="00554DF5"/>
    <w:rsid w:val="00554FC7"/>
    <w:rsid w:val="005550A2"/>
    <w:rsid w:val="005550C5"/>
    <w:rsid w:val="0055522F"/>
    <w:rsid w:val="0055553A"/>
    <w:rsid w:val="00555573"/>
    <w:rsid w:val="005555F2"/>
    <w:rsid w:val="005556C0"/>
    <w:rsid w:val="005556D4"/>
    <w:rsid w:val="005557EE"/>
    <w:rsid w:val="0055583B"/>
    <w:rsid w:val="00555984"/>
    <w:rsid w:val="005559B7"/>
    <w:rsid w:val="00555A3F"/>
    <w:rsid w:val="00555B04"/>
    <w:rsid w:val="00555BFF"/>
    <w:rsid w:val="00555C2D"/>
    <w:rsid w:val="00555F7B"/>
    <w:rsid w:val="00555FFB"/>
    <w:rsid w:val="00556161"/>
    <w:rsid w:val="0055630A"/>
    <w:rsid w:val="00556442"/>
    <w:rsid w:val="0055655B"/>
    <w:rsid w:val="00556796"/>
    <w:rsid w:val="00556AAD"/>
    <w:rsid w:val="00556C05"/>
    <w:rsid w:val="00556CDA"/>
    <w:rsid w:val="00556D4F"/>
    <w:rsid w:val="00556D6D"/>
    <w:rsid w:val="00556EF9"/>
    <w:rsid w:val="00557145"/>
    <w:rsid w:val="00557218"/>
    <w:rsid w:val="005576FC"/>
    <w:rsid w:val="0055782F"/>
    <w:rsid w:val="00557869"/>
    <w:rsid w:val="00557887"/>
    <w:rsid w:val="005578E7"/>
    <w:rsid w:val="005579D1"/>
    <w:rsid w:val="00557D3B"/>
    <w:rsid w:val="00557E21"/>
    <w:rsid w:val="00557E65"/>
    <w:rsid w:val="00560000"/>
    <w:rsid w:val="005600D9"/>
    <w:rsid w:val="005605F8"/>
    <w:rsid w:val="00560683"/>
    <w:rsid w:val="00560719"/>
    <w:rsid w:val="0056074C"/>
    <w:rsid w:val="005608F3"/>
    <w:rsid w:val="00560981"/>
    <w:rsid w:val="005609FF"/>
    <w:rsid w:val="00560D2D"/>
    <w:rsid w:val="00561376"/>
    <w:rsid w:val="0056143F"/>
    <w:rsid w:val="00561615"/>
    <w:rsid w:val="0056174F"/>
    <w:rsid w:val="005618C8"/>
    <w:rsid w:val="00561AC0"/>
    <w:rsid w:val="00561BB2"/>
    <w:rsid w:val="00561C14"/>
    <w:rsid w:val="00561E9E"/>
    <w:rsid w:val="00561FA0"/>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0D"/>
    <w:rsid w:val="005638C4"/>
    <w:rsid w:val="005638D8"/>
    <w:rsid w:val="00563AC8"/>
    <w:rsid w:val="00563C15"/>
    <w:rsid w:val="00563C32"/>
    <w:rsid w:val="00563E49"/>
    <w:rsid w:val="00563ED9"/>
    <w:rsid w:val="0056425E"/>
    <w:rsid w:val="005642D1"/>
    <w:rsid w:val="005643E5"/>
    <w:rsid w:val="0056449C"/>
    <w:rsid w:val="0056456A"/>
    <w:rsid w:val="00564579"/>
    <w:rsid w:val="00564812"/>
    <w:rsid w:val="00564A22"/>
    <w:rsid w:val="00564B3B"/>
    <w:rsid w:val="00564B58"/>
    <w:rsid w:val="00564F74"/>
    <w:rsid w:val="0056500B"/>
    <w:rsid w:val="00565186"/>
    <w:rsid w:val="005651D7"/>
    <w:rsid w:val="0056529A"/>
    <w:rsid w:val="0056532D"/>
    <w:rsid w:val="00565404"/>
    <w:rsid w:val="005655BA"/>
    <w:rsid w:val="005658C2"/>
    <w:rsid w:val="0056599C"/>
    <w:rsid w:val="00565B45"/>
    <w:rsid w:val="00565C41"/>
    <w:rsid w:val="00565F63"/>
    <w:rsid w:val="00565FC8"/>
    <w:rsid w:val="00566261"/>
    <w:rsid w:val="00566499"/>
    <w:rsid w:val="00566693"/>
    <w:rsid w:val="00566863"/>
    <w:rsid w:val="0056689A"/>
    <w:rsid w:val="005669FA"/>
    <w:rsid w:val="00566A97"/>
    <w:rsid w:val="00566BB9"/>
    <w:rsid w:val="00566BC0"/>
    <w:rsid w:val="00566E0D"/>
    <w:rsid w:val="005672F9"/>
    <w:rsid w:val="005678F8"/>
    <w:rsid w:val="005678FB"/>
    <w:rsid w:val="0056795A"/>
    <w:rsid w:val="00567A77"/>
    <w:rsid w:val="00567B5D"/>
    <w:rsid w:val="00567BC3"/>
    <w:rsid w:val="00567D31"/>
    <w:rsid w:val="00567D9A"/>
    <w:rsid w:val="00567DAC"/>
    <w:rsid w:val="00570140"/>
    <w:rsid w:val="005701BA"/>
    <w:rsid w:val="00570202"/>
    <w:rsid w:val="00570304"/>
    <w:rsid w:val="005705D3"/>
    <w:rsid w:val="00570605"/>
    <w:rsid w:val="005706A0"/>
    <w:rsid w:val="0057078D"/>
    <w:rsid w:val="005707CF"/>
    <w:rsid w:val="00570D0F"/>
    <w:rsid w:val="00570D67"/>
    <w:rsid w:val="00570D91"/>
    <w:rsid w:val="00570F36"/>
    <w:rsid w:val="00570FA4"/>
    <w:rsid w:val="00571168"/>
    <w:rsid w:val="005711AC"/>
    <w:rsid w:val="005711EB"/>
    <w:rsid w:val="00571277"/>
    <w:rsid w:val="005717C3"/>
    <w:rsid w:val="00571801"/>
    <w:rsid w:val="00571847"/>
    <w:rsid w:val="005719FC"/>
    <w:rsid w:val="00571CAC"/>
    <w:rsid w:val="00571DD7"/>
    <w:rsid w:val="00571F4A"/>
    <w:rsid w:val="00571FA7"/>
    <w:rsid w:val="00572018"/>
    <w:rsid w:val="00572276"/>
    <w:rsid w:val="005722C2"/>
    <w:rsid w:val="00572392"/>
    <w:rsid w:val="00572608"/>
    <w:rsid w:val="00572646"/>
    <w:rsid w:val="00572750"/>
    <w:rsid w:val="00572893"/>
    <w:rsid w:val="005728FD"/>
    <w:rsid w:val="00572B43"/>
    <w:rsid w:val="00572BB4"/>
    <w:rsid w:val="00572D13"/>
    <w:rsid w:val="00572E34"/>
    <w:rsid w:val="00573229"/>
    <w:rsid w:val="00573447"/>
    <w:rsid w:val="005737BB"/>
    <w:rsid w:val="005737E0"/>
    <w:rsid w:val="00573933"/>
    <w:rsid w:val="005739E2"/>
    <w:rsid w:val="00573A22"/>
    <w:rsid w:val="00573AD9"/>
    <w:rsid w:val="00573DB5"/>
    <w:rsid w:val="00573E98"/>
    <w:rsid w:val="005740E4"/>
    <w:rsid w:val="00574245"/>
    <w:rsid w:val="005742EA"/>
    <w:rsid w:val="0057430C"/>
    <w:rsid w:val="0057441A"/>
    <w:rsid w:val="005746E1"/>
    <w:rsid w:val="00574776"/>
    <w:rsid w:val="005747C3"/>
    <w:rsid w:val="0057484A"/>
    <w:rsid w:val="00574852"/>
    <w:rsid w:val="00574912"/>
    <w:rsid w:val="00575053"/>
    <w:rsid w:val="0057512D"/>
    <w:rsid w:val="0057520C"/>
    <w:rsid w:val="005754FE"/>
    <w:rsid w:val="00575563"/>
    <w:rsid w:val="0057559D"/>
    <w:rsid w:val="00575801"/>
    <w:rsid w:val="00575992"/>
    <w:rsid w:val="00575995"/>
    <w:rsid w:val="005759A8"/>
    <w:rsid w:val="00575CDA"/>
    <w:rsid w:val="00575E0A"/>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0F12"/>
    <w:rsid w:val="00581031"/>
    <w:rsid w:val="005811BD"/>
    <w:rsid w:val="005811FE"/>
    <w:rsid w:val="00581286"/>
    <w:rsid w:val="005812A2"/>
    <w:rsid w:val="005814F3"/>
    <w:rsid w:val="005815C1"/>
    <w:rsid w:val="005815F3"/>
    <w:rsid w:val="00581668"/>
    <w:rsid w:val="0058171E"/>
    <w:rsid w:val="00581866"/>
    <w:rsid w:val="005818D7"/>
    <w:rsid w:val="0058194C"/>
    <w:rsid w:val="00581C95"/>
    <w:rsid w:val="00581D51"/>
    <w:rsid w:val="00581DC0"/>
    <w:rsid w:val="00582196"/>
    <w:rsid w:val="005821D3"/>
    <w:rsid w:val="00582278"/>
    <w:rsid w:val="0058228E"/>
    <w:rsid w:val="005822F0"/>
    <w:rsid w:val="005824CA"/>
    <w:rsid w:val="00582547"/>
    <w:rsid w:val="005828A4"/>
    <w:rsid w:val="00582922"/>
    <w:rsid w:val="005829DA"/>
    <w:rsid w:val="00582AD0"/>
    <w:rsid w:val="0058314F"/>
    <w:rsid w:val="00583159"/>
    <w:rsid w:val="0058317E"/>
    <w:rsid w:val="005831B2"/>
    <w:rsid w:val="0058325C"/>
    <w:rsid w:val="0058333B"/>
    <w:rsid w:val="0058340D"/>
    <w:rsid w:val="00583527"/>
    <w:rsid w:val="0058365F"/>
    <w:rsid w:val="00583A37"/>
    <w:rsid w:val="00583AD5"/>
    <w:rsid w:val="00583BEE"/>
    <w:rsid w:val="00583E7D"/>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6E"/>
    <w:rsid w:val="00584CBF"/>
    <w:rsid w:val="00585072"/>
    <w:rsid w:val="0058518D"/>
    <w:rsid w:val="005851FB"/>
    <w:rsid w:val="005852D8"/>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29"/>
    <w:rsid w:val="00587C5F"/>
    <w:rsid w:val="00587CFC"/>
    <w:rsid w:val="005900B9"/>
    <w:rsid w:val="005900C3"/>
    <w:rsid w:val="00590121"/>
    <w:rsid w:val="0059020E"/>
    <w:rsid w:val="005902A0"/>
    <w:rsid w:val="0059038B"/>
    <w:rsid w:val="005904B9"/>
    <w:rsid w:val="005906C7"/>
    <w:rsid w:val="00590864"/>
    <w:rsid w:val="00590923"/>
    <w:rsid w:val="005909BC"/>
    <w:rsid w:val="00590D77"/>
    <w:rsid w:val="00591075"/>
    <w:rsid w:val="00591092"/>
    <w:rsid w:val="005911E3"/>
    <w:rsid w:val="0059151F"/>
    <w:rsid w:val="0059158A"/>
    <w:rsid w:val="005915B4"/>
    <w:rsid w:val="005917EC"/>
    <w:rsid w:val="0059198A"/>
    <w:rsid w:val="00591ABF"/>
    <w:rsid w:val="00591B76"/>
    <w:rsid w:val="00591D9D"/>
    <w:rsid w:val="00591F93"/>
    <w:rsid w:val="00591FC3"/>
    <w:rsid w:val="005921A0"/>
    <w:rsid w:val="005922AF"/>
    <w:rsid w:val="00592370"/>
    <w:rsid w:val="00592536"/>
    <w:rsid w:val="005926B0"/>
    <w:rsid w:val="005927F7"/>
    <w:rsid w:val="00592892"/>
    <w:rsid w:val="0059299D"/>
    <w:rsid w:val="00592A09"/>
    <w:rsid w:val="00592B4B"/>
    <w:rsid w:val="00592D66"/>
    <w:rsid w:val="0059304A"/>
    <w:rsid w:val="0059331F"/>
    <w:rsid w:val="00593509"/>
    <w:rsid w:val="00593803"/>
    <w:rsid w:val="005939A0"/>
    <w:rsid w:val="00593AED"/>
    <w:rsid w:val="00593D3E"/>
    <w:rsid w:val="00593ED6"/>
    <w:rsid w:val="00593F23"/>
    <w:rsid w:val="00593F9A"/>
    <w:rsid w:val="00593FA6"/>
    <w:rsid w:val="005940DA"/>
    <w:rsid w:val="00594125"/>
    <w:rsid w:val="005942A6"/>
    <w:rsid w:val="0059441F"/>
    <w:rsid w:val="005944D4"/>
    <w:rsid w:val="0059451D"/>
    <w:rsid w:val="0059451F"/>
    <w:rsid w:val="00594887"/>
    <w:rsid w:val="005948D4"/>
    <w:rsid w:val="00594A02"/>
    <w:rsid w:val="00594EDD"/>
    <w:rsid w:val="00595238"/>
    <w:rsid w:val="0059534E"/>
    <w:rsid w:val="00595420"/>
    <w:rsid w:val="00595483"/>
    <w:rsid w:val="0059551C"/>
    <w:rsid w:val="005956B6"/>
    <w:rsid w:val="0059585D"/>
    <w:rsid w:val="00595A75"/>
    <w:rsid w:val="00595B3A"/>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548"/>
    <w:rsid w:val="00597695"/>
    <w:rsid w:val="0059799C"/>
    <w:rsid w:val="00597C24"/>
    <w:rsid w:val="00597C7F"/>
    <w:rsid w:val="00597DBD"/>
    <w:rsid w:val="005A002B"/>
    <w:rsid w:val="005A01EA"/>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BF0"/>
    <w:rsid w:val="005A1C29"/>
    <w:rsid w:val="005A1CAF"/>
    <w:rsid w:val="005A1D4E"/>
    <w:rsid w:val="005A1DF4"/>
    <w:rsid w:val="005A1E4D"/>
    <w:rsid w:val="005A1E58"/>
    <w:rsid w:val="005A1F75"/>
    <w:rsid w:val="005A201C"/>
    <w:rsid w:val="005A206F"/>
    <w:rsid w:val="005A22B1"/>
    <w:rsid w:val="005A22CA"/>
    <w:rsid w:val="005A234B"/>
    <w:rsid w:val="005A240E"/>
    <w:rsid w:val="005A26AB"/>
    <w:rsid w:val="005A26C5"/>
    <w:rsid w:val="005A2754"/>
    <w:rsid w:val="005A27E2"/>
    <w:rsid w:val="005A2809"/>
    <w:rsid w:val="005A28B7"/>
    <w:rsid w:val="005A2AAC"/>
    <w:rsid w:val="005A2B5F"/>
    <w:rsid w:val="005A2C3A"/>
    <w:rsid w:val="005A2DC3"/>
    <w:rsid w:val="005A2EB7"/>
    <w:rsid w:val="005A2FAB"/>
    <w:rsid w:val="005A2FDE"/>
    <w:rsid w:val="005A3017"/>
    <w:rsid w:val="005A306D"/>
    <w:rsid w:val="005A30B9"/>
    <w:rsid w:val="005A319B"/>
    <w:rsid w:val="005A32E3"/>
    <w:rsid w:val="005A39F4"/>
    <w:rsid w:val="005A3BD6"/>
    <w:rsid w:val="005A3C36"/>
    <w:rsid w:val="005A3CA6"/>
    <w:rsid w:val="005A3E87"/>
    <w:rsid w:val="005A4062"/>
    <w:rsid w:val="005A40A1"/>
    <w:rsid w:val="005A4357"/>
    <w:rsid w:val="005A44C1"/>
    <w:rsid w:val="005A4665"/>
    <w:rsid w:val="005A4A1C"/>
    <w:rsid w:val="005A4AE7"/>
    <w:rsid w:val="005A4C72"/>
    <w:rsid w:val="005A4D47"/>
    <w:rsid w:val="005A4DC9"/>
    <w:rsid w:val="005A4E2C"/>
    <w:rsid w:val="005A5150"/>
    <w:rsid w:val="005A5155"/>
    <w:rsid w:val="005A5238"/>
    <w:rsid w:val="005A52F5"/>
    <w:rsid w:val="005A5350"/>
    <w:rsid w:val="005A53D0"/>
    <w:rsid w:val="005A5495"/>
    <w:rsid w:val="005A554E"/>
    <w:rsid w:val="005A56A4"/>
    <w:rsid w:val="005A56DB"/>
    <w:rsid w:val="005A57BA"/>
    <w:rsid w:val="005A5870"/>
    <w:rsid w:val="005A5AA3"/>
    <w:rsid w:val="005A5AF4"/>
    <w:rsid w:val="005A5B34"/>
    <w:rsid w:val="005A5C5B"/>
    <w:rsid w:val="005A5D76"/>
    <w:rsid w:val="005A5E36"/>
    <w:rsid w:val="005A5F4E"/>
    <w:rsid w:val="005A5F6C"/>
    <w:rsid w:val="005A6039"/>
    <w:rsid w:val="005A61B1"/>
    <w:rsid w:val="005A62AC"/>
    <w:rsid w:val="005A62DB"/>
    <w:rsid w:val="005A638F"/>
    <w:rsid w:val="005A63D1"/>
    <w:rsid w:val="005A6502"/>
    <w:rsid w:val="005A6514"/>
    <w:rsid w:val="005A65E7"/>
    <w:rsid w:val="005A6618"/>
    <w:rsid w:val="005A66D2"/>
    <w:rsid w:val="005A686A"/>
    <w:rsid w:val="005A68D2"/>
    <w:rsid w:val="005A6991"/>
    <w:rsid w:val="005A6C2C"/>
    <w:rsid w:val="005A6DE9"/>
    <w:rsid w:val="005A6F52"/>
    <w:rsid w:val="005A6F5A"/>
    <w:rsid w:val="005A70CC"/>
    <w:rsid w:val="005A7100"/>
    <w:rsid w:val="005A7198"/>
    <w:rsid w:val="005A7268"/>
    <w:rsid w:val="005A72BF"/>
    <w:rsid w:val="005A739D"/>
    <w:rsid w:val="005A7890"/>
    <w:rsid w:val="005A798E"/>
    <w:rsid w:val="005A7AB8"/>
    <w:rsid w:val="005A7AD8"/>
    <w:rsid w:val="005A7B3A"/>
    <w:rsid w:val="005A7D76"/>
    <w:rsid w:val="005A7F54"/>
    <w:rsid w:val="005A7FA7"/>
    <w:rsid w:val="005B02A0"/>
    <w:rsid w:val="005B0505"/>
    <w:rsid w:val="005B062F"/>
    <w:rsid w:val="005B0673"/>
    <w:rsid w:val="005B0B60"/>
    <w:rsid w:val="005B0B6C"/>
    <w:rsid w:val="005B0BA3"/>
    <w:rsid w:val="005B0DC5"/>
    <w:rsid w:val="005B146A"/>
    <w:rsid w:val="005B1558"/>
    <w:rsid w:val="005B1598"/>
    <w:rsid w:val="005B16D2"/>
    <w:rsid w:val="005B1854"/>
    <w:rsid w:val="005B187D"/>
    <w:rsid w:val="005B19E6"/>
    <w:rsid w:val="005B1C27"/>
    <w:rsid w:val="005B1CEC"/>
    <w:rsid w:val="005B1D35"/>
    <w:rsid w:val="005B1F4C"/>
    <w:rsid w:val="005B1FB4"/>
    <w:rsid w:val="005B228A"/>
    <w:rsid w:val="005B22C3"/>
    <w:rsid w:val="005B232B"/>
    <w:rsid w:val="005B236E"/>
    <w:rsid w:val="005B23BC"/>
    <w:rsid w:val="005B24AB"/>
    <w:rsid w:val="005B2540"/>
    <w:rsid w:val="005B2610"/>
    <w:rsid w:val="005B264C"/>
    <w:rsid w:val="005B2670"/>
    <w:rsid w:val="005B27AD"/>
    <w:rsid w:val="005B27DB"/>
    <w:rsid w:val="005B2982"/>
    <w:rsid w:val="005B2B78"/>
    <w:rsid w:val="005B2B86"/>
    <w:rsid w:val="005B2D30"/>
    <w:rsid w:val="005B3251"/>
    <w:rsid w:val="005B32D0"/>
    <w:rsid w:val="005B33C2"/>
    <w:rsid w:val="005B358E"/>
    <w:rsid w:val="005B35F3"/>
    <w:rsid w:val="005B3679"/>
    <w:rsid w:val="005B3872"/>
    <w:rsid w:val="005B389C"/>
    <w:rsid w:val="005B39DD"/>
    <w:rsid w:val="005B3AE2"/>
    <w:rsid w:val="005B3B2B"/>
    <w:rsid w:val="005B3D66"/>
    <w:rsid w:val="005B3EDE"/>
    <w:rsid w:val="005B4197"/>
    <w:rsid w:val="005B4380"/>
    <w:rsid w:val="005B4556"/>
    <w:rsid w:val="005B459B"/>
    <w:rsid w:val="005B461D"/>
    <w:rsid w:val="005B49A7"/>
    <w:rsid w:val="005B49B7"/>
    <w:rsid w:val="005B4B22"/>
    <w:rsid w:val="005B4C0E"/>
    <w:rsid w:val="005B4CFD"/>
    <w:rsid w:val="005B4DF1"/>
    <w:rsid w:val="005B5027"/>
    <w:rsid w:val="005B50F5"/>
    <w:rsid w:val="005B5402"/>
    <w:rsid w:val="005B5523"/>
    <w:rsid w:val="005B5565"/>
    <w:rsid w:val="005B577C"/>
    <w:rsid w:val="005B59D2"/>
    <w:rsid w:val="005B5C33"/>
    <w:rsid w:val="005B5F12"/>
    <w:rsid w:val="005B5F74"/>
    <w:rsid w:val="005B5FB9"/>
    <w:rsid w:val="005B64C4"/>
    <w:rsid w:val="005B65C6"/>
    <w:rsid w:val="005B680A"/>
    <w:rsid w:val="005B6AE8"/>
    <w:rsid w:val="005B6B69"/>
    <w:rsid w:val="005B6B8C"/>
    <w:rsid w:val="005B6BA5"/>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9C"/>
    <w:rsid w:val="005C0FF8"/>
    <w:rsid w:val="005C1239"/>
    <w:rsid w:val="005C1414"/>
    <w:rsid w:val="005C142A"/>
    <w:rsid w:val="005C160E"/>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15"/>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795"/>
    <w:rsid w:val="005C38A5"/>
    <w:rsid w:val="005C3C84"/>
    <w:rsid w:val="005C3C95"/>
    <w:rsid w:val="005C3DC1"/>
    <w:rsid w:val="005C3E5B"/>
    <w:rsid w:val="005C3F73"/>
    <w:rsid w:val="005C403D"/>
    <w:rsid w:val="005C4057"/>
    <w:rsid w:val="005C40B3"/>
    <w:rsid w:val="005C42BD"/>
    <w:rsid w:val="005C434B"/>
    <w:rsid w:val="005C43F0"/>
    <w:rsid w:val="005C454E"/>
    <w:rsid w:val="005C45DF"/>
    <w:rsid w:val="005C4B15"/>
    <w:rsid w:val="005C4B66"/>
    <w:rsid w:val="005C4CA5"/>
    <w:rsid w:val="005C4D04"/>
    <w:rsid w:val="005C503D"/>
    <w:rsid w:val="005C533A"/>
    <w:rsid w:val="005C56A8"/>
    <w:rsid w:val="005C56E7"/>
    <w:rsid w:val="005C5789"/>
    <w:rsid w:val="005C59F8"/>
    <w:rsid w:val="005C5B76"/>
    <w:rsid w:val="005C5B9E"/>
    <w:rsid w:val="005C5BA8"/>
    <w:rsid w:val="005C5D55"/>
    <w:rsid w:val="005C5F28"/>
    <w:rsid w:val="005C6011"/>
    <w:rsid w:val="005C6088"/>
    <w:rsid w:val="005C60FC"/>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CAB"/>
    <w:rsid w:val="005C6DF3"/>
    <w:rsid w:val="005C6E9A"/>
    <w:rsid w:val="005C6F9C"/>
    <w:rsid w:val="005C7025"/>
    <w:rsid w:val="005C7065"/>
    <w:rsid w:val="005C71A3"/>
    <w:rsid w:val="005C721F"/>
    <w:rsid w:val="005C7436"/>
    <w:rsid w:val="005C75B7"/>
    <w:rsid w:val="005C780C"/>
    <w:rsid w:val="005C78BE"/>
    <w:rsid w:val="005C7937"/>
    <w:rsid w:val="005C793F"/>
    <w:rsid w:val="005C79C7"/>
    <w:rsid w:val="005C7AB4"/>
    <w:rsid w:val="005C7D1C"/>
    <w:rsid w:val="005C7D84"/>
    <w:rsid w:val="005C7E9D"/>
    <w:rsid w:val="005D01FD"/>
    <w:rsid w:val="005D0289"/>
    <w:rsid w:val="005D0659"/>
    <w:rsid w:val="005D0683"/>
    <w:rsid w:val="005D07B3"/>
    <w:rsid w:val="005D0828"/>
    <w:rsid w:val="005D0985"/>
    <w:rsid w:val="005D0AA1"/>
    <w:rsid w:val="005D0B6C"/>
    <w:rsid w:val="005D0B73"/>
    <w:rsid w:val="005D0B99"/>
    <w:rsid w:val="005D0BDF"/>
    <w:rsid w:val="005D0C00"/>
    <w:rsid w:val="005D0C55"/>
    <w:rsid w:val="005D0DF7"/>
    <w:rsid w:val="005D0EFF"/>
    <w:rsid w:val="005D110C"/>
    <w:rsid w:val="005D1159"/>
    <w:rsid w:val="005D13FA"/>
    <w:rsid w:val="005D1595"/>
    <w:rsid w:val="005D1597"/>
    <w:rsid w:val="005D189B"/>
    <w:rsid w:val="005D19F3"/>
    <w:rsid w:val="005D1DBF"/>
    <w:rsid w:val="005D1EBE"/>
    <w:rsid w:val="005D1F53"/>
    <w:rsid w:val="005D21C7"/>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855"/>
    <w:rsid w:val="005D3BA8"/>
    <w:rsid w:val="005D3C00"/>
    <w:rsid w:val="005D3CA9"/>
    <w:rsid w:val="005D3CC9"/>
    <w:rsid w:val="005D3D10"/>
    <w:rsid w:val="005D3DB0"/>
    <w:rsid w:val="005D3F0A"/>
    <w:rsid w:val="005D3FD0"/>
    <w:rsid w:val="005D400A"/>
    <w:rsid w:val="005D4358"/>
    <w:rsid w:val="005D4359"/>
    <w:rsid w:val="005D43C8"/>
    <w:rsid w:val="005D45E4"/>
    <w:rsid w:val="005D4676"/>
    <w:rsid w:val="005D469A"/>
    <w:rsid w:val="005D49BA"/>
    <w:rsid w:val="005D49F2"/>
    <w:rsid w:val="005D4C81"/>
    <w:rsid w:val="005D4EAA"/>
    <w:rsid w:val="005D4EDF"/>
    <w:rsid w:val="005D4F64"/>
    <w:rsid w:val="005D4F83"/>
    <w:rsid w:val="005D4FD3"/>
    <w:rsid w:val="005D5350"/>
    <w:rsid w:val="005D54B1"/>
    <w:rsid w:val="005D54BD"/>
    <w:rsid w:val="005D55BE"/>
    <w:rsid w:val="005D5709"/>
    <w:rsid w:val="005D5774"/>
    <w:rsid w:val="005D578C"/>
    <w:rsid w:val="005D57C9"/>
    <w:rsid w:val="005D57E1"/>
    <w:rsid w:val="005D580D"/>
    <w:rsid w:val="005D589D"/>
    <w:rsid w:val="005D5CD9"/>
    <w:rsid w:val="005D5D50"/>
    <w:rsid w:val="005D5DC2"/>
    <w:rsid w:val="005D5E89"/>
    <w:rsid w:val="005D6053"/>
    <w:rsid w:val="005D6057"/>
    <w:rsid w:val="005D6131"/>
    <w:rsid w:val="005D620A"/>
    <w:rsid w:val="005D632B"/>
    <w:rsid w:val="005D65C4"/>
    <w:rsid w:val="005D6787"/>
    <w:rsid w:val="005D681D"/>
    <w:rsid w:val="005D6D17"/>
    <w:rsid w:val="005D6FA3"/>
    <w:rsid w:val="005D7012"/>
    <w:rsid w:val="005D7039"/>
    <w:rsid w:val="005D70FD"/>
    <w:rsid w:val="005D7177"/>
    <w:rsid w:val="005D717F"/>
    <w:rsid w:val="005D729D"/>
    <w:rsid w:val="005D72CE"/>
    <w:rsid w:val="005D730D"/>
    <w:rsid w:val="005D731D"/>
    <w:rsid w:val="005D7351"/>
    <w:rsid w:val="005D7502"/>
    <w:rsid w:val="005D7682"/>
    <w:rsid w:val="005D7686"/>
    <w:rsid w:val="005D7796"/>
    <w:rsid w:val="005D7A07"/>
    <w:rsid w:val="005D7A15"/>
    <w:rsid w:val="005D7A57"/>
    <w:rsid w:val="005D7BAB"/>
    <w:rsid w:val="005E020A"/>
    <w:rsid w:val="005E020B"/>
    <w:rsid w:val="005E03DB"/>
    <w:rsid w:val="005E080E"/>
    <w:rsid w:val="005E0926"/>
    <w:rsid w:val="005E099B"/>
    <w:rsid w:val="005E09D9"/>
    <w:rsid w:val="005E0A75"/>
    <w:rsid w:val="005E0A78"/>
    <w:rsid w:val="005E0B35"/>
    <w:rsid w:val="005E0B99"/>
    <w:rsid w:val="005E0D28"/>
    <w:rsid w:val="005E1198"/>
    <w:rsid w:val="005E1314"/>
    <w:rsid w:val="005E132C"/>
    <w:rsid w:val="005E1417"/>
    <w:rsid w:val="005E14EF"/>
    <w:rsid w:val="005E151E"/>
    <w:rsid w:val="005E1536"/>
    <w:rsid w:val="005E16C8"/>
    <w:rsid w:val="005E176B"/>
    <w:rsid w:val="005E17BD"/>
    <w:rsid w:val="005E19F7"/>
    <w:rsid w:val="005E1A3A"/>
    <w:rsid w:val="005E1D97"/>
    <w:rsid w:val="005E1E42"/>
    <w:rsid w:val="005E2155"/>
    <w:rsid w:val="005E2285"/>
    <w:rsid w:val="005E2376"/>
    <w:rsid w:val="005E2452"/>
    <w:rsid w:val="005E263C"/>
    <w:rsid w:val="005E27D8"/>
    <w:rsid w:val="005E2965"/>
    <w:rsid w:val="005E2C00"/>
    <w:rsid w:val="005E2C19"/>
    <w:rsid w:val="005E2E2E"/>
    <w:rsid w:val="005E2EAB"/>
    <w:rsid w:val="005E30CF"/>
    <w:rsid w:val="005E355A"/>
    <w:rsid w:val="005E390E"/>
    <w:rsid w:val="005E39DA"/>
    <w:rsid w:val="005E3A82"/>
    <w:rsid w:val="005E3E3E"/>
    <w:rsid w:val="005E3EF9"/>
    <w:rsid w:val="005E3F07"/>
    <w:rsid w:val="005E3F60"/>
    <w:rsid w:val="005E3FAD"/>
    <w:rsid w:val="005E4276"/>
    <w:rsid w:val="005E431F"/>
    <w:rsid w:val="005E437D"/>
    <w:rsid w:val="005E43C2"/>
    <w:rsid w:val="005E43FA"/>
    <w:rsid w:val="005E45CA"/>
    <w:rsid w:val="005E46B8"/>
    <w:rsid w:val="005E479A"/>
    <w:rsid w:val="005E47AD"/>
    <w:rsid w:val="005E47BB"/>
    <w:rsid w:val="005E48CA"/>
    <w:rsid w:val="005E4941"/>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670"/>
    <w:rsid w:val="005E67C8"/>
    <w:rsid w:val="005E6A34"/>
    <w:rsid w:val="005E6AC6"/>
    <w:rsid w:val="005E6AD7"/>
    <w:rsid w:val="005E6BEC"/>
    <w:rsid w:val="005E6DA5"/>
    <w:rsid w:val="005E6EA8"/>
    <w:rsid w:val="005E7175"/>
    <w:rsid w:val="005E732B"/>
    <w:rsid w:val="005E7352"/>
    <w:rsid w:val="005E7481"/>
    <w:rsid w:val="005E7710"/>
    <w:rsid w:val="005E77F9"/>
    <w:rsid w:val="005E789C"/>
    <w:rsid w:val="005E799F"/>
    <w:rsid w:val="005E7A4B"/>
    <w:rsid w:val="005E7BD4"/>
    <w:rsid w:val="005E7E03"/>
    <w:rsid w:val="005E7F44"/>
    <w:rsid w:val="005F00A5"/>
    <w:rsid w:val="005F00B1"/>
    <w:rsid w:val="005F02DC"/>
    <w:rsid w:val="005F0311"/>
    <w:rsid w:val="005F039F"/>
    <w:rsid w:val="005F049B"/>
    <w:rsid w:val="005F04DD"/>
    <w:rsid w:val="005F095D"/>
    <w:rsid w:val="005F0AFE"/>
    <w:rsid w:val="005F0B33"/>
    <w:rsid w:val="005F0C66"/>
    <w:rsid w:val="005F0CAF"/>
    <w:rsid w:val="005F0E2F"/>
    <w:rsid w:val="005F0E6D"/>
    <w:rsid w:val="005F0F1E"/>
    <w:rsid w:val="005F10E8"/>
    <w:rsid w:val="005F12EB"/>
    <w:rsid w:val="005F13D8"/>
    <w:rsid w:val="005F140C"/>
    <w:rsid w:val="005F1478"/>
    <w:rsid w:val="005F14B6"/>
    <w:rsid w:val="005F1566"/>
    <w:rsid w:val="005F1754"/>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0DC"/>
    <w:rsid w:val="005F3108"/>
    <w:rsid w:val="005F326C"/>
    <w:rsid w:val="005F32B6"/>
    <w:rsid w:val="005F32C4"/>
    <w:rsid w:val="005F35B7"/>
    <w:rsid w:val="005F39C8"/>
    <w:rsid w:val="005F3A1A"/>
    <w:rsid w:val="005F3ACB"/>
    <w:rsid w:val="005F3C33"/>
    <w:rsid w:val="005F3C59"/>
    <w:rsid w:val="005F3CC4"/>
    <w:rsid w:val="005F4125"/>
    <w:rsid w:val="005F419D"/>
    <w:rsid w:val="005F4235"/>
    <w:rsid w:val="005F4273"/>
    <w:rsid w:val="005F43DB"/>
    <w:rsid w:val="005F45CC"/>
    <w:rsid w:val="005F45D9"/>
    <w:rsid w:val="005F469F"/>
    <w:rsid w:val="005F47AF"/>
    <w:rsid w:val="005F488E"/>
    <w:rsid w:val="005F4969"/>
    <w:rsid w:val="005F4AF5"/>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8A"/>
    <w:rsid w:val="005F6BB4"/>
    <w:rsid w:val="005F6BE6"/>
    <w:rsid w:val="005F6C1C"/>
    <w:rsid w:val="005F70FC"/>
    <w:rsid w:val="005F7130"/>
    <w:rsid w:val="005F71F5"/>
    <w:rsid w:val="005F7ACD"/>
    <w:rsid w:val="005F7AF9"/>
    <w:rsid w:val="005F7C5A"/>
    <w:rsid w:val="005F7C93"/>
    <w:rsid w:val="005F7D11"/>
    <w:rsid w:val="005F7D36"/>
    <w:rsid w:val="005F7F43"/>
    <w:rsid w:val="00600074"/>
    <w:rsid w:val="00600304"/>
    <w:rsid w:val="006004B9"/>
    <w:rsid w:val="0060064B"/>
    <w:rsid w:val="0060064C"/>
    <w:rsid w:val="006007FE"/>
    <w:rsid w:val="006008D3"/>
    <w:rsid w:val="006008F5"/>
    <w:rsid w:val="0060097F"/>
    <w:rsid w:val="0060099F"/>
    <w:rsid w:val="00600A32"/>
    <w:rsid w:val="00600BE9"/>
    <w:rsid w:val="00600E0C"/>
    <w:rsid w:val="00600FE6"/>
    <w:rsid w:val="00601169"/>
    <w:rsid w:val="006011A8"/>
    <w:rsid w:val="0060155B"/>
    <w:rsid w:val="006015EF"/>
    <w:rsid w:val="0060162D"/>
    <w:rsid w:val="00601631"/>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4E"/>
    <w:rsid w:val="00602495"/>
    <w:rsid w:val="0060272E"/>
    <w:rsid w:val="0060274D"/>
    <w:rsid w:val="006028E2"/>
    <w:rsid w:val="00602CDA"/>
    <w:rsid w:val="0060306C"/>
    <w:rsid w:val="0060316B"/>
    <w:rsid w:val="00603517"/>
    <w:rsid w:val="006035C5"/>
    <w:rsid w:val="00603663"/>
    <w:rsid w:val="0060377F"/>
    <w:rsid w:val="006037BE"/>
    <w:rsid w:val="006037DA"/>
    <w:rsid w:val="006038FA"/>
    <w:rsid w:val="00603BEC"/>
    <w:rsid w:val="00603C4E"/>
    <w:rsid w:val="00603DB9"/>
    <w:rsid w:val="00603EAF"/>
    <w:rsid w:val="00603EBA"/>
    <w:rsid w:val="0060423D"/>
    <w:rsid w:val="006043EA"/>
    <w:rsid w:val="0060463D"/>
    <w:rsid w:val="0060466E"/>
    <w:rsid w:val="00604790"/>
    <w:rsid w:val="00604857"/>
    <w:rsid w:val="00604A06"/>
    <w:rsid w:val="00604AAB"/>
    <w:rsid w:val="00604F07"/>
    <w:rsid w:val="00604F97"/>
    <w:rsid w:val="0060534A"/>
    <w:rsid w:val="0060566F"/>
    <w:rsid w:val="00605903"/>
    <w:rsid w:val="006059CB"/>
    <w:rsid w:val="00605D6E"/>
    <w:rsid w:val="00605E61"/>
    <w:rsid w:val="00605F35"/>
    <w:rsid w:val="0060618C"/>
    <w:rsid w:val="0060625E"/>
    <w:rsid w:val="0060648C"/>
    <w:rsid w:val="0060661E"/>
    <w:rsid w:val="00606742"/>
    <w:rsid w:val="006067EF"/>
    <w:rsid w:val="006068E6"/>
    <w:rsid w:val="00606A12"/>
    <w:rsid w:val="00606C93"/>
    <w:rsid w:val="00606E5E"/>
    <w:rsid w:val="006070C2"/>
    <w:rsid w:val="0060719C"/>
    <w:rsid w:val="00607303"/>
    <w:rsid w:val="0060775A"/>
    <w:rsid w:val="00607829"/>
    <w:rsid w:val="006079AD"/>
    <w:rsid w:val="00607A92"/>
    <w:rsid w:val="00607A93"/>
    <w:rsid w:val="00607BA5"/>
    <w:rsid w:val="00607C68"/>
    <w:rsid w:val="00607CDC"/>
    <w:rsid w:val="006100CB"/>
    <w:rsid w:val="0061028C"/>
    <w:rsid w:val="0061036C"/>
    <w:rsid w:val="0061064C"/>
    <w:rsid w:val="0061081E"/>
    <w:rsid w:val="00610A9D"/>
    <w:rsid w:val="00610AA5"/>
    <w:rsid w:val="00610AC6"/>
    <w:rsid w:val="00610AF7"/>
    <w:rsid w:val="00610AFA"/>
    <w:rsid w:val="00610B8C"/>
    <w:rsid w:val="00610CF8"/>
    <w:rsid w:val="00610DA5"/>
    <w:rsid w:val="00610F2C"/>
    <w:rsid w:val="00611013"/>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4EF"/>
    <w:rsid w:val="00613601"/>
    <w:rsid w:val="006136EC"/>
    <w:rsid w:val="0061371C"/>
    <w:rsid w:val="00613737"/>
    <w:rsid w:val="00613798"/>
    <w:rsid w:val="00613803"/>
    <w:rsid w:val="00613831"/>
    <w:rsid w:val="00613889"/>
    <w:rsid w:val="00613C5B"/>
    <w:rsid w:val="00613CD7"/>
    <w:rsid w:val="00613E27"/>
    <w:rsid w:val="006141B1"/>
    <w:rsid w:val="00614308"/>
    <w:rsid w:val="00614351"/>
    <w:rsid w:val="006143D9"/>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DDF"/>
    <w:rsid w:val="00615FED"/>
    <w:rsid w:val="006161A1"/>
    <w:rsid w:val="0061640A"/>
    <w:rsid w:val="0061667B"/>
    <w:rsid w:val="006168B7"/>
    <w:rsid w:val="006168CD"/>
    <w:rsid w:val="00616971"/>
    <w:rsid w:val="00616B37"/>
    <w:rsid w:val="00616B65"/>
    <w:rsid w:val="00616BD4"/>
    <w:rsid w:val="00616C90"/>
    <w:rsid w:val="00616F0D"/>
    <w:rsid w:val="0061700E"/>
    <w:rsid w:val="006170C6"/>
    <w:rsid w:val="006170C8"/>
    <w:rsid w:val="006170EC"/>
    <w:rsid w:val="006170F2"/>
    <w:rsid w:val="0061734D"/>
    <w:rsid w:val="0061741B"/>
    <w:rsid w:val="00617622"/>
    <w:rsid w:val="0061776A"/>
    <w:rsid w:val="006178B4"/>
    <w:rsid w:val="00617A02"/>
    <w:rsid w:val="00617AEE"/>
    <w:rsid w:val="00617C63"/>
    <w:rsid w:val="00617CB4"/>
    <w:rsid w:val="00617E11"/>
    <w:rsid w:val="00617EEB"/>
    <w:rsid w:val="0062012A"/>
    <w:rsid w:val="00620391"/>
    <w:rsid w:val="006208A8"/>
    <w:rsid w:val="0062098E"/>
    <w:rsid w:val="0062099C"/>
    <w:rsid w:val="00620A59"/>
    <w:rsid w:val="00620B41"/>
    <w:rsid w:val="00620B84"/>
    <w:rsid w:val="00620DEE"/>
    <w:rsid w:val="00620EAC"/>
    <w:rsid w:val="00620ED0"/>
    <w:rsid w:val="00620FBF"/>
    <w:rsid w:val="00620FD2"/>
    <w:rsid w:val="00621025"/>
    <w:rsid w:val="00621053"/>
    <w:rsid w:val="006210B3"/>
    <w:rsid w:val="006211ED"/>
    <w:rsid w:val="00621451"/>
    <w:rsid w:val="00621492"/>
    <w:rsid w:val="00621507"/>
    <w:rsid w:val="00621723"/>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5A0"/>
    <w:rsid w:val="006235AB"/>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CB0"/>
    <w:rsid w:val="00624E91"/>
    <w:rsid w:val="0062514C"/>
    <w:rsid w:val="006254A7"/>
    <w:rsid w:val="006254E0"/>
    <w:rsid w:val="00625510"/>
    <w:rsid w:val="006257A7"/>
    <w:rsid w:val="0062591F"/>
    <w:rsid w:val="006259E3"/>
    <w:rsid w:val="00625AFD"/>
    <w:rsid w:val="00625C26"/>
    <w:rsid w:val="00625E84"/>
    <w:rsid w:val="00625FAE"/>
    <w:rsid w:val="0062603C"/>
    <w:rsid w:val="0062605A"/>
    <w:rsid w:val="00626286"/>
    <w:rsid w:val="006263F6"/>
    <w:rsid w:val="006265D6"/>
    <w:rsid w:val="0062660C"/>
    <w:rsid w:val="00626784"/>
    <w:rsid w:val="0062681B"/>
    <w:rsid w:val="006268A8"/>
    <w:rsid w:val="00626AA3"/>
    <w:rsid w:val="00626C14"/>
    <w:rsid w:val="00626EB2"/>
    <w:rsid w:val="006270E7"/>
    <w:rsid w:val="0062710E"/>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5E"/>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0CB"/>
    <w:rsid w:val="00632155"/>
    <w:rsid w:val="006323C7"/>
    <w:rsid w:val="0063243E"/>
    <w:rsid w:val="006324CD"/>
    <w:rsid w:val="006324DE"/>
    <w:rsid w:val="00632642"/>
    <w:rsid w:val="006327B6"/>
    <w:rsid w:val="0063296C"/>
    <w:rsid w:val="0063299F"/>
    <w:rsid w:val="00632A99"/>
    <w:rsid w:val="00632AC8"/>
    <w:rsid w:val="00632B39"/>
    <w:rsid w:val="00632BFD"/>
    <w:rsid w:val="00632CD2"/>
    <w:rsid w:val="00632E23"/>
    <w:rsid w:val="00632FEF"/>
    <w:rsid w:val="00633049"/>
    <w:rsid w:val="00633057"/>
    <w:rsid w:val="0063309E"/>
    <w:rsid w:val="006330EF"/>
    <w:rsid w:val="00633200"/>
    <w:rsid w:val="00633314"/>
    <w:rsid w:val="006333E9"/>
    <w:rsid w:val="006334C4"/>
    <w:rsid w:val="0063366C"/>
    <w:rsid w:val="006336B6"/>
    <w:rsid w:val="006337F8"/>
    <w:rsid w:val="00633868"/>
    <w:rsid w:val="006339A4"/>
    <w:rsid w:val="006339E7"/>
    <w:rsid w:val="00633B61"/>
    <w:rsid w:val="00633D70"/>
    <w:rsid w:val="00633DFD"/>
    <w:rsid w:val="00633F69"/>
    <w:rsid w:val="006340D6"/>
    <w:rsid w:val="0063422F"/>
    <w:rsid w:val="00634454"/>
    <w:rsid w:val="006346FE"/>
    <w:rsid w:val="006347B3"/>
    <w:rsid w:val="006347C9"/>
    <w:rsid w:val="00634807"/>
    <w:rsid w:val="00634A9F"/>
    <w:rsid w:val="00634D43"/>
    <w:rsid w:val="00634E8D"/>
    <w:rsid w:val="00635063"/>
    <w:rsid w:val="006350E4"/>
    <w:rsid w:val="006350EC"/>
    <w:rsid w:val="0063517B"/>
    <w:rsid w:val="006352DE"/>
    <w:rsid w:val="006353F8"/>
    <w:rsid w:val="00635757"/>
    <w:rsid w:val="006357E6"/>
    <w:rsid w:val="00635931"/>
    <w:rsid w:val="006359A6"/>
    <w:rsid w:val="00635A3F"/>
    <w:rsid w:val="00635B62"/>
    <w:rsid w:val="00635BED"/>
    <w:rsid w:val="00635BF8"/>
    <w:rsid w:val="00635D9A"/>
    <w:rsid w:val="00635E97"/>
    <w:rsid w:val="00635EAF"/>
    <w:rsid w:val="00636063"/>
    <w:rsid w:val="00636347"/>
    <w:rsid w:val="0063636A"/>
    <w:rsid w:val="00636484"/>
    <w:rsid w:val="00636725"/>
    <w:rsid w:val="00636979"/>
    <w:rsid w:val="006369D5"/>
    <w:rsid w:val="00636A8F"/>
    <w:rsid w:val="00636DC4"/>
    <w:rsid w:val="00636E15"/>
    <w:rsid w:val="00636EE8"/>
    <w:rsid w:val="0063701E"/>
    <w:rsid w:val="0063702F"/>
    <w:rsid w:val="006371DA"/>
    <w:rsid w:val="00637268"/>
    <w:rsid w:val="00637534"/>
    <w:rsid w:val="00637764"/>
    <w:rsid w:val="00637D71"/>
    <w:rsid w:val="00637DF3"/>
    <w:rsid w:val="00637EE4"/>
    <w:rsid w:val="00637F20"/>
    <w:rsid w:val="006401FA"/>
    <w:rsid w:val="00640379"/>
    <w:rsid w:val="006403AE"/>
    <w:rsid w:val="0064063E"/>
    <w:rsid w:val="00640666"/>
    <w:rsid w:val="006407E5"/>
    <w:rsid w:val="006408A2"/>
    <w:rsid w:val="00640B31"/>
    <w:rsid w:val="00640BC7"/>
    <w:rsid w:val="00640C53"/>
    <w:rsid w:val="00640D94"/>
    <w:rsid w:val="00640DB3"/>
    <w:rsid w:val="00640DF6"/>
    <w:rsid w:val="006410E7"/>
    <w:rsid w:val="00641106"/>
    <w:rsid w:val="006414E2"/>
    <w:rsid w:val="006415E4"/>
    <w:rsid w:val="0064179A"/>
    <w:rsid w:val="006418DB"/>
    <w:rsid w:val="00641C55"/>
    <w:rsid w:val="00641D2F"/>
    <w:rsid w:val="00641DA9"/>
    <w:rsid w:val="00641E2F"/>
    <w:rsid w:val="00641E3D"/>
    <w:rsid w:val="00641F4E"/>
    <w:rsid w:val="00642074"/>
    <w:rsid w:val="006420AD"/>
    <w:rsid w:val="0064218C"/>
    <w:rsid w:val="00642319"/>
    <w:rsid w:val="00642438"/>
    <w:rsid w:val="00642582"/>
    <w:rsid w:val="0064265A"/>
    <w:rsid w:val="006427F6"/>
    <w:rsid w:val="006428CD"/>
    <w:rsid w:val="006429FE"/>
    <w:rsid w:val="00642AF0"/>
    <w:rsid w:val="00642CD0"/>
    <w:rsid w:val="00642DCA"/>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3F48"/>
    <w:rsid w:val="00643FAA"/>
    <w:rsid w:val="0064416D"/>
    <w:rsid w:val="0064431A"/>
    <w:rsid w:val="006443E5"/>
    <w:rsid w:val="00644480"/>
    <w:rsid w:val="00644612"/>
    <w:rsid w:val="006449B9"/>
    <w:rsid w:val="00644AAE"/>
    <w:rsid w:val="00644AD1"/>
    <w:rsid w:val="00644E65"/>
    <w:rsid w:val="00644F72"/>
    <w:rsid w:val="006450D1"/>
    <w:rsid w:val="00645124"/>
    <w:rsid w:val="00645257"/>
    <w:rsid w:val="00645479"/>
    <w:rsid w:val="006456F2"/>
    <w:rsid w:val="0064575C"/>
    <w:rsid w:val="0064585B"/>
    <w:rsid w:val="0064585F"/>
    <w:rsid w:val="00645998"/>
    <w:rsid w:val="006459F6"/>
    <w:rsid w:val="00645B29"/>
    <w:rsid w:val="00645BA2"/>
    <w:rsid w:val="00645D32"/>
    <w:rsid w:val="00645E8B"/>
    <w:rsid w:val="00645F8D"/>
    <w:rsid w:val="00646025"/>
    <w:rsid w:val="0064606B"/>
    <w:rsid w:val="00646204"/>
    <w:rsid w:val="006462E7"/>
    <w:rsid w:val="00646424"/>
    <w:rsid w:val="0064655B"/>
    <w:rsid w:val="0064668F"/>
    <w:rsid w:val="006466A1"/>
    <w:rsid w:val="00646726"/>
    <w:rsid w:val="006467BE"/>
    <w:rsid w:val="00646BA1"/>
    <w:rsid w:val="00646EF5"/>
    <w:rsid w:val="00646F7C"/>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31F"/>
    <w:rsid w:val="00650538"/>
    <w:rsid w:val="006505EE"/>
    <w:rsid w:val="0065064E"/>
    <w:rsid w:val="00650849"/>
    <w:rsid w:val="00650969"/>
    <w:rsid w:val="00650A57"/>
    <w:rsid w:val="00650BB9"/>
    <w:rsid w:val="00650BE6"/>
    <w:rsid w:val="00650D25"/>
    <w:rsid w:val="00650E81"/>
    <w:rsid w:val="00650ED5"/>
    <w:rsid w:val="00650FCD"/>
    <w:rsid w:val="00651548"/>
    <w:rsid w:val="006515C2"/>
    <w:rsid w:val="006516BD"/>
    <w:rsid w:val="00651759"/>
    <w:rsid w:val="006517A2"/>
    <w:rsid w:val="00651821"/>
    <w:rsid w:val="00651A00"/>
    <w:rsid w:val="00651C37"/>
    <w:rsid w:val="00651CC9"/>
    <w:rsid w:val="00651E3E"/>
    <w:rsid w:val="00651F43"/>
    <w:rsid w:val="0065202A"/>
    <w:rsid w:val="006520AF"/>
    <w:rsid w:val="006521AE"/>
    <w:rsid w:val="00652364"/>
    <w:rsid w:val="00652B1E"/>
    <w:rsid w:val="00652C97"/>
    <w:rsid w:val="00652CAA"/>
    <w:rsid w:val="00652E2D"/>
    <w:rsid w:val="00652E8B"/>
    <w:rsid w:val="00653105"/>
    <w:rsid w:val="00653132"/>
    <w:rsid w:val="006532D7"/>
    <w:rsid w:val="00653302"/>
    <w:rsid w:val="0065343D"/>
    <w:rsid w:val="00653493"/>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6A"/>
    <w:rsid w:val="00654DF2"/>
    <w:rsid w:val="00654DFF"/>
    <w:rsid w:val="00654E28"/>
    <w:rsid w:val="00654FB5"/>
    <w:rsid w:val="00655177"/>
    <w:rsid w:val="00655216"/>
    <w:rsid w:val="0065531D"/>
    <w:rsid w:val="00655396"/>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0E"/>
    <w:rsid w:val="00657771"/>
    <w:rsid w:val="00657891"/>
    <w:rsid w:val="00657921"/>
    <w:rsid w:val="0065795B"/>
    <w:rsid w:val="00657A1A"/>
    <w:rsid w:val="00657A1E"/>
    <w:rsid w:val="00657C4A"/>
    <w:rsid w:val="00657C7C"/>
    <w:rsid w:val="00657D1D"/>
    <w:rsid w:val="00657F3F"/>
    <w:rsid w:val="00657F6C"/>
    <w:rsid w:val="0066005A"/>
    <w:rsid w:val="006600CB"/>
    <w:rsid w:val="006600CC"/>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2C1"/>
    <w:rsid w:val="0066132A"/>
    <w:rsid w:val="0066145F"/>
    <w:rsid w:val="006616C8"/>
    <w:rsid w:val="006618EB"/>
    <w:rsid w:val="00661BE6"/>
    <w:rsid w:val="00661C92"/>
    <w:rsid w:val="00661E9B"/>
    <w:rsid w:val="00662103"/>
    <w:rsid w:val="0066215F"/>
    <w:rsid w:val="006622E2"/>
    <w:rsid w:val="006623C3"/>
    <w:rsid w:val="006623DF"/>
    <w:rsid w:val="006625E9"/>
    <w:rsid w:val="0066265D"/>
    <w:rsid w:val="00662AB5"/>
    <w:rsid w:val="00662DB0"/>
    <w:rsid w:val="00662F50"/>
    <w:rsid w:val="006630C6"/>
    <w:rsid w:val="0066311E"/>
    <w:rsid w:val="00663230"/>
    <w:rsid w:val="006632AC"/>
    <w:rsid w:val="00663342"/>
    <w:rsid w:val="0066335C"/>
    <w:rsid w:val="006633DB"/>
    <w:rsid w:val="00663681"/>
    <w:rsid w:val="0066384D"/>
    <w:rsid w:val="006638C7"/>
    <w:rsid w:val="006638E5"/>
    <w:rsid w:val="00663A73"/>
    <w:rsid w:val="00663A9F"/>
    <w:rsid w:val="00663C91"/>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0A3"/>
    <w:rsid w:val="00665219"/>
    <w:rsid w:val="0066521D"/>
    <w:rsid w:val="00665234"/>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C29"/>
    <w:rsid w:val="00667D71"/>
    <w:rsid w:val="00667E81"/>
    <w:rsid w:val="00667F3A"/>
    <w:rsid w:val="00667FF5"/>
    <w:rsid w:val="00670015"/>
    <w:rsid w:val="006700A2"/>
    <w:rsid w:val="00670391"/>
    <w:rsid w:val="006704C4"/>
    <w:rsid w:val="006705EE"/>
    <w:rsid w:val="00670641"/>
    <w:rsid w:val="00670766"/>
    <w:rsid w:val="0067077B"/>
    <w:rsid w:val="00670783"/>
    <w:rsid w:val="00670798"/>
    <w:rsid w:val="00670944"/>
    <w:rsid w:val="0067098A"/>
    <w:rsid w:val="006709F6"/>
    <w:rsid w:val="00670ACD"/>
    <w:rsid w:val="00670F03"/>
    <w:rsid w:val="006710E1"/>
    <w:rsid w:val="006710E3"/>
    <w:rsid w:val="006710F0"/>
    <w:rsid w:val="00671255"/>
    <w:rsid w:val="0067131A"/>
    <w:rsid w:val="00671621"/>
    <w:rsid w:val="0067181F"/>
    <w:rsid w:val="0067197B"/>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39"/>
    <w:rsid w:val="00674E50"/>
    <w:rsid w:val="00674E8F"/>
    <w:rsid w:val="00674F23"/>
    <w:rsid w:val="00675156"/>
    <w:rsid w:val="00675192"/>
    <w:rsid w:val="00675268"/>
    <w:rsid w:val="006753A6"/>
    <w:rsid w:val="00675480"/>
    <w:rsid w:val="006754C9"/>
    <w:rsid w:val="00675663"/>
    <w:rsid w:val="00675956"/>
    <w:rsid w:val="00675A12"/>
    <w:rsid w:val="00675B9F"/>
    <w:rsid w:val="00675C4C"/>
    <w:rsid w:val="00675C66"/>
    <w:rsid w:val="00675DCF"/>
    <w:rsid w:val="006760E1"/>
    <w:rsid w:val="006760FA"/>
    <w:rsid w:val="0067615B"/>
    <w:rsid w:val="006761CB"/>
    <w:rsid w:val="0067623C"/>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CEF"/>
    <w:rsid w:val="00677DF6"/>
    <w:rsid w:val="00677FE6"/>
    <w:rsid w:val="006800F0"/>
    <w:rsid w:val="00680253"/>
    <w:rsid w:val="0068026D"/>
    <w:rsid w:val="00680281"/>
    <w:rsid w:val="00680318"/>
    <w:rsid w:val="00680460"/>
    <w:rsid w:val="00680915"/>
    <w:rsid w:val="00680987"/>
    <w:rsid w:val="00680B18"/>
    <w:rsid w:val="00680D0B"/>
    <w:rsid w:val="00680D41"/>
    <w:rsid w:val="00680DA6"/>
    <w:rsid w:val="00681017"/>
    <w:rsid w:val="00681290"/>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2D"/>
    <w:rsid w:val="00682837"/>
    <w:rsid w:val="00682B5D"/>
    <w:rsid w:val="00682B9C"/>
    <w:rsid w:val="00682BB4"/>
    <w:rsid w:val="00682C75"/>
    <w:rsid w:val="00682E26"/>
    <w:rsid w:val="00682E74"/>
    <w:rsid w:val="00682E8B"/>
    <w:rsid w:val="00682EE6"/>
    <w:rsid w:val="00683006"/>
    <w:rsid w:val="00683045"/>
    <w:rsid w:val="0068325A"/>
    <w:rsid w:val="006837D9"/>
    <w:rsid w:val="006839ED"/>
    <w:rsid w:val="00683F38"/>
    <w:rsid w:val="0068407A"/>
    <w:rsid w:val="00684136"/>
    <w:rsid w:val="0068413F"/>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0C7"/>
    <w:rsid w:val="00685166"/>
    <w:rsid w:val="00685174"/>
    <w:rsid w:val="006851B1"/>
    <w:rsid w:val="006851DD"/>
    <w:rsid w:val="00685257"/>
    <w:rsid w:val="006853C1"/>
    <w:rsid w:val="00685539"/>
    <w:rsid w:val="006855A9"/>
    <w:rsid w:val="006857E9"/>
    <w:rsid w:val="006859E0"/>
    <w:rsid w:val="00685DA8"/>
    <w:rsid w:val="00686008"/>
    <w:rsid w:val="00686169"/>
    <w:rsid w:val="0068616E"/>
    <w:rsid w:val="006861BA"/>
    <w:rsid w:val="006861BD"/>
    <w:rsid w:val="00686200"/>
    <w:rsid w:val="00686215"/>
    <w:rsid w:val="00686405"/>
    <w:rsid w:val="00686469"/>
    <w:rsid w:val="006866D8"/>
    <w:rsid w:val="00686728"/>
    <w:rsid w:val="0068680C"/>
    <w:rsid w:val="00686CB8"/>
    <w:rsid w:val="00686CE6"/>
    <w:rsid w:val="00686E70"/>
    <w:rsid w:val="00686EFE"/>
    <w:rsid w:val="00687199"/>
    <w:rsid w:val="006872EC"/>
    <w:rsid w:val="006873FB"/>
    <w:rsid w:val="00687474"/>
    <w:rsid w:val="006875AF"/>
    <w:rsid w:val="00687694"/>
    <w:rsid w:val="00687942"/>
    <w:rsid w:val="006879D1"/>
    <w:rsid w:val="00687C70"/>
    <w:rsid w:val="00687ECD"/>
    <w:rsid w:val="00687FE6"/>
    <w:rsid w:val="00690298"/>
    <w:rsid w:val="006903E9"/>
    <w:rsid w:val="00690634"/>
    <w:rsid w:val="00690862"/>
    <w:rsid w:val="00690987"/>
    <w:rsid w:val="00690A27"/>
    <w:rsid w:val="00690B07"/>
    <w:rsid w:val="00690BF3"/>
    <w:rsid w:val="00690F18"/>
    <w:rsid w:val="00691133"/>
    <w:rsid w:val="006911E6"/>
    <w:rsid w:val="00691211"/>
    <w:rsid w:val="0069124B"/>
    <w:rsid w:val="006914A7"/>
    <w:rsid w:val="00691565"/>
    <w:rsid w:val="006915B1"/>
    <w:rsid w:val="006916E4"/>
    <w:rsid w:val="006919AC"/>
    <w:rsid w:val="006919FC"/>
    <w:rsid w:val="00691A00"/>
    <w:rsid w:val="00691A09"/>
    <w:rsid w:val="00691A56"/>
    <w:rsid w:val="00691B14"/>
    <w:rsid w:val="00691BE5"/>
    <w:rsid w:val="00691C78"/>
    <w:rsid w:val="00691CB0"/>
    <w:rsid w:val="00691D76"/>
    <w:rsid w:val="00691E51"/>
    <w:rsid w:val="00692009"/>
    <w:rsid w:val="0069211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02D"/>
    <w:rsid w:val="00693104"/>
    <w:rsid w:val="006931C9"/>
    <w:rsid w:val="0069322D"/>
    <w:rsid w:val="00693293"/>
    <w:rsid w:val="006932F1"/>
    <w:rsid w:val="0069335B"/>
    <w:rsid w:val="0069343E"/>
    <w:rsid w:val="00693443"/>
    <w:rsid w:val="0069344A"/>
    <w:rsid w:val="006934BD"/>
    <w:rsid w:val="006934F5"/>
    <w:rsid w:val="006937B8"/>
    <w:rsid w:val="0069390E"/>
    <w:rsid w:val="00693BA5"/>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59E"/>
    <w:rsid w:val="006956BE"/>
    <w:rsid w:val="006956D0"/>
    <w:rsid w:val="00695732"/>
    <w:rsid w:val="006958CE"/>
    <w:rsid w:val="006959C1"/>
    <w:rsid w:val="00695BE7"/>
    <w:rsid w:val="00695CBD"/>
    <w:rsid w:val="00695D28"/>
    <w:rsid w:val="00695F37"/>
    <w:rsid w:val="0069606E"/>
    <w:rsid w:val="006964DF"/>
    <w:rsid w:val="00696503"/>
    <w:rsid w:val="00696730"/>
    <w:rsid w:val="00696735"/>
    <w:rsid w:val="0069675E"/>
    <w:rsid w:val="006967DC"/>
    <w:rsid w:val="0069681D"/>
    <w:rsid w:val="00696828"/>
    <w:rsid w:val="00696997"/>
    <w:rsid w:val="00696D96"/>
    <w:rsid w:val="00696ECB"/>
    <w:rsid w:val="00696F6C"/>
    <w:rsid w:val="00696F75"/>
    <w:rsid w:val="00697178"/>
    <w:rsid w:val="00697226"/>
    <w:rsid w:val="0069722C"/>
    <w:rsid w:val="0069731A"/>
    <w:rsid w:val="0069740D"/>
    <w:rsid w:val="0069748D"/>
    <w:rsid w:val="006975B6"/>
    <w:rsid w:val="00697A70"/>
    <w:rsid w:val="00697C86"/>
    <w:rsid w:val="00697CD6"/>
    <w:rsid w:val="00697E8E"/>
    <w:rsid w:val="006A01EE"/>
    <w:rsid w:val="006A0679"/>
    <w:rsid w:val="006A072C"/>
    <w:rsid w:val="006A08FE"/>
    <w:rsid w:val="006A09CC"/>
    <w:rsid w:val="006A0A30"/>
    <w:rsid w:val="006A0C3B"/>
    <w:rsid w:val="006A0C89"/>
    <w:rsid w:val="006A0DF3"/>
    <w:rsid w:val="006A0E35"/>
    <w:rsid w:val="006A0FFF"/>
    <w:rsid w:val="006A105A"/>
    <w:rsid w:val="006A105E"/>
    <w:rsid w:val="006A1219"/>
    <w:rsid w:val="006A134F"/>
    <w:rsid w:val="006A165A"/>
    <w:rsid w:val="006A173F"/>
    <w:rsid w:val="006A1759"/>
    <w:rsid w:val="006A17DC"/>
    <w:rsid w:val="006A1921"/>
    <w:rsid w:val="006A1968"/>
    <w:rsid w:val="006A1E74"/>
    <w:rsid w:val="006A1E87"/>
    <w:rsid w:val="006A1EDA"/>
    <w:rsid w:val="006A1EF1"/>
    <w:rsid w:val="006A1FE2"/>
    <w:rsid w:val="006A2301"/>
    <w:rsid w:val="006A2423"/>
    <w:rsid w:val="006A24AE"/>
    <w:rsid w:val="006A24BF"/>
    <w:rsid w:val="006A2543"/>
    <w:rsid w:val="006A2780"/>
    <w:rsid w:val="006A29DE"/>
    <w:rsid w:val="006A2C25"/>
    <w:rsid w:val="006A2C3C"/>
    <w:rsid w:val="006A2CFB"/>
    <w:rsid w:val="006A2D44"/>
    <w:rsid w:val="006A2EA8"/>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54E"/>
    <w:rsid w:val="006A469C"/>
    <w:rsid w:val="006A4816"/>
    <w:rsid w:val="006A4987"/>
    <w:rsid w:val="006A4AD7"/>
    <w:rsid w:val="006A4C0C"/>
    <w:rsid w:val="006A4D55"/>
    <w:rsid w:val="006A4EC1"/>
    <w:rsid w:val="006A4F5D"/>
    <w:rsid w:val="006A525A"/>
    <w:rsid w:val="006A5448"/>
    <w:rsid w:val="006A5519"/>
    <w:rsid w:val="006A5667"/>
    <w:rsid w:val="006A580A"/>
    <w:rsid w:val="006A5883"/>
    <w:rsid w:val="006A58E6"/>
    <w:rsid w:val="006A5904"/>
    <w:rsid w:val="006A5AA4"/>
    <w:rsid w:val="006A5B49"/>
    <w:rsid w:val="006A5C20"/>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1E"/>
    <w:rsid w:val="006A7033"/>
    <w:rsid w:val="006A7038"/>
    <w:rsid w:val="006A70AB"/>
    <w:rsid w:val="006A7244"/>
    <w:rsid w:val="006A726E"/>
    <w:rsid w:val="006A7454"/>
    <w:rsid w:val="006A74E4"/>
    <w:rsid w:val="006A76CB"/>
    <w:rsid w:val="006A7952"/>
    <w:rsid w:val="006A79C4"/>
    <w:rsid w:val="006A7B33"/>
    <w:rsid w:val="006A7C10"/>
    <w:rsid w:val="006A7C7F"/>
    <w:rsid w:val="006A7D26"/>
    <w:rsid w:val="006A7DA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0FAA"/>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93E"/>
    <w:rsid w:val="006B2A2C"/>
    <w:rsid w:val="006B2A37"/>
    <w:rsid w:val="006B2D76"/>
    <w:rsid w:val="006B2FE9"/>
    <w:rsid w:val="006B2FEB"/>
    <w:rsid w:val="006B2FEC"/>
    <w:rsid w:val="006B2FEF"/>
    <w:rsid w:val="006B3114"/>
    <w:rsid w:val="006B31D7"/>
    <w:rsid w:val="006B327D"/>
    <w:rsid w:val="006B344E"/>
    <w:rsid w:val="006B37E8"/>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3D"/>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9B7"/>
    <w:rsid w:val="006B7BE3"/>
    <w:rsid w:val="006B7C0D"/>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259"/>
    <w:rsid w:val="006C13C7"/>
    <w:rsid w:val="006C14DD"/>
    <w:rsid w:val="006C1527"/>
    <w:rsid w:val="006C15DF"/>
    <w:rsid w:val="006C160C"/>
    <w:rsid w:val="006C17A5"/>
    <w:rsid w:val="006C18DF"/>
    <w:rsid w:val="006C19DA"/>
    <w:rsid w:val="006C19F4"/>
    <w:rsid w:val="006C1B9B"/>
    <w:rsid w:val="006C1F09"/>
    <w:rsid w:val="006C2003"/>
    <w:rsid w:val="006C2036"/>
    <w:rsid w:val="006C2193"/>
    <w:rsid w:val="006C23BB"/>
    <w:rsid w:val="006C2408"/>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C22"/>
    <w:rsid w:val="006C3D84"/>
    <w:rsid w:val="006C3DE3"/>
    <w:rsid w:val="006C40A9"/>
    <w:rsid w:val="006C40E0"/>
    <w:rsid w:val="006C40EE"/>
    <w:rsid w:val="006C4123"/>
    <w:rsid w:val="006C4419"/>
    <w:rsid w:val="006C4435"/>
    <w:rsid w:val="006C45A5"/>
    <w:rsid w:val="006C45E9"/>
    <w:rsid w:val="006C4737"/>
    <w:rsid w:val="006C4812"/>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5E7E"/>
    <w:rsid w:val="006C6109"/>
    <w:rsid w:val="006C633B"/>
    <w:rsid w:val="006C6346"/>
    <w:rsid w:val="006C65C0"/>
    <w:rsid w:val="006C6611"/>
    <w:rsid w:val="006C681F"/>
    <w:rsid w:val="006C68E5"/>
    <w:rsid w:val="006C6AD2"/>
    <w:rsid w:val="006C6BD7"/>
    <w:rsid w:val="006C6BE1"/>
    <w:rsid w:val="006C70CA"/>
    <w:rsid w:val="006C70E5"/>
    <w:rsid w:val="006C717A"/>
    <w:rsid w:val="006C71BC"/>
    <w:rsid w:val="006C71F7"/>
    <w:rsid w:val="006C7249"/>
    <w:rsid w:val="006C737C"/>
    <w:rsid w:val="006C74EA"/>
    <w:rsid w:val="006C755D"/>
    <w:rsid w:val="006C7601"/>
    <w:rsid w:val="006C763E"/>
    <w:rsid w:val="006C76C1"/>
    <w:rsid w:val="006C76D7"/>
    <w:rsid w:val="006C7944"/>
    <w:rsid w:val="006C796F"/>
    <w:rsid w:val="006C79AC"/>
    <w:rsid w:val="006C7A1E"/>
    <w:rsid w:val="006C7D7E"/>
    <w:rsid w:val="006C7F22"/>
    <w:rsid w:val="006C7F66"/>
    <w:rsid w:val="006D005E"/>
    <w:rsid w:val="006D011C"/>
    <w:rsid w:val="006D01CF"/>
    <w:rsid w:val="006D025A"/>
    <w:rsid w:val="006D0267"/>
    <w:rsid w:val="006D03CD"/>
    <w:rsid w:val="006D0571"/>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4E8"/>
    <w:rsid w:val="006D25DF"/>
    <w:rsid w:val="006D261D"/>
    <w:rsid w:val="006D2765"/>
    <w:rsid w:val="006D27AE"/>
    <w:rsid w:val="006D2814"/>
    <w:rsid w:val="006D2982"/>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AD3"/>
    <w:rsid w:val="006D3B69"/>
    <w:rsid w:val="006D3D1A"/>
    <w:rsid w:val="006D40C2"/>
    <w:rsid w:val="006D40E5"/>
    <w:rsid w:val="006D40F3"/>
    <w:rsid w:val="006D4133"/>
    <w:rsid w:val="006D41C5"/>
    <w:rsid w:val="006D426F"/>
    <w:rsid w:val="006D47C0"/>
    <w:rsid w:val="006D47E5"/>
    <w:rsid w:val="006D487F"/>
    <w:rsid w:val="006D4937"/>
    <w:rsid w:val="006D4C96"/>
    <w:rsid w:val="006D4D98"/>
    <w:rsid w:val="006D4E1B"/>
    <w:rsid w:val="006D4FD3"/>
    <w:rsid w:val="006D4FD7"/>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6F2"/>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DF8"/>
    <w:rsid w:val="006E1E61"/>
    <w:rsid w:val="006E2117"/>
    <w:rsid w:val="006E22C7"/>
    <w:rsid w:val="006E27A0"/>
    <w:rsid w:val="006E28D5"/>
    <w:rsid w:val="006E2A9A"/>
    <w:rsid w:val="006E2C44"/>
    <w:rsid w:val="006E2DEC"/>
    <w:rsid w:val="006E2E3C"/>
    <w:rsid w:val="006E2F89"/>
    <w:rsid w:val="006E2FAC"/>
    <w:rsid w:val="006E31C5"/>
    <w:rsid w:val="006E3359"/>
    <w:rsid w:val="006E376C"/>
    <w:rsid w:val="006E39C1"/>
    <w:rsid w:val="006E3C05"/>
    <w:rsid w:val="006E3D51"/>
    <w:rsid w:val="006E3FE9"/>
    <w:rsid w:val="006E4326"/>
    <w:rsid w:val="006E4567"/>
    <w:rsid w:val="006E4600"/>
    <w:rsid w:val="006E46EF"/>
    <w:rsid w:val="006E4A5A"/>
    <w:rsid w:val="006E4B70"/>
    <w:rsid w:val="006E4B80"/>
    <w:rsid w:val="006E4BDC"/>
    <w:rsid w:val="006E4F66"/>
    <w:rsid w:val="006E506B"/>
    <w:rsid w:val="006E511B"/>
    <w:rsid w:val="006E5194"/>
    <w:rsid w:val="006E5258"/>
    <w:rsid w:val="006E531A"/>
    <w:rsid w:val="006E532B"/>
    <w:rsid w:val="006E5352"/>
    <w:rsid w:val="006E54D0"/>
    <w:rsid w:val="006E553E"/>
    <w:rsid w:val="006E5659"/>
    <w:rsid w:val="006E5849"/>
    <w:rsid w:val="006E5852"/>
    <w:rsid w:val="006E58BB"/>
    <w:rsid w:val="006E59C7"/>
    <w:rsid w:val="006E5A46"/>
    <w:rsid w:val="006E5AAD"/>
    <w:rsid w:val="006E5C34"/>
    <w:rsid w:val="006E5CD7"/>
    <w:rsid w:val="006E5CF2"/>
    <w:rsid w:val="006E5E70"/>
    <w:rsid w:val="006E5F32"/>
    <w:rsid w:val="006E5F58"/>
    <w:rsid w:val="006E63B1"/>
    <w:rsid w:val="006E647C"/>
    <w:rsid w:val="006E67D8"/>
    <w:rsid w:val="006E67FC"/>
    <w:rsid w:val="006E688C"/>
    <w:rsid w:val="006E68AD"/>
    <w:rsid w:val="006E6A6E"/>
    <w:rsid w:val="006E6D01"/>
    <w:rsid w:val="006E6D8F"/>
    <w:rsid w:val="006E6E1E"/>
    <w:rsid w:val="006E6E35"/>
    <w:rsid w:val="006E6F35"/>
    <w:rsid w:val="006E753A"/>
    <w:rsid w:val="006E75BC"/>
    <w:rsid w:val="006E764D"/>
    <w:rsid w:val="006E79A7"/>
    <w:rsid w:val="006E7A17"/>
    <w:rsid w:val="006E7C13"/>
    <w:rsid w:val="006E7E20"/>
    <w:rsid w:val="006E7F49"/>
    <w:rsid w:val="006F01F1"/>
    <w:rsid w:val="006F02D7"/>
    <w:rsid w:val="006F03E9"/>
    <w:rsid w:val="006F0524"/>
    <w:rsid w:val="006F08CF"/>
    <w:rsid w:val="006F0B59"/>
    <w:rsid w:val="006F0C61"/>
    <w:rsid w:val="006F0C9D"/>
    <w:rsid w:val="006F0F46"/>
    <w:rsid w:val="006F15C9"/>
    <w:rsid w:val="006F1691"/>
    <w:rsid w:val="006F190E"/>
    <w:rsid w:val="006F1B82"/>
    <w:rsid w:val="006F1BAE"/>
    <w:rsid w:val="006F1D75"/>
    <w:rsid w:val="006F1DFF"/>
    <w:rsid w:val="006F1F53"/>
    <w:rsid w:val="006F2133"/>
    <w:rsid w:val="006F224E"/>
    <w:rsid w:val="006F2550"/>
    <w:rsid w:val="006F2553"/>
    <w:rsid w:val="006F26AD"/>
    <w:rsid w:val="006F279C"/>
    <w:rsid w:val="006F296A"/>
    <w:rsid w:val="006F29CF"/>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2D"/>
    <w:rsid w:val="006F3A36"/>
    <w:rsid w:val="006F3A9D"/>
    <w:rsid w:val="006F3B8B"/>
    <w:rsid w:val="006F3C6E"/>
    <w:rsid w:val="006F3D00"/>
    <w:rsid w:val="006F3FEA"/>
    <w:rsid w:val="006F4154"/>
    <w:rsid w:val="006F425F"/>
    <w:rsid w:val="006F4350"/>
    <w:rsid w:val="006F43D4"/>
    <w:rsid w:val="006F470D"/>
    <w:rsid w:val="006F4759"/>
    <w:rsid w:val="006F47A2"/>
    <w:rsid w:val="006F47C0"/>
    <w:rsid w:val="006F4BE7"/>
    <w:rsid w:val="006F4C06"/>
    <w:rsid w:val="006F4DF8"/>
    <w:rsid w:val="006F515B"/>
    <w:rsid w:val="006F532D"/>
    <w:rsid w:val="006F5654"/>
    <w:rsid w:val="006F5A8D"/>
    <w:rsid w:val="006F5B8E"/>
    <w:rsid w:val="006F5E79"/>
    <w:rsid w:val="006F5EFF"/>
    <w:rsid w:val="006F5F94"/>
    <w:rsid w:val="006F5FAF"/>
    <w:rsid w:val="006F616A"/>
    <w:rsid w:val="006F6322"/>
    <w:rsid w:val="006F64B1"/>
    <w:rsid w:val="006F64CE"/>
    <w:rsid w:val="006F6613"/>
    <w:rsid w:val="006F687E"/>
    <w:rsid w:val="006F68B8"/>
    <w:rsid w:val="006F6941"/>
    <w:rsid w:val="006F6A29"/>
    <w:rsid w:val="006F6D7B"/>
    <w:rsid w:val="006F6E61"/>
    <w:rsid w:val="006F6EA5"/>
    <w:rsid w:val="006F7103"/>
    <w:rsid w:val="006F7320"/>
    <w:rsid w:val="006F7363"/>
    <w:rsid w:val="006F73F6"/>
    <w:rsid w:val="006F7431"/>
    <w:rsid w:val="006F74F6"/>
    <w:rsid w:val="006F7570"/>
    <w:rsid w:val="006F7645"/>
    <w:rsid w:val="006F766E"/>
    <w:rsid w:val="006F78EC"/>
    <w:rsid w:val="006F79E6"/>
    <w:rsid w:val="006F7A57"/>
    <w:rsid w:val="006F7A66"/>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BF3"/>
    <w:rsid w:val="00700DEB"/>
    <w:rsid w:val="007010F7"/>
    <w:rsid w:val="007011C0"/>
    <w:rsid w:val="00701205"/>
    <w:rsid w:val="007012B2"/>
    <w:rsid w:val="007012DC"/>
    <w:rsid w:val="007013F2"/>
    <w:rsid w:val="007014A9"/>
    <w:rsid w:val="007014E6"/>
    <w:rsid w:val="00701648"/>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9EA"/>
    <w:rsid w:val="00703A30"/>
    <w:rsid w:val="00703DC2"/>
    <w:rsid w:val="00703F11"/>
    <w:rsid w:val="00703F69"/>
    <w:rsid w:val="00703F7C"/>
    <w:rsid w:val="00704207"/>
    <w:rsid w:val="00704321"/>
    <w:rsid w:val="00704330"/>
    <w:rsid w:val="007043CA"/>
    <w:rsid w:val="0070461B"/>
    <w:rsid w:val="007046B8"/>
    <w:rsid w:val="007047BB"/>
    <w:rsid w:val="007047C7"/>
    <w:rsid w:val="0070481A"/>
    <w:rsid w:val="0070491A"/>
    <w:rsid w:val="0070493C"/>
    <w:rsid w:val="00704B16"/>
    <w:rsid w:val="00704BD7"/>
    <w:rsid w:val="00704C4D"/>
    <w:rsid w:val="00704F4A"/>
    <w:rsid w:val="00704F7F"/>
    <w:rsid w:val="00704FAC"/>
    <w:rsid w:val="00704FD9"/>
    <w:rsid w:val="0070510B"/>
    <w:rsid w:val="007051B4"/>
    <w:rsid w:val="0070543D"/>
    <w:rsid w:val="00705467"/>
    <w:rsid w:val="0070546D"/>
    <w:rsid w:val="00705621"/>
    <w:rsid w:val="00705635"/>
    <w:rsid w:val="007056A2"/>
    <w:rsid w:val="007056A5"/>
    <w:rsid w:val="00705806"/>
    <w:rsid w:val="00705A16"/>
    <w:rsid w:val="00705C39"/>
    <w:rsid w:val="00705CC7"/>
    <w:rsid w:val="00705D33"/>
    <w:rsid w:val="00705EBB"/>
    <w:rsid w:val="00705F0B"/>
    <w:rsid w:val="00706000"/>
    <w:rsid w:val="0070607F"/>
    <w:rsid w:val="007060B1"/>
    <w:rsid w:val="00706224"/>
    <w:rsid w:val="007063CB"/>
    <w:rsid w:val="007063FA"/>
    <w:rsid w:val="0070643A"/>
    <w:rsid w:val="007064AF"/>
    <w:rsid w:val="00706756"/>
    <w:rsid w:val="007067C4"/>
    <w:rsid w:val="00706849"/>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0A4"/>
    <w:rsid w:val="0071021F"/>
    <w:rsid w:val="0071035C"/>
    <w:rsid w:val="007103A6"/>
    <w:rsid w:val="0071049B"/>
    <w:rsid w:val="007104D4"/>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8E6"/>
    <w:rsid w:val="00711A35"/>
    <w:rsid w:val="00711AB8"/>
    <w:rsid w:val="00711D32"/>
    <w:rsid w:val="00711D9B"/>
    <w:rsid w:val="00711EBF"/>
    <w:rsid w:val="00711F6C"/>
    <w:rsid w:val="0071214A"/>
    <w:rsid w:val="00712444"/>
    <w:rsid w:val="0071254C"/>
    <w:rsid w:val="00712910"/>
    <w:rsid w:val="00712A0C"/>
    <w:rsid w:val="00712A93"/>
    <w:rsid w:val="00712C7A"/>
    <w:rsid w:val="00712C86"/>
    <w:rsid w:val="00712CC0"/>
    <w:rsid w:val="00712EFF"/>
    <w:rsid w:val="00713086"/>
    <w:rsid w:val="007130D8"/>
    <w:rsid w:val="00713151"/>
    <w:rsid w:val="00713180"/>
    <w:rsid w:val="007134DC"/>
    <w:rsid w:val="007134E1"/>
    <w:rsid w:val="007135CE"/>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B7E"/>
    <w:rsid w:val="00714F59"/>
    <w:rsid w:val="007150B9"/>
    <w:rsid w:val="00715174"/>
    <w:rsid w:val="00715336"/>
    <w:rsid w:val="00715363"/>
    <w:rsid w:val="0071538C"/>
    <w:rsid w:val="007155B1"/>
    <w:rsid w:val="007156CB"/>
    <w:rsid w:val="00715712"/>
    <w:rsid w:val="0071576D"/>
    <w:rsid w:val="0071577A"/>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86B"/>
    <w:rsid w:val="00716915"/>
    <w:rsid w:val="0071693D"/>
    <w:rsid w:val="00716B13"/>
    <w:rsid w:val="00716C28"/>
    <w:rsid w:val="00716C5B"/>
    <w:rsid w:val="00716E26"/>
    <w:rsid w:val="00716E92"/>
    <w:rsid w:val="00716FA8"/>
    <w:rsid w:val="00716FF3"/>
    <w:rsid w:val="00717080"/>
    <w:rsid w:val="00717434"/>
    <w:rsid w:val="0071757C"/>
    <w:rsid w:val="00717797"/>
    <w:rsid w:val="00717A87"/>
    <w:rsid w:val="00717D17"/>
    <w:rsid w:val="00720009"/>
    <w:rsid w:val="00720323"/>
    <w:rsid w:val="007203EE"/>
    <w:rsid w:val="007203FF"/>
    <w:rsid w:val="007204D1"/>
    <w:rsid w:val="0072073D"/>
    <w:rsid w:val="00720789"/>
    <w:rsid w:val="007207D5"/>
    <w:rsid w:val="00720862"/>
    <w:rsid w:val="00720C4C"/>
    <w:rsid w:val="00720E23"/>
    <w:rsid w:val="00720E29"/>
    <w:rsid w:val="00720E4E"/>
    <w:rsid w:val="00720F7F"/>
    <w:rsid w:val="00720F97"/>
    <w:rsid w:val="007210BD"/>
    <w:rsid w:val="00721291"/>
    <w:rsid w:val="0072158B"/>
    <w:rsid w:val="00721659"/>
    <w:rsid w:val="00721689"/>
    <w:rsid w:val="00721844"/>
    <w:rsid w:val="00721854"/>
    <w:rsid w:val="007218F3"/>
    <w:rsid w:val="00721A10"/>
    <w:rsid w:val="00721B7C"/>
    <w:rsid w:val="00721C32"/>
    <w:rsid w:val="00721DAD"/>
    <w:rsid w:val="00721E77"/>
    <w:rsid w:val="00721E7B"/>
    <w:rsid w:val="00721F57"/>
    <w:rsid w:val="00721FE3"/>
    <w:rsid w:val="0072211C"/>
    <w:rsid w:val="00722247"/>
    <w:rsid w:val="00722413"/>
    <w:rsid w:val="0072245C"/>
    <w:rsid w:val="00722607"/>
    <w:rsid w:val="00722727"/>
    <w:rsid w:val="0072281E"/>
    <w:rsid w:val="0072282D"/>
    <w:rsid w:val="00722877"/>
    <w:rsid w:val="00722B45"/>
    <w:rsid w:val="00722CD0"/>
    <w:rsid w:val="00722D63"/>
    <w:rsid w:val="00722DC5"/>
    <w:rsid w:val="00722FFC"/>
    <w:rsid w:val="007231D5"/>
    <w:rsid w:val="00723265"/>
    <w:rsid w:val="007232EC"/>
    <w:rsid w:val="00723351"/>
    <w:rsid w:val="00723388"/>
    <w:rsid w:val="007233A8"/>
    <w:rsid w:val="0072345D"/>
    <w:rsid w:val="007234E7"/>
    <w:rsid w:val="00723571"/>
    <w:rsid w:val="007235AA"/>
    <w:rsid w:val="0072362C"/>
    <w:rsid w:val="0072367C"/>
    <w:rsid w:val="007236BF"/>
    <w:rsid w:val="0072373B"/>
    <w:rsid w:val="0072378E"/>
    <w:rsid w:val="00723795"/>
    <w:rsid w:val="007239D1"/>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4F46"/>
    <w:rsid w:val="0072502F"/>
    <w:rsid w:val="0072548E"/>
    <w:rsid w:val="0072577D"/>
    <w:rsid w:val="0072579E"/>
    <w:rsid w:val="007259C7"/>
    <w:rsid w:val="007259EE"/>
    <w:rsid w:val="00725BC9"/>
    <w:rsid w:val="00725E50"/>
    <w:rsid w:val="00725E72"/>
    <w:rsid w:val="00725EC2"/>
    <w:rsid w:val="0072604D"/>
    <w:rsid w:val="0072610B"/>
    <w:rsid w:val="00726117"/>
    <w:rsid w:val="007262BB"/>
    <w:rsid w:val="007262DF"/>
    <w:rsid w:val="0072642F"/>
    <w:rsid w:val="007264C4"/>
    <w:rsid w:val="007264D5"/>
    <w:rsid w:val="007264ED"/>
    <w:rsid w:val="007268B8"/>
    <w:rsid w:val="007268DC"/>
    <w:rsid w:val="0072699E"/>
    <w:rsid w:val="00726A32"/>
    <w:rsid w:val="00726AEE"/>
    <w:rsid w:val="00726B63"/>
    <w:rsid w:val="00726B69"/>
    <w:rsid w:val="00726BC8"/>
    <w:rsid w:val="00726D03"/>
    <w:rsid w:val="00726D5C"/>
    <w:rsid w:val="00726FB2"/>
    <w:rsid w:val="00727053"/>
    <w:rsid w:val="00727168"/>
    <w:rsid w:val="00727248"/>
    <w:rsid w:val="0072751C"/>
    <w:rsid w:val="00727536"/>
    <w:rsid w:val="0072764F"/>
    <w:rsid w:val="007276B7"/>
    <w:rsid w:val="0072773E"/>
    <w:rsid w:val="00727858"/>
    <w:rsid w:val="00727864"/>
    <w:rsid w:val="0072788E"/>
    <w:rsid w:val="0072793A"/>
    <w:rsid w:val="00727AF2"/>
    <w:rsid w:val="00727D9B"/>
    <w:rsid w:val="00727F10"/>
    <w:rsid w:val="0073000C"/>
    <w:rsid w:val="007304FC"/>
    <w:rsid w:val="00730505"/>
    <w:rsid w:val="0073055A"/>
    <w:rsid w:val="00730790"/>
    <w:rsid w:val="00730A31"/>
    <w:rsid w:val="00730B13"/>
    <w:rsid w:val="00730B71"/>
    <w:rsid w:val="00730C91"/>
    <w:rsid w:val="00730C92"/>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B27"/>
    <w:rsid w:val="00733CEE"/>
    <w:rsid w:val="00733DC3"/>
    <w:rsid w:val="00733E59"/>
    <w:rsid w:val="00733EEA"/>
    <w:rsid w:val="00733FFB"/>
    <w:rsid w:val="007342AD"/>
    <w:rsid w:val="007343AD"/>
    <w:rsid w:val="00734503"/>
    <w:rsid w:val="0073450A"/>
    <w:rsid w:val="00734530"/>
    <w:rsid w:val="0073464F"/>
    <w:rsid w:val="007348FC"/>
    <w:rsid w:val="007349AC"/>
    <w:rsid w:val="007353DD"/>
    <w:rsid w:val="007354DE"/>
    <w:rsid w:val="00735672"/>
    <w:rsid w:val="0073590B"/>
    <w:rsid w:val="00735CAA"/>
    <w:rsid w:val="00735D12"/>
    <w:rsid w:val="00735E05"/>
    <w:rsid w:val="00735FA4"/>
    <w:rsid w:val="00736001"/>
    <w:rsid w:val="0073607F"/>
    <w:rsid w:val="007361CC"/>
    <w:rsid w:val="00736326"/>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58"/>
    <w:rsid w:val="00736F7F"/>
    <w:rsid w:val="00736FB2"/>
    <w:rsid w:val="0073704E"/>
    <w:rsid w:val="0073711F"/>
    <w:rsid w:val="00737302"/>
    <w:rsid w:val="00737438"/>
    <w:rsid w:val="007374FA"/>
    <w:rsid w:val="00737552"/>
    <w:rsid w:val="007378EB"/>
    <w:rsid w:val="0073794C"/>
    <w:rsid w:val="00737B31"/>
    <w:rsid w:val="00737B99"/>
    <w:rsid w:val="00737F6B"/>
    <w:rsid w:val="00740274"/>
    <w:rsid w:val="007402E8"/>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AC3"/>
    <w:rsid w:val="00742E41"/>
    <w:rsid w:val="00742F34"/>
    <w:rsid w:val="00742F3B"/>
    <w:rsid w:val="00742F99"/>
    <w:rsid w:val="0074311D"/>
    <w:rsid w:val="00743122"/>
    <w:rsid w:val="00743197"/>
    <w:rsid w:val="0074326B"/>
    <w:rsid w:val="007432E2"/>
    <w:rsid w:val="007433DD"/>
    <w:rsid w:val="007434BE"/>
    <w:rsid w:val="00743545"/>
    <w:rsid w:val="0074360D"/>
    <w:rsid w:val="0074378E"/>
    <w:rsid w:val="007438BA"/>
    <w:rsid w:val="0074394B"/>
    <w:rsid w:val="00743CA7"/>
    <w:rsid w:val="00743DF6"/>
    <w:rsid w:val="007442D0"/>
    <w:rsid w:val="0074434E"/>
    <w:rsid w:val="007443AE"/>
    <w:rsid w:val="007443CA"/>
    <w:rsid w:val="00744455"/>
    <w:rsid w:val="0074493E"/>
    <w:rsid w:val="007449E3"/>
    <w:rsid w:val="00744C05"/>
    <w:rsid w:val="00744E43"/>
    <w:rsid w:val="00744E91"/>
    <w:rsid w:val="00744F3E"/>
    <w:rsid w:val="00744FED"/>
    <w:rsid w:val="0074528D"/>
    <w:rsid w:val="007453DF"/>
    <w:rsid w:val="00745492"/>
    <w:rsid w:val="00745703"/>
    <w:rsid w:val="007457D1"/>
    <w:rsid w:val="007458C2"/>
    <w:rsid w:val="00745933"/>
    <w:rsid w:val="00745A78"/>
    <w:rsid w:val="00745A90"/>
    <w:rsid w:val="00745B64"/>
    <w:rsid w:val="00745D4C"/>
    <w:rsid w:val="00745F36"/>
    <w:rsid w:val="00746072"/>
    <w:rsid w:val="00746314"/>
    <w:rsid w:val="007465D6"/>
    <w:rsid w:val="0074661B"/>
    <w:rsid w:val="00746662"/>
    <w:rsid w:val="00746734"/>
    <w:rsid w:val="00746828"/>
    <w:rsid w:val="007468C2"/>
    <w:rsid w:val="00746907"/>
    <w:rsid w:val="00746A90"/>
    <w:rsid w:val="00747009"/>
    <w:rsid w:val="0074713F"/>
    <w:rsid w:val="00747211"/>
    <w:rsid w:val="00747285"/>
    <w:rsid w:val="007473CB"/>
    <w:rsid w:val="00747822"/>
    <w:rsid w:val="00747848"/>
    <w:rsid w:val="00747858"/>
    <w:rsid w:val="00747883"/>
    <w:rsid w:val="007478DB"/>
    <w:rsid w:val="00747907"/>
    <w:rsid w:val="00747D01"/>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9D1"/>
    <w:rsid w:val="00750AE3"/>
    <w:rsid w:val="00750C2F"/>
    <w:rsid w:val="00750CAC"/>
    <w:rsid w:val="00750E34"/>
    <w:rsid w:val="0075101C"/>
    <w:rsid w:val="0075119D"/>
    <w:rsid w:val="007511AA"/>
    <w:rsid w:val="00751389"/>
    <w:rsid w:val="00751648"/>
    <w:rsid w:val="00751AA0"/>
    <w:rsid w:val="00751D1C"/>
    <w:rsid w:val="00751E3A"/>
    <w:rsid w:val="00751ECB"/>
    <w:rsid w:val="00751F31"/>
    <w:rsid w:val="00752214"/>
    <w:rsid w:val="00752264"/>
    <w:rsid w:val="00752618"/>
    <w:rsid w:val="0075261F"/>
    <w:rsid w:val="0075264C"/>
    <w:rsid w:val="00752CB6"/>
    <w:rsid w:val="00752D78"/>
    <w:rsid w:val="00752DFF"/>
    <w:rsid w:val="00752FF6"/>
    <w:rsid w:val="00753092"/>
    <w:rsid w:val="00753286"/>
    <w:rsid w:val="007535C8"/>
    <w:rsid w:val="00753E91"/>
    <w:rsid w:val="00753F49"/>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4FF7"/>
    <w:rsid w:val="00755054"/>
    <w:rsid w:val="007550BD"/>
    <w:rsid w:val="0075567A"/>
    <w:rsid w:val="007557BF"/>
    <w:rsid w:val="0075585E"/>
    <w:rsid w:val="00755BA6"/>
    <w:rsid w:val="00755CCB"/>
    <w:rsid w:val="00755CE1"/>
    <w:rsid w:val="00755D38"/>
    <w:rsid w:val="00756268"/>
    <w:rsid w:val="007562F1"/>
    <w:rsid w:val="00756400"/>
    <w:rsid w:val="0075643C"/>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40"/>
    <w:rsid w:val="00757573"/>
    <w:rsid w:val="007575E3"/>
    <w:rsid w:val="007576D3"/>
    <w:rsid w:val="0075777E"/>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4C7"/>
    <w:rsid w:val="00760504"/>
    <w:rsid w:val="0076061E"/>
    <w:rsid w:val="007606CA"/>
    <w:rsid w:val="00760852"/>
    <w:rsid w:val="007608FA"/>
    <w:rsid w:val="007609B0"/>
    <w:rsid w:val="00760B29"/>
    <w:rsid w:val="00760BA6"/>
    <w:rsid w:val="00761016"/>
    <w:rsid w:val="007610D9"/>
    <w:rsid w:val="0076110F"/>
    <w:rsid w:val="0076116B"/>
    <w:rsid w:val="00761202"/>
    <w:rsid w:val="0076140B"/>
    <w:rsid w:val="00761639"/>
    <w:rsid w:val="0076177E"/>
    <w:rsid w:val="00761879"/>
    <w:rsid w:val="007618DD"/>
    <w:rsid w:val="00761909"/>
    <w:rsid w:val="007619A6"/>
    <w:rsid w:val="00761BF2"/>
    <w:rsid w:val="00761E03"/>
    <w:rsid w:val="00761E9A"/>
    <w:rsid w:val="00761EDE"/>
    <w:rsid w:val="00761F93"/>
    <w:rsid w:val="00761F98"/>
    <w:rsid w:val="00762017"/>
    <w:rsid w:val="007621BC"/>
    <w:rsid w:val="00762226"/>
    <w:rsid w:val="007622C8"/>
    <w:rsid w:val="007626A4"/>
    <w:rsid w:val="00762716"/>
    <w:rsid w:val="00762B91"/>
    <w:rsid w:val="00762DB5"/>
    <w:rsid w:val="00762F4C"/>
    <w:rsid w:val="00762FA2"/>
    <w:rsid w:val="00762FC2"/>
    <w:rsid w:val="0076301D"/>
    <w:rsid w:val="0076318A"/>
    <w:rsid w:val="0076329B"/>
    <w:rsid w:val="007633C3"/>
    <w:rsid w:val="0076345D"/>
    <w:rsid w:val="00763576"/>
    <w:rsid w:val="007637A0"/>
    <w:rsid w:val="007639F0"/>
    <w:rsid w:val="00763B46"/>
    <w:rsid w:val="00763D6E"/>
    <w:rsid w:val="0076414B"/>
    <w:rsid w:val="00764168"/>
    <w:rsid w:val="007641E0"/>
    <w:rsid w:val="007641FD"/>
    <w:rsid w:val="00764280"/>
    <w:rsid w:val="007642E8"/>
    <w:rsid w:val="007644FE"/>
    <w:rsid w:val="0076454D"/>
    <w:rsid w:val="007646DA"/>
    <w:rsid w:val="0076470F"/>
    <w:rsid w:val="00764937"/>
    <w:rsid w:val="00764960"/>
    <w:rsid w:val="00764ADF"/>
    <w:rsid w:val="00764B55"/>
    <w:rsid w:val="00764C27"/>
    <w:rsid w:val="00764DEE"/>
    <w:rsid w:val="00764FB7"/>
    <w:rsid w:val="00765005"/>
    <w:rsid w:val="007650A3"/>
    <w:rsid w:val="007651AA"/>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ACF"/>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D88"/>
    <w:rsid w:val="00767EC7"/>
    <w:rsid w:val="00767EDC"/>
    <w:rsid w:val="007700D3"/>
    <w:rsid w:val="007701F7"/>
    <w:rsid w:val="00770593"/>
    <w:rsid w:val="007705A1"/>
    <w:rsid w:val="00770784"/>
    <w:rsid w:val="007708E7"/>
    <w:rsid w:val="0077095C"/>
    <w:rsid w:val="00770A49"/>
    <w:rsid w:val="00770B80"/>
    <w:rsid w:val="00770BC1"/>
    <w:rsid w:val="00770D90"/>
    <w:rsid w:val="00770E94"/>
    <w:rsid w:val="00770EB0"/>
    <w:rsid w:val="00770FE2"/>
    <w:rsid w:val="0077102C"/>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DB7"/>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ADA"/>
    <w:rsid w:val="00772B18"/>
    <w:rsid w:val="00772BE0"/>
    <w:rsid w:val="00772CBF"/>
    <w:rsid w:val="00772D07"/>
    <w:rsid w:val="00772F4E"/>
    <w:rsid w:val="00773260"/>
    <w:rsid w:val="007732C2"/>
    <w:rsid w:val="007732F1"/>
    <w:rsid w:val="00773372"/>
    <w:rsid w:val="007734B0"/>
    <w:rsid w:val="007734F0"/>
    <w:rsid w:val="00773871"/>
    <w:rsid w:val="00773924"/>
    <w:rsid w:val="00773967"/>
    <w:rsid w:val="00773B2A"/>
    <w:rsid w:val="00773B42"/>
    <w:rsid w:val="00773B80"/>
    <w:rsid w:val="00773BCE"/>
    <w:rsid w:val="00773C40"/>
    <w:rsid w:val="00773CC7"/>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AAF"/>
    <w:rsid w:val="00775B38"/>
    <w:rsid w:val="00775C75"/>
    <w:rsid w:val="00775D38"/>
    <w:rsid w:val="00775E2E"/>
    <w:rsid w:val="00775E39"/>
    <w:rsid w:val="00775E59"/>
    <w:rsid w:val="007760AE"/>
    <w:rsid w:val="00776255"/>
    <w:rsid w:val="007762AF"/>
    <w:rsid w:val="007763F4"/>
    <w:rsid w:val="00776403"/>
    <w:rsid w:val="00776412"/>
    <w:rsid w:val="007764AE"/>
    <w:rsid w:val="0077654F"/>
    <w:rsid w:val="00776555"/>
    <w:rsid w:val="007765C2"/>
    <w:rsid w:val="00776688"/>
    <w:rsid w:val="0077698E"/>
    <w:rsid w:val="007769BF"/>
    <w:rsid w:val="00776BF2"/>
    <w:rsid w:val="00776CB6"/>
    <w:rsid w:val="00776DD7"/>
    <w:rsid w:val="00776FA0"/>
    <w:rsid w:val="00776FFB"/>
    <w:rsid w:val="00777242"/>
    <w:rsid w:val="0077729E"/>
    <w:rsid w:val="00777399"/>
    <w:rsid w:val="00777495"/>
    <w:rsid w:val="007774C6"/>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77F71"/>
    <w:rsid w:val="00780177"/>
    <w:rsid w:val="007801B2"/>
    <w:rsid w:val="007801D3"/>
    <w:rsid w:val="007802C4"/>
    <w:rsid w:val="00780526"/>
    <w:rsid w:val="007805BC"/>
    <w:rsid w:val="007808B1"/>
    <w:rsid w:val="0078094F"/>
    <w:rsid w:val="00780AD8"/>
    <w:rsid w:val="00780AE0"/>
    <w:rsid w:val="00780C2D"/>
    <w:rsid w:val="00780CFD"/>
    <w:rsid w:val="00780E94"/>
    <w:rsid w:val="00780F89"/>
    <w:rsid w:val="00781024"/>
    <w:rsid w:val="00781043"/>
    <w:rsid w:val="007813C2"/>
    <w:rsid w:val="00781631"/>
    <w:rsid w:val="00781739"/>
    <w:rsid w:val="007818FD"/>
    <w:rsid w:val="00781AF0"/>
    <w:rsid w:val="00781D46"/>
    <w:rsid w:val="00781FE8"/>
    <w:rsid w:val="007820E0"/>
    <w:rsid w:val="00782258"/>
    <w:rsid w:val="007822D6"/>
    <w:rsid w:val="00782314"/>
    <w:rsid w:val="00782680"/>
    <w:rsid w:val="0078268C"/>
    <w:rsid w:val="00782733"/>
    <w:rsid w:val="00782737"/>
    <w:rsid w:val="00782B50"/>
    <w:rsid w:val="00782D5F"/>
    <w:rsid w:val="00782DBD"/>
    <w:rsid w:val="00782E2C"/>
    <w:rsid w:val="00782F03"/>
    <w:rsid w:val="0078319D"/>
    <w:rsid w:val="0078328A"/>
    <w:rsid w:val="0078335B"/>
    <w:rsid w:val="00783443"/>
    <w:rsid w:val="007837BB"/>
    <w:rsid w:val="007837DB"/>
    <w:rsid w:val="00783CD3"/>
    <w:rsid w:val="00783D19"/>
    <w:rsid w:val="00783D85"/>
    <w:rsid w:val="00783FBF"/>
    <w:rsid w:val="00784056"/>
    <w:rsid w:val="00784300"/>
    <w:rsid w:val="007843AF"/>
    <w:rsid w:val="00784481"/>
    <w:rsid w:val="00784660"/>
    <w:rsid w:val="007846D6"/>
    <w:rsid w:val="0078485A"/>
    <w:rsid w:val="00784965"/>
    <w:rsid w:val="00784A37"/>
    <w:rsid w:val="00784EBC"/>
    <w:rsid w:val="00784F8B"/>
    <w:rsid w:val="00784FA4"/>
    <w:rsid w:val="0078505C"/>
    <w:rsid w:val="007850C3"/>
    <w:rsid w:val="007851BE"/>
    <w:rsid w:val="0078534B"/>
    <w:rsid w:val="00785403"/>
    <w:rsid w:val="00785549"/>
    <w:rsid w:val="00785614"/>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1F8"/>
    <w:rsid w:val="0078723C"/>
    <w:rsid w:val="00787388"/>
    <w:rsid w:val="0078743D"/>
    <w:rsid w:val="007875EB"/>
    <w:rsid w:val="00787694"/>
    <w:rsid w:val="00787A59"/>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1EF2"/>
    <w:rsid w:val="00792089"/>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8CA"/>
    <w:rsid w:val="00794A96"/>
    <w:rsid w:val="00794BB1"/>
    <w:rsid w:val="00794C3E"/>
    <w:rsid w:val="00794C83"/>
    <w:rsid w:val="00794D64"/>
    <w:rsid w:val="00794EFD"/>
    <w:rsid w:val="00795035"/>
    <w:rsid w:val="0079530D"/>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2B7"/>
    <w:rsid w:val="007964FD"/>
    <w:rsid w:val="0079696A"/>
    <w:rsid w:val="007969DB"/>
    <w:rsid w:val="00796A1F"/>
    <w:rsid w:val="00796B1A"/>
    <w:rsid w:val="00796BB0"/>
    <w:rsid w:val="00796D26"/>
    <w:rsid w:val="007970E3"/>
    <w:rsid w:val="00797220"/>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0F8C"/>
    <w:rsid w:val="007A1072"/>
    <w:rsid w:val="007A12AA"/>
    <w:rsid w:val="007A12DF"/>
    <w:rsid w:val="007A143F"/>
    <w:rsid w:val="007A16E6"/>
    <w:rsid w:val="007A16FD"/>
    <w:rsid w:val="007A171E"/>
    <w:rsid w:val="007A1726"/>
    <w:rsid w:val="007A1865"/>
    <w:rsid w:val="007A1C17"/>
    <w:rsid w:val="007A1E18"/>
    <w:rsid w:val="007A1F0E"/>
    <w:rsid w:val="007A1F19"/>
    <w:rsid w:val="007A20B4"/>
    <w:rsid w:val="007A20CC"/>
    <w:rsid w:val="007A2309"/>
    <w:rsid w:val="007A255B"/>
    <w:rsid w:val="007A25CC"/>
    <w:rsid w:val="007A287C"/>
    <w:rsid w:val="007A28B5"/>
    <w:rsid w:val="007A28BD"/>
    <w:rsid w:val="007A2943"/>
    <w:rsid w:val="007A2A01"/>
    <w:rsid w:val="007A2B6E"/>
    <w:rsid w:val="007A2C84"/>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09"/>
    <w:rsid w:val="007A49FE"/>
    <w:rsid w:val="007A4A42"/>
    <w:rsid w:val="007A4A5D"/>
    <w:rsid w:val="007A4A9D"/>
    <w:rsid w:val="007A4CF2"/>
    <w:rsid w:val="007A4D5D"/>
    <w:rsid w:val="007A4E4A"/>
    <w:rsid w:val="007A4F83"/>
    <w:rsid w:val="007A50DE"/>
    <w:rsid w:val="007A5218"/>
    <w:rsid w:val="007A541E"/>
    <w:rsid w:val="007A55D2"/>
    <w:rsid w:val="007A56CE"/>
    <w:rsid w:val="007A56E2"/>
    <w:rsid w:val="007A56F9"/>
    <w:rsid w:val="007A59A1"/>
    <w:rsid w:val="007A5D44"/>
    <w:rsid w:val="007A5D67"/>
    <w:rsid w:val="007A6113"/>
    <w:rsid w:val="007A61AF"/>
    <w:rsid w:val="007A6316"/>
    <w:rsid w:val="007A6425"/>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9E9"/>
    <w:rsid w:val="007A7A5E"/>
    <w:rsid w:val="007A7AFF"/>
    <w:rsid w:val="007A7B7A"/>
    <w:rsid w:val="007A7B85"/>
    <w:rsid w:val="007A7B8D"/>
    <w:rsid w:val="007A7EC2"/>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2C7"/>
    <w:rsid w:val="007B237F"/>
    <w:rsid w:val="007B2559"/>
    <w:rsid w:val="007B259F"/>
    <w:rsid w:val="007B2748"/>
    <w:rsid w:val="007B27A2"/>
    <w:rsid w:val="007B27CA"/>
    <w:rsid w:val="007B29BB"/>
    <w:rsid w:val="007B29F4"/>
    <w:rsid w:val="007B32D6"/>
    <w:rsid w:val="007B3419"/>
    <w:rsid w:val="007B3488"/>
    <w:rsid w:val="007B3724"/>
    <w:rsid w:val="007B37E1"/>
    <w:rsid w:val="007B3882"/>
    <w:rsid w:val="007B390D"/>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80"/>
    <w:rsid w:val="007B5AD3"/>
    <w:rsid w:val="007B5D76"/>
    <w:rsid w:val="007B5D8A"/>
    <w:rsid w:val="007B5F3E"/>
    <w:rsid w:val="007B60AB"/>
    <w:rsid w:val="007B60EC"/>
    <w:rsid w:val="007B61BE"/>
    <w:rsid w:val="007B62C4"/>
    <w:rsid w:val="007B66C1"/>
    <w:rsid w:val="007B66C3"/>
    <w:rsid w:val="007B6757"/>
    <w:rsid w:val="007B678B"/>
    <w:rsid w:val="007B6B26"/>
    <w:rsid w:val="007B6B72"/>
    <w:rsid w:val="007B6BC7"/>
    <w:rsid w:val="007B6C7C"/>
    <w:rsid w:val="007B6D08"/>
    <w:rsid w:val="007B6DC6"/>
    <w:rsid w:val="007B6EB4"/>
    <w:rsid w:val="007B6EBF"/>
    <w:rsid w:val="007B710C"/>
    <w:rsid w:val="007B7156"/>
    <w:rsid w:val="007B7359"/>
    <w:rsid w:val="007B7547"/>
    <w:rsid w:val="007B77E8"/>
    <w:rsid w:val="007B7A3F"/>
    <w:rsid w:val="007B7B9D"/>
    <w:rsid w:val="007B7C5C"/>
    <w:rsid w:val="007B7C7F"/>
    <w:rsid w:val="007B7CC9"/>
    <w:rsid w:val="007B7CE6"/>
    <w:rsid w:val="007B7CFB"/>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3B0"/>
    <w:rsid w:val="007C257C"/>
    <w:rsid w:val="007C259F"/>
    <w:rsid w:val="007C26BE"/>
    <w:rsid w:val="007C285F"/>
    <w:rsid w:val="007C2BA2"/>
    <w:rsid w:val="007C2BD5"/>
    <w:rsid w:val="007C2C33"/>
    <w:rsid w:val="007C2F03"/>
    <w:rsid w:val="007C31A0"/>
    <w:rsid w:val="007C3481"/>
    <w:rsid w:val="007C34B2"/>
    <w:rsid w:val="007C34C3"/>
    <w:rsid w:val="007C36BC"/>
    <w:rsid w:val="007C375B"/>
    <w:rsid w:val="007C37BC"/>
    <w:rsid w:val="007C37E7"/>
    <w:rsid w:val="007C3957"/>
    <w:rsid w:val="007C39C6"/>
    <w:rsid w:val="007C3CB3"/>
    <w:rsid w:val="007C3D02"/>
    <w:rsid w:val="007C3D2D"/>
    <w:rsid w:val="007C3DCD"/>
    <w:rsid w:val="007C3DF4"/>
    <w:rsid w:val="007C3E29"/>
    <w:rsid w:val="007C3E2C"/>
    <w:rsid w:val="007C3E9E"/>
    <w:rsid w:val="007C3EC4"/>
    <w:rsid w:val="007C3EF4"/>
    <w:rsid w:val="007C3F97"/>
    <w:rsid w:val="007C3FC5"/>
    <w:rsid w:val="007C4067"/>
    <w:rsid w:val="007C4186"/>
    <w:rsid w:val="007C41E1"/>
    <w:rsid w:val="007C4292"/>
    <w:rsid w:val="007C4316"/>
    <w:rsid w:val="007C434A"/>
    <w:rsid w:val="007C4677"/>
    <w:rsid w:val="007C4974"/>
    <w:rsid w:val="007C4B5F"/>
    <w:rsid w:val="007C4C0F"/>
    <w:rsid w:val="007C4E51"/>
    <w:rsid w:val="007C4F2A"/>
    <w:rsid w:val="007C4FD8"/>
    <w:rsid w:val="007C52D0"/>
    <w:rsid w:val="007C5478"/>
    <w:rsid w:val="007C559A"/>
    <w:rsid w:val="007C5631"/>
    <w:rsid w:val="007C57A5"/>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8C"/>
    <w:rsid w:val="007C77F7"/>
    <w:rsid w:val="007C7918"/>
    <w:rsid w:val="007C79FB"/>
    <w:rsid w:val="007C7A5A"/>
    <w:rsid w:val="007C7C94"/>
    <w:rsid w:val="007C7CF0"/>
    <w:rsid w:val="007C7F01"/>
    <w:rsid w:val="007C7FD3"/>
    <w:rsid w:val="007D0094"/>
    <w:rsid w:val="007D00C7"/>
    <w:rsid w:val="007D027E"/>
    <w:rsid w:val="007D02F5"/>
    <w:rsid w:val="007D0382"/>
    <w:rsid w:val="007D03A0"/>
    <w:rsid w:val="007D0400"/>
    <w:rsid w:val="007D07FA"/>
    <w:rsid w:val="007D089F"/>
    <w:rsid w:val="007D08DD"/>
    <w:rsid w:val="007D0AAA"/>
    <w:rsid w:val="007D0DAA"/>
    <w:rsid w:val="007D0FD3"/>
    <w:rsid w:val="007D1011"/>
    <w:rsid w:val="007D1121"/>
    <w:rsid w:val="007D117F"/>
    <w:rsid w:val="007D11FD"/>
    <w:rsid w:val="007D1368"/>
    <w:rsid w:val="007D1454"/>
    <w:rsid w:val="007D14E3"/>
    <w:rsid w:val="007D14EC"/>
    <w:rsid w:val="007D15D1"/>
    <w:rsid w:val="007D16B5"/>
    <w:rsid w:val="007D1771"/>
    <w:rsid w:val="007D17C0"/>
    <w:rsid w:val="007D17CF"/>
    <w:rsid w:val="007D1831"/>
    <w:rsid w:val="007D1C98"/>
    <w:rsid w:val="007D1D2C"/>
    <w:rsid w:val="007D1FBB"/>
    <w:rsid w:val="007D1FD9"/>
    <w:rsid w:val="007D2055"/>
    <w:rsid w:val="007D23DC"/>
    <w:rsid w:val="007D2567"/>
    <w:rsid w:val="007D25C7"/>
    <w:rsid w:val="007D280B"/>
    <w:rsid w:val="007D29BE"/>
    <w:rsid w:val="007D2A8F"/>
    <w:rsid w:val="007D2B3F"/>
    <w:rsid w:val="007D2B6D"/>
    <w:rsid w:val="007D2C68"/>
    <w:rsid w:val="007D2CD0"/>
    <w:rsid w:val="007D3073"/>
    <w:rsid w:val="007D3295"/>
    <w:rsid w:val="007D32C0"/>
    <w:rsid w:val="007D3337"/>
    <w:rsid w:val="007D3430"/>
    <w:rsid w:val="007D35F9"/>
    <w:rsid w:val="007D367C"/>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5F7"/>
    <w:rsid w:val="007D46D6"/>
    <w:rsid w:val="007D4750"/>
    <w:rsid w:val="007D47D6"/>
    <w:rsid w:val="007D4828"/>
    <w:rsid w:val="007D48CB"/>
    <w:rsid w:val="007D4E65"/>
    <w:rsid w:val="007D4FCD"/>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DB"/>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056"/>
    <w:rsid w:val="007D78BD"/>
    <w:rsid w:val="007D799A"/>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B13"/>
    <w:rsid w:val="007E0C1D"/>
    <w:rsid w:val="007E0D91"/>
    <w:rsid w:val="007E0F53"/>
    <w:rsid w:val="007E0F8B"/>
    <w:rsid w:val="007E11E8"/>
    <w:rsid w:val="007E135A"/>
    <w:rsid w:val="007E1363"/>
    <w:rsid w:val="007E1407"/>
    <w:rsid w:val="007E1412"/>
    <w:rsid w:val="007E142C"/>
    <w:rsid w:val="007E154E"/>
    <w:rsid w:val="007E15EB"/>
    <w:rsid w:val="007E166A"/>
    <w:rsid w:val="007E1894"/>
    <w:rsid w:val="007E18A6"/>
    <w:rsid w:val="007E19D8"/>
    <w:rsid w:val="007E1BB0"/>
    <w:rsid w:val="007E1C4E"/>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6A"/>
    <w:rsid w:val="007E36D7"/>
    <w:rsid w:val="007E3733"/>
    <w:rsid w:val="007E39AD"/>
    <w:rsid w:val="007E3A84"/>
    <w:rsid w:val="007E3CE9"/>
    <w:rsid w:val="007E3CF5"/>
    <w:rsid w:val="007E424C"/>
    <w:rsid w:val="007E439F"/>
    <w:rsid w:val="007E4925"/>
    <w:rsid w:val="007E4A34"/>
    <w:rsid w:val="007E4BAC"/>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AB7"/>
    <w:rsid w:val="007E6EC4"/>
    <w:rsid w:val="007E7138"/>
    <w:rsid w:val="007E738B"/>
    <w:rsid w:val="007E74A5"/>
    <w:rsid w:val="007E74B1"/>
    <w:rsid w:val="007E76A3"/>
    <w:rsid w:val="007E7738"/>
    <w:rsid w:val="007E78A9"/>
    <w:rsid w:val="007E7918"/>
    <w:rsid w:val="007E7A65"/>
    <w:rsid w:val="007E7B77"/>
    <w:rsid w:val="007E7BD8"/>
    <w:rsid w:val="007E7C76"/>
    <w:rsid w:val="007E7DE8"/>
    <w:rsid w:val="007E7E79"/>
    <w:rsid w:val="007E7E92"/>
    <w:rsid w:val="007F019D"/>
    <w:rsid w:val="007F01CD"/>
    <w:rsid w:val="007F0262"/>
    <w:rsid w:val="007F041D"/>
    <w:rsid w:val="007F04AC"/>
    <w:rsid w:val="007F04FD"/>
    <w:rsid w:val="007F075E"/>
    <w:rsid w:val="007F0826"/>
    <w:rsid w:val="007F0AE9"/>
    <w:rsid w:val="007F0B64"/>
    <w:rsid w:val="007F0D6F"/>
    <w:rsid w:val="007F0DC4"/>
    <w:rsid w:val="007F0E94"/>
    <w:rsid w:val="007F0F3F"/>
    <w:rsid w:val="007F1285"/>
    <w:rsid w:val="007F135C"/>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1ED4"/>
    <w:rsid w:val="007F20FC"/>
    <w:rsid w:val="007F22DF"/>
    <w:rsid w:val="007F23A8"/>
    <w:rsid w:val="007F24A6"/>
    <w:rsid w:val="007F2837"/>
    <w:rsid w:val="007F28D5"/>
    <w:rsid w:val="007F2B10"/>
    <w:rsid w:val="007F2B71"/>
    <w:rsid w:val="007F2C30"/>
    <w:rsid w:val="007F30BA"/>
    <w:rsid w:val="007F327B"/>
    <w:rsid w:val="007F32EA"/>
    <w:rsid w:val="007F37B1"/>
    <w:rsid w:val="007F3875"/>
    <w:rsid w:val="007F3A39"/>
    <w:rsid w:val="007F3B8D"/>
    <w:rsid w:val="007F3C21"/>
    <w:rsid w:val="007F3DC6"/>
    <w:rsid w:val="007F3E66"/>
    <w:rsid w:val="007F49B4"/>
    <w:rsid w:val="007F4A78"/>
    <w:rsid w:val="007F4F86"/>
    <w:rsid w:val="007F524E"/>
    <w:rsid w:val="007F5525"/>
    <w:rsid w:val="007F58E0"/>
    <w:rsid w:val="007F5A3E"/>
    <w:rsid w:val="007F5BA4"/>
    <w:rsid w:val="007F5CA5"/>
    <w:rsid w:val="007F5D13"/>
    <w:rsid w:val="007F5DBC"/>
    <w:rsid w:val="007F5DCD"/>
    <w:rsid w:val="007F5E0E"/>
    <w:rsid w:val="007F5FAA"/>
    <w:rsid w:val="007F6010"/>
    <w:rsid w:val="007F617F"/>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5E"/>
    <w:rsid w:val="007F7B8D"/>
    <w:rsid w:val="007F7C01"/>
    <w:rsid w:val="007F7ED9"/>
    <w:rsid w:val="007F7F18"/>
    <w:rsid w:val="00800135"/>
    <w:rsid w:val="008001CA"/>
    <w:rsid w:val="008002B8"/>
    <w:rsid w:val="008006FD"/>
    <w:rsid w:val="008007A6"/>
    <w:rsid w:val="0080086E"/>
    <w:rsid w:val="00800922"/>
    <w:rsid w:val="00800984"/>
    <w:rsid w:val="00800CEB"/>
    <w:rsid w:val="00800FD7"/>
    <w:rsid w:val="0080119E"/>
    <w:rsid w:val="008011EE"/>
    <w:rsid w:val="00801215"/>
    <w:rsid w:val="00801242"/>
    <w:rsid w:val="00801317"/>
    <w:rsid w:val="008014BA"/>
    <w:rsid w:val="008015C5"/>
    <w:rsid w:val="008015CC"/>
    <w:rsid w:val="008016AF"/>
    <w:rsid w:val="00801803"/>
    <w:rsid w:val="00801B67"/>
    <w:rsid w:val="00801C4A"/>
    <w:rsid w:val="00801D53"/>
    <w:rsid w:val="00801D7D"/>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9B4"/>
    <w:rsid w:val="00802AE8"/>
    <w:rsid w:val="00802B39"/>
    <w:rsid w:val="00802F30"/>
    <w:rsid w:val="00802FC2"/>
    <w:rsid w:val="008032D6"/>
    <w:rsid w:val="0080344D"/>
    <w:rsid w:val="0080365F"/>
    <w:rsid w:val="008038E2"/>
    <w:rsid w:val="008039FA"/>
    <w:rsid w:val="00803B03"/>
    <w:rsid w:val="00803B7A"/>
    <w:rsid w:val="0080401E"/>
    <w:rsid w:val="00804173"/>
    <w:rsid w:val="008042FA"/>
    <w:rsid w:val="00804475"/>
    <w:rsid w:val="0080457A"/>
    <w:rsid w:val="008045E6"/>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72"/>
    <w:rsid w:val="00805CFD"/>
    <w:rsid w:val="00805D22"/>
    <w:rsid w:val="00805F4E"/>
    <w:rsid w:val="00805FC5"/>
    <w:rsid w:val="0080602B"/>
    <w:rsid w:val="00806226"/>
    <w:rsid w:val="00806439"/>
    <w:rsid w:val="008066BA"/>
    <w:rsid w:val="008066EC"/>
    <w:rsid w:val="00806B6C"/>
    <w:rsid w:val="00806C40"/>
    <w:rsid w:val="00806CFE"/>
    <w:rsid w:val="00806E37"/>
    <w:rsid w:val="00806E86"/>
    <w:rsid w:val="00806F33"/>
    <w:rsid w:val="00806F80"/>
    <w:rsid w:val="0080709F"/>
    <w:rsid w:val="00807134"/>
    <w:rsid w:val="00807140"/>
    <w:rsid w:val="008073FB"/>
    <w:rsid w:val="00807497"/>
    <w:rsid w:val="00807542"/>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3A4"/>
    <w:rsid w:val="0081159E"/>
    <w:rsid w:val="00811665"/>
    <w:rsid w:val="00811817"/>
    <w:rsid w:val="0081188F"/>
    <w:rsid w:val="008118F2"/>
    <w:rsid w:val="00811909"/>
    <w:rsid w:val="00811977"/>
    <w:rsid w:val="008119A4"/>
    <w:rsid w:val="00811A70"/>
    <w:rsid w:val="00811A8E"/>
    <w:rsid w:val="00811B2F"/>
    <w:rsid w:val="00811B64"/>
    <w:rsid w:val="00811B6E"/>
    <w:rsid w:val="00811BC5"/>
    <w:rsid w:val="00811BC8"/>
    <w:rsid w:val="00811D88"/>
    <w:rsid w:val="00811DDE"/>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943"/>
    <w:rsid w:val="00812AF0"/>
    <w:rsid w:val="00812C07"/>
    <w:rsid w:val="00812D54"/>
    <w:rsid w:val="00812D98"/>
    <w:rsid w:val="00812E9D"/>
    <w:rsid w:val="00812F0E"/>
    <w:rsid w:val="00812F88"/>
    <w:rsid w:val="00813508"/>
    <w:rsid w:val="00813622"/>
    <w:rsid w:val="008137CE"/>
    <w:rsid w:val="00813A19"/>
    <w:rsid w:val="00813D1E"/>
    <w:rsid w:val="00813FEF"/>
    <w:rsid w:val="00814098"/>
    <w:rsid w:val="00814249"/>
    <w:rsid w:val="00814419"/>
    <w:rsid w:val="008144AA"/>
    <w:rsid w:val="0081452A"/>
    <w:rsid w:val="00814592"/>
    <w:rsid w:val="008145D3"/>
    <w:rsid w:val="00814680"/>
    <w:rsid w:val="008146CA"/>
    <w:rsid w:val="00814912"/>
    <w:rsid w:val="00814CC5"/>
    <w:rsid w:val="00814E82"/>
    <w:rsid w:val="00814EBC"/>
    <w:rsid w:val="008152C0"/>
    <w:rsid w:val="0081535C"/>
    <w:rsid w:val="008155D5"/>
    <w:rsid w:val="00815771"/>
    <w:rsid w:val="0081580D"/>
    <w:rsid w:val="00815A3C"/>
    <w:rsid w:val="00815A86"/>
    <w:rsid w:val="00815B26"/>
    <w:rsid w:val="00815C0E"/>
    <w:rsid w:val="00815DA8"/>
    <w:rsid w:val="00815DB2"/>
    <w:rsid w:val="0081606F"/>
    <w:rsid w:val="0081607A"/>
    <w:rsid w:val="0081631A"/>
    <w:rsid w:val="00816532"/>
    <w:rsid w:val="00816538"/>
    <w:rsid w:val="008165CF"/>
    <w:rsid w:val="008166AA"/>
    <w:rsid w:val="008166C2"/>
    <w:rsid w:val="008167E0"/>
    <w:rsid w:val="00816973"/>
    <w:rsid w:val="00816AFA"/>
    <w:rsid w:val="00816E31"/>
    <w:rsid w:val="00816E8D"/>
    <w:rsid w:val="0081710C"/>
    <w:rsid w:val="008173E8"/>
    <w:rsid w:val="00817428"/>
    <w:rsid w:val="008174A2"/>
    <w:rsid w:val="00817522"/>
    <w:rsid w:val="0081780C"/>
    <w:rsid w:val="00817D35"/>
    <w:rsid w:val="00817F7F"/>
    <w:rsid w:val="00817FB3"/>
    <w:rsid w:val="00817FF8"/>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93C"/>
    <w:rsid w:val="00821B89"/>
    <w:rsid w:val="00821BFE"/>
    <w:rsid w:val="00821C68"/>
    <w:rsid w:val="00821DBE"/>
    <w:rsid w:val="00822039"/>
    <w:rsid w:val="008222E8"/>
    <w:rsid w:val="0082261A"/>
    <w:rsid w:val="00822696"/>
    <w:rsid w:val="00822733"/>
    <w:rsid w:val="008227D0"/>
    <w:rsid w:val="0082289A"/>
    <w:rsid w:val="00822CF4"/>
    <w:rsid w:val="00822DC8"/>
    <w:rsid w:val="00822DD3"/>
    <w:rsid w:val="00822F41"/>
    <w:rsid w:val="00822F91"/>
    <w:rsid w:val="00822F99"/>
    <w:rsid w:val="00823068"/>
    <w:rsid w:val="008231E2"/>
    <w:rsid w:val="00823401"/>
    <w:rsid w:val="00823481"/>
    <w:rsid w:val="00823640"/>
    <w:rsid w:val="00823762"/>
    <w:rsid w:val="00823773"/>
    <w:rsid w:val="008237CF"/>
    <w:rsid w:val="008237E7"/>
    <w:rsid w:val="008238CD"/>
    <w:rsid w:val="00823BB1"/>
    <w:rsid w:val="00823E29"/>
    <w:rsid w:val="008243B9"/>
    <w:rsid w:val="008244C4"/>
    <w:rsid w:val="00824502"/>
    <w:rsid w:val="0082458C"/>
    <w:rsid w:val="00824597"/>
    <w:rsid w:val="008245DE"/>
    <w:rsid w:val="00824717"/>
    <w:rsid w:val="0082483A"/>
    <w:rsid w:val="0082487C"/>
    <w:rsid w:val="00824A31"/>
    <w:rsid w:val="00824C5E"/>
    <w:rsid w:val="00824E4D"/>
    <w:rsid w:val="00824EA7"/>
    <w:rsid w:val="00824FF2"/>
    <w:rsid w:val="00825037"/>
    <w:rsid w:val="00825060"/>
    <w:rsid w:val="008250DC"/>
    <w:rsid w:val="00825215"/>
    <w:rsid w:val="00825229"/>
    <w:rsid w:val="008252CF"/>
    <w:rsid w:val="008253ED"/>
    <w:rsid w:val="008253FF"/>
    <w:rsid w:val="008254DE"/>
    <w:rsid w:val="0082564D"/>
    <w:rsid w:val="00825782"/>
    <w:rsid w:val="0082583D"/>
    <w:rsid w:val="008258DB"/>
    <w:rsid w:val="00825990"/>
    <w:rsid w:val="00825B09"/>
    <w:rsid w:val="00825B50"/>
    <w:rsid w:val="00825E39"/>
    <w:rsid w:val="00825EEB"/>
    <w:rsid w:val="00825EF9"/>
    <w:rsid w:val="0082604F"/>
    <w:rsid w:val="008260FD"/>
    <w:rsid w:val="0082639A"/>
    <w:rsid w:val="0082649E"/>
    <w:rsid w:val="008264F5"/>
    <w:rsid w:val="008266E7"/>
    <w:rsid w:val="0082687E"/>
    <w:rsid w:val="0082689D"/>
    <w:rsid w:val="008268D1"/>
    <w:rsid w:val="00826A01"/>
    <w:rsid w:val="00826FBC"/>
    <w:rsid w:val="0082719C"/>
    <w:rsid w:val="00827484"/>
    <w:rsid w:val="008274BA"/>
    <w:rsid w:val="00827529"/>
    <w:rsid w:val="0082756D"/>
    <w:rsid w:val="00827740"/>
    <w:rsid w:val="00827842"/>
    <w:rsid w:val="00827B18"/>
    <w:rsid w:val="00827CB9"/>
    <w:rsid w:val="00827D35"/>
    <w:rsid w:val="00827F15"/>
    <w:rsid w:val="00827F56"/>
    <w:rsid w:val="00830010"/>
    <w:rsid w:val="008300EA"/>
    <w:rsid w:val="0083027D"/>
    <w:rsid w:val="00830386"/>
    <w:rsid w:val="008303DE"/>
    <w:rsid w:val="0083041A"/>
    <w:rsid w:val="008304E6"/>
    <w:rsid w:val="0083065B"/>
    <w:rsid w:val="008306C3"/>
    <w:rsid w:val="008308B1"/>
    <w:rsid w:val="008309CE"/>
    <w:rsid w:val="00830A67"/>
    <w:rsid w:val="00831089"/>
    <w:rsid w:val="008310D0"/>
    <w:rsid w:val="00831331"/>
    <w:rsid w:val="008313EC"/>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7FD"/>
    <w:rsid w:val="0083396F"/>
    <w:rsid w:val="00833B6D"/>
    <w:rsid w:val="00833CAC"/>
    <w:rsid w:val="00833CD7"/>
    <w:rsid w:val="00833E46"/>
    <w:rsid w:val="00833F33"/>
    <w:rsid w:val="00834143"/>
    <w:rsid w:val="0083420B"/>
    <w:rsid w:val="008345AC"/>
    <w:rsid w:val="00834658"/>
    <w:rsid w:val="00834A71"/>
    <w:rsid w:val="00834A8A"/>
    <w:rsid w:val="00834C4B"/>
    <w:rsid w:val="00834D8F"/>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DF"/>
    <w:rsid w:val="00836CF9"/>
    <w:rsid w:val="00836E5B"/>
    <w:rsid w:val="00836E74"/>
    <w:rsid w:val="00836EA1"/>
    <w:rsid w:val="00836F9C"/>
    <w:rsid w:val="00837023"/>
    <w:rsid w:val="00837029"/>
    <w:rsid w:val="008374EE"/>
    <w:rsid w:val="0083756E"/>
    <w:rsid w:val="0083761B"/>
    <w:rsid w:val="00837650"/>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0FA6"/>
    <w:rsid w:val="00841115"/>
    <w:rsid w:val="008411B2"/>
    <w:rsid w:val="00841225"/>
    <w:rsid w:val="00841393"/>
    <w:rsid w:val="008415AF"/>
    <w:rsid w:val="00841946"/>
    <w:rsid w:val="008419D6"/>
    <w:rsid w:val="00841A05"/>
    <w:rsid w:val="00841BB1"/>
    <w:rsid w:val="00841CB2"/>
    <w:rsid w:val="008420EA"/>
    <w:rsid w:val="008420EF"/>
    <w:rsid w:val="00842166"/>
    <w:rsid w:val="0084218F"/>
    <w:rsid w:val="00842480"/>
    <w:rsid w:val="008424E7"/>
    <w:rsid w:val="0084250D"/>
    <w:rsid w:val="0084253E"/>
    <w:rsid w:val="0084263B"/>
    <w:rsid w:val="00842710"/>
    <w:rsid w:val="0084296A"/>
    <w:rsid w:val="00842ABB"/>
    <w:rsid w:val="00842B39"/>
    <w:rsid w:val="00842CA4"/>
    <w:rsid w:val="00842CD7"/>
    <w:rsid w:val="00842DFF"/>
    <w:rsid w:val="00842E6F"/>
    <w:rsid w:val="00842E8C"/>
    <w:rsid w:val="008430C4"/>
    <w:rsid w:val="0084325C"/>
    <w:rsid w:val="00843374"/>
    <w:rsid w:val="00843779"/>
    <w:rsid w:val="00843795"/>
    <w:rsid w:val="0084384D"/>
    <w:rsid w:val="00843958"/>
    <w:rsid w:val="00843ACE"/>
    <w:rsid w:val="00843AD5"/>
    <w:rsid w:val="00843B26"/>
    <w:rsid w:val="00843BF1"/>
    <w:rsid w:val="00843E0F"/>
    <w:rsid w:val="00843E4A"/>
    <w:rsid w:val="00843F04"/>
    <w:rsid w:val="00844216"/>
    <w:rsid w:val="0084425D"/>
    <w:rsid w:val="0084428B"/>
    <w:rsid w:val="008442BB"/>
    <w:rsid w:val="00844516"/>
    <w:rsid w:val="00844556"/>
    <w:rsid w:val="0084462E"/>
    <w:rsid w:val="008446C5"/>
    <w:rsid w:val="0084475B"/>
    <w:rsid w:val="008447B6"/>
    <w:rsid w:val="00844817"/>
    <w:rsid w:val="00844CD2"/>
    <w:rsid w:val="00844D7B"/>
    <w:rsid w:val="00844D9F"/>
    <w:rsid w:val="00844E63"/>
    <w:rsid w:val="00844F09"/>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5E8"/>
    <w:rsid w:val="00846753"/>
    <w:rsid w:val="00846811"/>
    <w:rsid w:val="0084681D"/>
    <w:rsid w:val="00846C0A"/>
    <w:rsid w:val="00846D3D"/>
    <w:rsid w:val="00846D73"/>
    <w:rsid w:val="00846E5C"/>
    <w:rsid w:val="00846EFC"/>
    <w:rsid w:val="00846F16"/>
    <w:rsid w:val="00846F28"/>
    <w:rsid w:val="00846F2F"/>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662"/>
    <w:rsid w:val="008507E2"/>
    <w:rsid w:val="00850869"/>
    <w:rsid w:val="008509C9"/>
    <w:rsid w:val="00850A45"/>
    <w:rsid w:val="00850BC5"/>
    <w:rsid w:val="00850C02"/>
    <w:rsid w:val="00850CCD"/>
    <w:rsid w:val="00850EA1"/>
    <w:rsid w:val="00851166"/>
    <w:rsid w:val="00851188"/>
    <w:rsid w:val="00851193"/>
    <w:rsid w:val="008512DD"/>
    <w:rsid w:val="00851320"/>
    <w:rsid w:val="00851352"/>
    <w:rsid w:val="008517D4"/>
    <w:rsid w:val="008517F1"/>
    <w:rsid w:val="00851910"/>
    <w:rsid w:val="00851935"/>
    <w:rsid w:val="00851A3B"/>
    <w:rsid w:val="00851B7A"/>
    <w:rsid w:val="00851CFB"/>
    <w:rsid w:val="00851E4A"/>
    <w:rsid w:val="00851E73"/>
    <w:rsid w:val="00851E81"/>
    <w:rsid w:val="00851EC5"/>
    <w:rsid w:val="00851F3D"/>
    <w:rsid w:val="0085212E"/>
    <w:rsid w:val="00852275"/>
    <w:rsid w:val="00852301"/>
    <w:rsid w:val="00852426"/>
    <w:rsid w:val="008525C5"/>
    <w:rsid w:val="008527B0"/>
    <w:rsid w:val="0085292B"/>
    <w:rsid w:val="008529E4"/>
    <w:rsid w:val="00852A82"/>
    <w:rsid w:val="00852C03"/>
    <w:rsid w:val="00852CD3"/>
    <w:rsid w:val="00852D88"/>
    <w:rsid w:val="00852DF8"/>
    <w:rsid w:val="00852E64"/>
    <w:rsid w:val="00852EBC"/>
    <w:rsid w:val="00852EF0"/>
    <w:rsid w:val="0085309B"/>
    <w:rsid w:val="008531AA"/>
    <w:rsid w:val="0085323C"/>
    <w:rsid w:val="0085332C"/>
    <w:rsid w:val="00853553"/>
    <w:rsid w:val="00853787"/>
    <w:rsid w:val="008537EC"/>
    <w:rsid w:val="00853908"/>
    <w:rsid w:val="00853AA3"/>
    <w:rsid w:val="00853C94"/>
    <w:rsid w:val="00853EEE"/>
    <w:rsid w:val="008540E7"/>
    <w:rsid w:val="0085425C"/>
    <w:rsid w:val="008543B9"/>
    <w:rsid w:val="00854834"/>
    <w:rsid w:val="008548A4"/>
    <w:rsid w:val="00854A9B"/>
    <w:rsid w:val="00854D69"/>
    <w:rsid w:val="00854EA7"/>
    <w:rsid w:val="00854F7E"/>
    <w:rsid w:val="008550DF"/>
    <w:rsid w:val="00855106"/>
    <w:rsid w:val="0085540D"/>
    <w:rsid w:val="00855704"/>
    <w:rsid w:val="00855780"/>
    <w:rsid w:val="00855795"/>
    <w:rsid w:val="00855C05"/>
    <w:rsid w:val="00855EB7"/>
    <w:rsid w:val="0085607C"/>
    <w:rsid w:val="0085612D"/>
    <w:rsid w:val="00856186"/>
    <w:rsid w:val="00856208"/>
    <w:rsid w:val="008562E9"/>
    <w:rsid w:val="00856359"/>
    <w:rsid w:val="008563AF"/>
    <w:rsid w:val="008563F6"/>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A57"/>
    <w:rsid w:val="00857BEB"/>
    <w:rsid w:val="00857BFB"/>
    <w:rsid w:val="00857CDC"/>
    <w:rsid w:val="00857E90"/>
    <w:rsid w:val="00857E93"/>
    <w:rsid w:val="00860025"/>
    <w:rsid w:val="008602E1"/>
    <w:rsid w:val="0086035D"/>
    <w:rsid w:val="008603FC"/>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1C9"/>
    <w:rsid w:val="00862279"/>
    <w:rsid w:val="00862286"/>
    <w:rsid w:val="008622F3"/>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5C2"/>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83A"/>
    <w:rsid w:val="0086498B"/>
    <w:rsid w:val="008649A8"/>
    <w:rsid w:val="00864C71"/>
    <w:rsid w:val="00864D41"/>
    <w:rsid w:val="00864DC3"/>
    <w:rsid w:val="0086501B"/>
    <w:rsid w:val="00865433"/>
    <w:rsid w:val="008654D1"/>
    <w:rsid w:val="0086571A"/>
    <w:rsid w:val="008658F2"/>
    <w:rsid w:val="00865A5F"/>
    <w:rsid w:val="00865CCC"/>
    <w:rsid w:val="00865D00"/>
    <w:rsid w:val="00865D5B"/>
    <w:rsid w:val="00866075"/>
    <w:rsid w:val="00866083"/>
    <w:rsid w:val="0086612B"/>
    <w:rsid w:val="008664FB"/>
    <w:rsid w:val="00866593"/>
    <w:rsid w:val="008665B6"/>
    <w:rsid w:val="00866889"/>
    <w:rsid w:val="0086699B"/>
    <w:rsid w:val="00866A22"/>
    <w:rsid w:val="00866B85"/>
    <w:rsid w:val="00866C60"/>
    <w:rsid w:val="00866E6B"/>
    <w:rsid w:val="00866F31"/>
    <w:rsid w:val="00866F4C"/>
    <w:rsid w:val="00866F53"/>
    <w:rsid w:val="00866F82"/>
    <w:rsid w:val="008673AC"/>
    <w:rsid w:val="00867417"/>
    <w:rsid w:val="00867615"/>
    <w:rsid w:val="00867805"/>
    <w:rsid w:val="00867811"/>
    <w:rsid w:val="0086786B"/>
    <w:rsid w:val="0086789E"/>
    <w:rsid w:val="008679E3"/>
    <w:rsid w:val="00867B03"/>
    <w:rsid w:val="00867B36"/>
    <w:rsid w:val="00867BD9"/>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3C0"/>
    <w:rsid w:val="008715CB"/>
    <w:rsid w:val="008715D3"/>
    <w:rsid w:val="00871660"/>
    <w:rsid w:val="008717EC"/>
    <w:rsid w:val="008717F1"/>
    <w:rsid w:val="008718C1"/>
    <w:rsid w:val="00871A51"/>
    <w:rsid w:val="00871C71"/>
    <w:rsid w:val="00871CCF"/>
    <w:rsid w:val="00871D7A"/>
    <w:rsid w:val="00871EAD"/>
    <w:rsid w:val="00872038"/>
    <w:rsid w:val="00872069"/>
    <w:rsid w:val="00872141"/>
    <w:rsid w:val="008721DD"/>
    <w:rsid w:val="00872251"/>
    <w:rsid w:val="00872336"/>
    <w:rsid w:val="00872374"/>
    <w:rsid w:val="008726ED"/>
    <w:rsid w:val="00872AA5"/>
    <w:rsid w:val="00872C4E"/>
    <w:rsid w:val="00872C5E"/>
    <w:rsid w:val="00872C77"/>
    <w:rsid w:val="00872CC6"/>
    <w:rsid w:val="00872D1D"/>
    <w:rsid w:val="00872D52"/>
    <w:rsid w:val="00872E2E"/>
    <w:rsid w:val="00872FB2"/>
    <w:rsid w:val="008732C4"/>
    <w:rsid w:val="008735D5"/>
    <w:rsid w:val="008735E7"/>
    <w:rsid w:val="0087362B"/>
    <w:rsid w:val="008736CD"/>
    <w:rsid w:val="008738DD"/>
    <w:rsid w:val="00873CAE"/>
    <w:rsid w:val="00873DB9"/>
    <w:rsid w:val="00873E2D"/>
    <w:rsid w:val="00873EDB"/>
    <w:rsid w:val="00873F4B"/>
    <w:rsid w:val="00874068"/>
    <w:rsid w:val="0087412E"/>
    <w:rsid w:val="0087444F"/>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057"/>
    <w:rsid w:val="008761C2"/>
    <w:rsid w:val="008761D5"/>
    <w:rsid w:val="00876289"/>
    <w:rsid w:val="008769B7"/>
    <w:rsid w:val="00876A25"/>
    <w:rsid w:val="00876A59"/>
    <w:rsid w:val="00876B73"/>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79"/>
    <w:rsid w:val="00877D8C"/>
    <w:rsid w:val="00877EA9"/>
    <w:rsid w:val="00877FD9"/>
    <w:rsid w:val="008801D6"/>
    <w:rsid w:val="0088026B"/>
    <w:rsid w:val="00880278"/>
    <w:rsid w:val="0088028C"/>
    <w:rsid w:val="00880291"/>
    <w:rsid w:val="00880512"/>
    <w:rsid w:val="008806C4"/>
    <w:rsid w:val="0088090F"/>
    <w:rsid w:val="00880931"/>
    <w:rsid w:val="00880968"/>
    <w:rsid w:val="008809BD"/>
    <w:rsid w:val="00880E0B"/>
    <w:rsid w:val="00880FA8"/>
    <w:rsid w:val="008811DB"/>
    <w:rsid w:val="0088128C"/>
    <w:rsid w:val="008813E6"/>
    <w:rsid w:val="008813FC"/>
    <w:rsid w:val="00881462"/>
    <w:rsid w:val="0088149A"/>
    <w:rsid w:val="0088152D"/>
    <w:rsid w:val="008815EA"/>
    <w:rsid w:val="008818A6"/>
    <w:rsid w:val="008819E2"/>
    <w:rsid w:val="00881A6B"/>
    <w:rsid w:val="00881C94"/>
    <w:rsid w:val="00881CEC"/>
    <w:rsid w:val="008824A9"/>
    <w:rsid w:val="0088261C"/>
    <w:rsid w:val="00882677"/>
    <w:rsid w:val="008826C1"/>
    <w:rsid w:val="00882739"/>
    <w:rsid w:val="0088288C"/>
    <w:rsid w:val="008828E8"/>
    <w:rsid w:val="00882A8F"/>
    <w:rsid w:val="00882B5B"/>
    <w:rsid w:val="00882BFB"/>
    <w:rsid w:val="00882D52"/>
    <w:rsid w:val="00882D63"/>
    <w:rsid w:val="00882EEE"/>
    <w:rsid w:val="0088310F"/>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677"/>
    <w:rsid w:val="0088493D"/>
    <w:rsid w:val="00884A38"/>
    <w:rsid w:val="00884FEF"/>
    <w:rsid w:val="0088500E"/>
    <w:rsid w:val="0088504B"/>
    <w:rsid w:val="00885120"/>
    <w:rsid w:val="0088529F"/>
    <w:rsid w:val="0088547D"/>
    <w:rsid w:val="008854EB"/>
    <w:rsid w:val="0088566E"/>
    <w:rsid w:val="00885766"/>
    <w:rsid w:val="008857D4"/>
    <w:rsid w:val="0088586C"/>
    <w:rsid w:val="00885B21"/>
    <w:rsid w:val="00885E58"/>
    <w:rsid w:val="008863EB"/>
    <w:rsid w:val="00886ADE"/>
    <w:rsid w:val="00886B0F"/>
    <w:rsid w:val="00886C28"/>
    <w:rsid w:val="00886CF8"/>
    <w:rsid w:val="00886D47"/>
    <w:rsid w:val="00887130"/>
    <w:rsid w:val="00887252"/>
    <w:rsid w:val="008872DE"/>
    <w:rsid w:val="008873D2"/>
    <w:rsid w:val="00887451"/>
    <w:rsid w:val="0088748D"/>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23"/>
    <w:rsid w:val="008908AB"/>
    <w:rsid w:val="00890CA5"/>
    <w:rsid w:val="00890CD9"/>
    <w:rsid w:val="00890D42"/>
    <w:rsid w:val="00890DA1"/>
    <w:rsid w:val="00890E24"/>
    <w:rsid w:val="00890E99"/>
    <w:rsid w:val="00890FC3"/>
    <w:rsid w:val="008910A1"/>
    <w:rsid w:val="0089113C"/>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1FF2"/>
    <w:rsid w:val="0089211A"/>
    <w:rsid w:val="00892384"/>
    <w:rsid w:val="008924E6"/>
    <w:rsid w:val="00892646"/>
    <w:rsid w:val="008926FB"/>
    <w:rsid w:val="00892859"/>
    <w:rsid w:val="00892940"/>
    <w:rsid w:val="00892A09"/>
    <w:rsid w:val="00892B04"/>
    <w:rsid w:val="00892BB5"/>
    <w:rsid w:val="00892C18"/>
    <w:rsid w:val="00892CEA"/>
    <w:rsid w:val="00892E1A"/>
    <w:rsid w:val="00892F73"/>
    <w:rsid w:val="00893057"/>
    <w:rsid w:val="0089311D"/>
    <w:rsid w:val="00893192"/>
    <w:rsid w:val="00893324"/>
    <w:rsid w:val="00893363"/>
    <w:rsid w:val="008933BA"/>
    <w:rsid w:val="008936D0"/>
    <w:rsid w:val="008936E1"/>
    <w:rsid w:val="0089377C"/>
    <w:rsid w:val="008939EA"/>
    <w:rsid w:val="00893B8C"/>
    <w:rsid w:val="00893F7C"/>
    <w:rsid w:val="00894475"/>
    <w:rsid w:val="00894512"/>
    <w:rsid w:val="008947C9"/>
    <w:rsid w:val="00894A5C"/>
    <w:rsid w:val="00894B58"/>
    <w:rsid w:val="00894C7A"/>
    <w:rsid w:val="00894D4E"/>
    <w:rsid w:val="00894E4F"/>
    <w:rsid w:val="00894F4F"/>
    <w:rsid w:val="00895113"/>
    <w:rsid w:val="0089518B"/>
    <w:rsid w:val="0089554E"/>
    <w:rsid w:val="00895580"/>
    <w:rsid w:val="00895597"/>
    <w:rsid w:val="0089560D"/>
    <w:rsid w:val="0089562E"/>
    <w:rsid w:val="0089570D"/>
    <w:rsid w:val="008957F8"/>
    <w:rsid w:val="00895B79"/>
    <w:rsid w:val="00895E0E"/>
    <w:rsid w:val="00895E62"/>
    <w:rsid w:val="00895E72"/>
    <w:rsid w:val="00895ED5"/>
    <w:rsid w:val="00895F6D"/>
    <w:rsid w:val="00896054"/>
    <w:rsid w:val="0089608E"/>
    <w:rsid w:val="00896268"/>
    <w:rsid w:val="0089631F"/>
    <w:rsid w:val="008963F1"/>
    <w:rsid w:val="0089649A"/>
    <w:rsid w:val="008965CA"/>
    <w:rsid w:val="00896654"/>
    <w:rsid w:val="0089670A"/>
    <w:rsid w:val="0089682E"/>
    <w:rsid w:val="00896C89"/>
    <w:rsid w:val="00896DA6"/>
    <w:rsid w:val="00896DDC"/>
    <w:rsid w:val="00896E48"/>
    <w:rsid w:val="008970BA"/>
    <w:rsid w:val="008970CB"/>
    <w:rsid w:val="008970CF"/>
    <w:rsid w:val="0089720C"/>
    <w:rsid w:val="00897394"/>
    <w:rsid w:val="00897563"/>
    <w:rsid w:val="00897666"/>
    <w:rsid w:val="008976D5"/>
    <w:rsid w:val="008976E3"/>
    <w:rsid w:val="00897704"/>
    <w:rsid w:val="00897898"/>
    <w:rsid w:val="008978BC"/>
    <w:rsid w:val="0089792C"/>
    <w:rsid w:val="0089794C"/>
    <w:rsid w:val="00897962"/>
    <w:rsid w:val="00897A66"/>
    <w:rsid w:val="00897B2C"/>
    <w:rsid w:val="00897C0B"/>
    <w:rsid w:val="00897C44"/>
    <w:rsid w:val="00897D12"/>
    <w:rsid w:val="00897D29"/>
    <w:rsid w:val="00897D3C"/>
    <w:rsid w:val="00897EC2"/>
    <w:rsid w:val="008A0116"/>
    <w:rsid w:val="008A0467"/>
    <w:rsid w:val="008A0835"/>
    <w:rsid w:val="008A08E0"/>
    <w:rsid w:val="008A0930"/>
    <w:rsid w:val="008A0986"/>
    <w:rsid w:val="008A0BDD"/>
    <w:rsid w:val="008A0C58"/>
    <w:rsid w:val="008A0CE2"/>
    <w:rsid w:val="008A1262"/>
    <w:rsid w:val="008A14EB"/>
    <w:rsid w:val="008A150B"/>
    <w:rsid w:val="008A16E2"/>
    <w:rsid w:val="008A1942"/>
    <w:rsid w:val="008A1972"/>
    <w:rsid w:val="008A19F1"/>
    <w:rsid w:val="008A1ABE"/>
    <w:rsid w:val="008A1DEE"/>
    <w:rsid w:val="008A22CA"/>
    <w:rsid w:val="008A231F"/>
    <w:rsid w:val="008A2520"/>
    <w:rsid w:val="008A2561"/>
    <w:rsid w:val="008A262F"/>
    <w:rsid w:val="008A2646"/>
    <w:rsid w:val="008A2991"/>
    <w:rsid w:val="008A2A63"/>
    <w:rsid w:val="008A2ACB"/>
    <w:rsid w:val="008A2AD3"/>
    <w:rsid w:val="008A2ADB"/>
    <w:rsid w:val="008A2B05"/>
    <w:rsid w:val="008A2B0C"/>
    <w:rsid w:val="008A2BE4"/>
    <w:rsid w:val="008A2C61"/>
    <w:rsid w:val="008A2D54"/>
    <w:rsid w:val="008A2DE7"/>
    <w:rsid w:val="008A2E90"/>
    <w:rsid w:val="008A2E9E"/>
    <w:rsid w:val="008A31AB"/>
    <w:rsid w:val="008A324B"/>
    <w:rsid w:val="008A344A"/>
    <w:rsid w:val="008A3479"/>
    <w:rsid w:val="008A34FD"/>
    <w:rsid w:val="008A36C0"/>
    <w:rsid w:val="008A36DF"/>
    <w:rsid w:val="008A3931"/>
    <w:rsid w:val="008A39BF"/>
    <w:rsid w:val="008A3A30"/>
    <w:rsid w:val="008A3A9D"/>
    <w:rsid w:val="008A3B93"/>
    <w:rsid w:val="008A3BE7"/>
    <w:rsid w:val="008A3FBB"/>
    <w:rsid w:val="008A416E"/>
    <w:rsid w:val="008A433C"/>
    <w:rsid w:val="008A43BE"/>
    <w:rsid w:val="008A441B"/>
    <w:rsid w:val="008A45CD"/>
    <w:rsid w:val="008A4766"/>
    <w:rsid w:val="008A47F7"/>
    <w:rsid w:val="008A489E"/>
    <w:rsid w:val="008A4933"/>
    <w:rsid w:val="008A4A24"/>
    <w:rsid w:val="008A4E75"/>
    <w:rsid w:val="008A4EB5"/>
    <w:rsid w:val="008A4FAF"/>
    <w:rsid w:val="008A5072"/>
    <w:rsid w:val="008A520A"/>
    <w:rsid w:val="008A53E2"/>
    <w:rsid w:val="008A54FE"/>
    <w:rsid w:val="008A56EC"/>
    <w:rsid w:val="008A5846"/>
    <w:rsid w:val="008A59AD"/>
    <w:rsid w:val="008A5AB1"/>
    <w:rsid w:val="008A5AD7"/>
    <w:rsid w:val="008A5DDA"/>
    <w:rsid w:val="008A5E04"/>
    <w:rsid w:val="008A5E20"/>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81"/>
    <w:rsid w:val="008A79E2"/>
    <w:rsid w:val="008A79E8"/>
    <w:rsid w:val="008A7C1E"/>
    <w:rsid w:val="008A7D7E"/>
    <w:rsid w:val="008A7EEA"/>
    <w:rsid w:val="008B01B0"/>
    <w:rsid w:val="008B0315"/>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1F78"/>
    <w:rsid w:val="008B2156"/>
    <w:rsid w:val="008B2322"/>
    <w:rsid w:val="008B25B6"/>
    <w:rsid w:val="008B25BC"/>
    <w:rsid w:val="008B25C6"/>
    <w:rsid w:val="008B2771"/>
    <w:rsid w:val="008B289A"/>
    <w:rsid w:val="008B2907"/>
    <w:rsid w:val="008B2B76"/>
    <w:rsid w:val="008B2B99"/>
    <w:rsid w:val="008B2B9E"/>
    <w:rsid w:val="008B2BA4"/>
    <w:rsid w:val="008B2DCA"/>
    <w:rsid w:val="008B2F00"/>
    <w:rsid w:val="008B3050"/>
    <w:rsid w:val="008B31D3"/>
    <w:rsid w:val="008B32CA"/>
    <w:rsid w:val="008B3375"/>
    <w:rsid w:val="008B33AD"/>
    <w:rsid w:val="008B3682"/>
    <w:rsid w:val="008B36EE"/>
    <w:rsid w:val="008B376A"/>
    <w:rsid w:val="008B397E"/>
    <w:rsid w:val="008B3A50"/>
    <w:rsid w:val="008B3ABA"/>
    <w:rsid w:val="008B3AE4"/>
    <w:rsid w:val="008B3B60"/>
    <w:rsid w:val="008B3B77"/>
    <w:rsid w:val="008B3B87"/>
    <w:rsid w:val="008B3D51"/>
    <w:rsid w:val="008B3D88"/>
    <w:rsid w:val="008B3F74"/>
    <w:rsid w:val="008B4017"/>
    <w:rsid w:val="008B4040"/>
    <w:rsid w:val="008B42C7"/>
    <w:rsid w:val="008B44BE"/>
    <w:rsid w:val="008B474B"/>
    <w:rsid w:val="008B48E3"/>
    <w:rsid w:val="008B496A"/>
    <w:rsid w:val="008B4C17"/>
    <w:rsid w:val="008B4C42"/>
    <w:rsid w:val="008B4C47"/>
    <w:rsid w:val="008B4CB3"/>
    <w:rsid w:val="008B4CFF"/>
    <w:rsid w:val="008B4ECC"/>
    <w:rsid w:val="008B4FB3"/>
    <w:rsid w:val="008B5119"/>
    <w:rsid w:val="008B523B"/>
    <w:rsid w:val="008B54C8"/>
    <w:rsid w:val="008B5572"/>
    <w:rsid w:val="008B55BC"/>
    <w:rsid w:val="008B5868"/>
    <w:rsid w:val="008B5A03"/>
    <w:rsid w:val="008B5A0B"/>
    <w:rsid w:val="008B5B15"/>
    <w:rsid w:val="008B5C53"/>
    <w:rsid w:val="008B5D4E"/>
    <w:rsid w:val="008B5E6C"/>
    <w:rsid w:val="008B5EAC"/>
    <w:rsid w:val="008B60C7"/>
    <w:rsid w:val="008B638E"/>
    <w:rsid w:val="008B64C2"/>
    <w:rsid w:val="008B6614"/>
    <w:rsid w:val="008B6624"/>
    <w:rsid w:val="008B6829"/>
    <w:rsid w:val="008B6847"/>
    <w:rsid w:val="008B68C1"/>
    <w:rsid w:val="008B6B0D"/>
    <w:rsid w:val="008B6B83"/>
    <w:rsid w:val="008B6C59"/>
    <w:rsid w:val="008B6D11"/>
    <w:rsid w:val="008B6D63"/>
    <w:rsid w:val="008B6F0D"/>
    <w:rsid w:val="008B768B"/>
    <w:rsid w:val="008B77D8"/>
    <w:rsid w:val="008B7881"/>
    <w:rsid w:val="008B7A5A"/>
    <w:rsid w:val="008B7C6A"/>
    <w:rsid w:val="008B7CC2"/>
    <w:rsid w:val="008B7DCF"/>
    <w:rsid w:val="008B7E17"/>
    <w:rsid w:val="008B7E2F"/>
    <w:rsid w:val="008B7E46"/>
    <w:rsid w:val="008C000C"/>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0E8"/>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27"/>
    <w:rsid w:val="008C26B4"/>
    <w:rsid w:val="008C27D4"/>
    <w:rsid w:val="008C2821"/>
    <w:rsid w:val="008C2922"/>
    <w:rsid w:val="008C29C8"/>
    <w:rsid w:val="008C2BC5"/>
    <w:rsid w:val="008C2EB1"/>
    <w:rsid w:val="008C2EC0"/>
    <w:rsid w:val="008C309F"/>
    <w:rsid w:val="008C30F4"/>
    <w:rsid w:val="008C31C8"/>
    <w:rsid w:val="008C3239"/>
    <w:rsid w:val="008C3283"/>
    <w:rsid w:val="008C3655"/>
    <w:rsid w:val="008C3672"/>
    <w:rsid w:val="008C369D"/>
    <w:rsid w:val="008C36A0"/>
    <w:rsid w:val="008C370E"/>
    <w:rsid w:val="008C38DB"/>
    <w:rsid w:val="008C3963"/>
    <w:rsid w:val="008C39A3"/>
    <w:rsid w:val="008C39A4"/>
    <w:rsid w:val="008C3AAA"/>
    <w:rsid w:val="008C3AD8"/>
    <w:rsid w:val="008C3B76"/>
    <w:rsid w:val="008C3E30"/>
    <w:rsid w:val="008C42BE"/>
    <w:rsid w:val="008C42F4"/>
    <w:rsid w:val="008C4446"/>
    <w:rsid w:val="008C44E3"/>
    <w:rsid w:val="008C4533"/>
    <w:rsid w:val="008C45CB"/>
    <w:rsid w:val="008C46A2"/>
    <w:rsid w:val="008C46BE"/>
    <w:rsid w:val="008C470E"/>
    <w:rsid w:val="008C49C9"/>
    <w:rsid w:val="008C4A59"/>
    <w:rsid w:val="008C4CD2"/>
    <w:rsid w:val="008C4D6B"/>
    <w:rsid w:val="008C4D86"/>
    <w:rsid w:val="008C4DFB"/>
    <w:rsid w:val="008C510C"/>
    <w:rsid w:val="008C52B8"/>
    <w:rsid w:val="008C5493"/>
    <w:rsid w:val="008C553C"/>
    <w:rsid w:val="008C56AF"/>
    <w:rsid w:val="008C591E"/>
    <w:rsid w:val="008C5AC7"/>
    <w:rsid w:val="008C5CC2"/>
    <w:rsid w:val="008C5D0C"/>
    <w:rsid w:val="008C5D52"/>
    <w:rsid w:val="008C5ECA"/>
    <w:rsid w:val="008C5F4A"/>
    <w:rsid w:val="008C603B"/>
    <w:rsid w:val="008C62F2"/>
    <w:rsid w:val="008C661F"/>
    <w:rsid w:val="008C6679"/>
    <w:rsid w:val="008C67B2"/>
    <w:rsid w:val="008C682C"/>
    <w:rsid w:val="008C6855"/>
    <w:rsid w:val="008C68BB"/>
    <w:rsid w:val="008C68CB"/>
    <w:rsid w:val="008C6A7A"/>
    <w:rsid w:val="008C6AD9"/>
    <w:rsid w:val="008C6BA0"/>
    <w:rsid w:val="008C6C0E"/>
    <w:rsid w:val="008C6EB4"/>
    <w:rsid w:val="008C6FE5"/>
    <w:rsid w:val="008C720B"/>
    <w:rsid w:val="008C72CB"/>
    <w:rsid w:val="008C7308"/>
    <w:rsid w:val="008C73EB"/>
    <w:rsid w:val="008C7454"/>
    <w:rsid w:val="008C763A"/>
    <w:rsid w:val="008C7715"/>
    <w:rsid w:val="008C779F"/>
    <w:rsid w:val="008C79F7"/>
    <w:rsid w:val="008C7C6C"/>
    <w:rsid w:val="008C7D21"/>
    <w:rsid w:val="008C7D42"/>
    <w:rsid w:val="008C7E0A"/>
    <w:rsid w:val="008C7EF8"/>
    <w:rsid w:val="008D01BD"/>
    <w:rsid w:val="008D0312"/>
    <w:rsid w:val="008D06BF"/>
    <w:rsid w:val="008D08FC"/>
    <w:rsid w:val="008D0940"/>
    <w:rsid w:val="008D0998"/>
    <w:rsid w:val="008D0A0A"/>
    <w:rsid w:val="008D0A14"/>
    <w:rsid w:val="008D0AC8"/>
    <w:rsid w:val="008D0D0F"/>
    <w:rsid w:val="008D0EAF"/>
    <w:rsid w:val="008D0F38"/>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C71"/>
    <w:rsid w:val="008D1E6C"/>
    <w:rsid w:val="008D2062"/>
    <w:rsid w:val="008D2316"/>
    <w:rsid w:val="008D2444"/>
    <w:rsid w:val="008D25A1"/>
    <w:rsid w:val="008D2660"/>
    <w:rsid w:val="008D2842"/>
    <w:rsid w:val="008D2B33"/>
    <w:rsid w:val="008D2C25"/>
    <w:rsid w:val="008D2D73"/>
    <w:rsid w:val="008D2EE5"/>
    <w:rsid w:val="008D2F75"/>
    <w:rsid w:val="008D300A"/>
    <w:rsid w:val="008D31CD"/>
    <w:rsid w:val="008D33D9"/>
    <w:rsid w:val="008D36E0"/>
    <w:rsid w:val="008D3755"/>
    <w:rsid w:val="008D39A1"/>
    <w:rsid w:val="008D3C09"/>
    <w:rsid w:val="008D3CA6"/>
    <w:rsid w:val="008D3D46"/>
    <w:rsid w:val="008D3D9E"/>
    <w:rsid w:val="008D3DDD"/>
    <w:rsid w:val="008D3E9B"/>
    <w:rsid w:val="008D3EA5"/>
    <w:rsid w:val="008D3F64"/>
    <w:rsid w:val="008D3F66"/>
    <w:rsid w:val="008D3FDD"/>
    <w:rsid w:val="008D4000"/>
    <w:rsid w:val="008D402C"/>
    <w:rsid w:val="008D403F"/>
    <w:rsid w:val="008D4249"/>
    <w:rsid w:val="008D42EF"/>
    <w:rsid w:val="008D49D5"/>
    <w:rsid w:val="008D4B28"/>
    <w:rsid w:val="008D4DDF"/>
    <w:rsid w:val="008D4F9E"/>
    <w:rsid w:val="008D4FD3"/>
    <w:rsid w:val="008D50E6"/>
    <w:rsid w:val="008D5142"/>
    <w:rsid w:val="008D5531"/>
    <w:rsid w:val="008D59DA"/>
    <w:rsid w:val="008D5A21"/>
    <w:rsid w:val="008D5A58"/>
    <w:rsid w:val="008D5B04"/>
    <w:rsid w:val="008D5D5B"/>
    <w:rsid w:val="008D5DE2"/>
    <w:rsid w:val="008D5DEE"/>
    <w:rsid w:val="008D5E64"/>
    <w:rsid w:val="008D5F80"/>
    <w:rsid w:val="008D5FED"/>
    <w:rsid w:val="008D60F0"/>
    <w:rsid w:val="008D6137"/>
    <w:rsid w:val="008D61C8"/>
    <w:rsid w:val="008D61E7"/>
    <w:rsid w:val="008D6382"/>
    <w:rsid w:val="008D64C8"/>
    <w:rsid w:val="008D6565"/>
    <w:rsid w:val="008D65C3"/>
    <w:rsid w:val="008D66F1"/>
    <w:rsid w:val="008D6721"/>
    <w:rsid w:val="008D67AE"/>
    <w:rsid w:val="008D6970"/>
    <w:rsid w:val="008D69BB"/>
    <w:rsid w:val="008D6A5A"/>
    <w:rsid w:val="008D6AD6"/>
    <w:rsid w:val="008D6B32"/>
    <w:rsid w:val="008D6B90"/>
    <w:rsid w:val="008D6CDE"/>
    <w:rsid w:val="008D6D33"/>
    <w:rsid w:val="008D6E30"/>
    <w:rsid w:val="008D6EDF"/>
    <w:rsid w:val="008D70D9"/>
    <w:rsid w:val="008D7158"/>
    <w:rsid w:val="008D732B"/>
    <w:rsid w:val="008D737E"/>
    <w:rsid w:val="008D7576"/>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25"/>
    <w:rsid w:val="008E085B"/>
    <w:rsid w:val="008E0984"/>
    <w:rsid w:val="008E09EC"/>
    <w:rsid w:val="008E0D5F"/>
    <w:rsid w:val="008E0F03"/>
    <w:rsid w:val="008E1032"/>
    <w:rsid w:val="008E10A4"/>
    <w:rsid w:val="008E10D4"/>
    <w:rsid w:val="008E1191"/>
    <w:rsid w:val="008E131B"/>
    <w:rsid w:val="008E147E"/>
    <w:rsid w:val="008E1486"/>
    <w:rsid w:val="008E148B"/>
    <w:rsid w:val="008E174C"/>
    <w:rsid w:val="008E1A6C"/>
    <w:rsid w:val="008E1AEA"/>
    <w:rsid w:val="008E1BA8"/>
    <w:rsid w:val="008E1C36"/>
    <w:rsid w:val="008E1C52"/>
    <w:rsid w:val="008E1F1F"/>
    <w:rsid w:val="008E1F25"/>
    <w:rsid w:val="008E1F98"/>
    <w:rsid w:val="008E21A4"/>
    <w:rsid w:val="008E2442"/>
    <w:rsid w:val="008E2532"/>
    <w:rsid w:val="008E2570"/>
    <w:rsid w:val="008E25C1"/>
    <w:rsid w:val="008E26F2"/>
    <w:rsid w:val="008E28F3"/>
    <w:rsid w:val="008E2981"/>
    <w:rsid w:val="008E2AAD"/>
    <w:rsid w:val="008E2B7F"/>
    <w:rsid w:val="008E2C80"/>
    <w:rsid w:val="008E2D71"/>
    <w:rsid w:val="008E2E3E"/>
    <w:rsid w:val="008E2E40"/>
    <w:rsid w:val="008E2EBA"/>
    <w:rsid w:val="008E2FE3"/>
    <w:rsid w:val="008E31F2"/>
    <w:rsid w:val="008E35CE"/>
    <w:rsid w:val="008E3703"/>
    <w:rsid w:val="008E3892"/>
    <w:rsid w:val="008E3896"/>
    <w:rsid w:val="008E38C0"/>
    <w:rsid w:val="008E3902"/>
    <w:rsid w:val="008E39C2"/>
    <w:rsid w:val="008E39F0"/>
    <w:rsid w:val="008E39F2"/>
    <w:rsid w:val="008E3B22"/>
    <w:rsid w:val="008E3F5C"/>
    <w:rsid w:val="008E434B"/>
    <w:rsid w:val="008E43F9"/>
    <w:rsid w:val="008E45AC"/>
    <w:rsid w:val="008E4619"/>
    <w:rsid w:val="008E4817"/>
    <w:rsid w:val="008E486E"/>
    <w:rsid w:val="008E48C9"/>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9B2"/>
    <w:rsid w:val="008E5EEA"/>
    <w:rsid w:val="008E5FD3"/>
    <w:rsid w:val="008E6158"/>
    <w:rsid w:val="008E627A"/>
    <w:rsid w:val="008E6328"/>
    <w:rsid w:val="008E653D"/>
    <w:rsid w:val="008E661D"/>
    <w:rsid w:val="008E67A4"/>
    <w:rsid w:val="008E67AE"/>
    <w:rsid w:val="008E68C0"/>
    <w:rsid w:val="008E6C37"/>
    <w:rsid w:val="008E6DFA"/>
    <w:rsid w:val="008E6E33"/>
    <w:rsid w:val="008E6E71"/>
    <w:rsid w:val="008E6EF1"/>
    <w:rsid w:val="008E71B0"/>
    <w:rsid w:val="008E7223"/>
    <w:rsid w:val="008E722C"/>
    <w:rsid w:val="008E728B"/>
    <w:rsid w:val="008E72AC"/>
    <w:rsid w:val="008E746D"/>
    <w:rsid w:val="008E749E"/>
    <w:rsid w:val="008E77DF"/>
    <w:rsid w:val="008E7842"/>
    <w:rsid w:val="008E7A51"/>
    <w:rsid w:val="008E7CEC"/>
    <w:rsid w:val="008E7D95"/>
    <w:rsid w:val="008E7E38"/>
    <w:rsid w:val="008F014D"/>
    <w:rsid w:val="008F022B"/>
    <w:rsid w:val="008F04E2"/>
    <w:rsid w:val="008F053B"/>
    <w:rsid w:val="008F070E"/>
    <w:rsid w:val="008F0871"/>
    <w:rsid w:val="008F0BE2"/>
    <w:rsid w:val="008F0CE9"/>
    <w:rsid w:val="008F0CF8"/>
    <w:rsid w:val="008F0D6A"/>
    <w:rsid w:val="008F0D80"/>
    <w:rsid w:val="008F0E2A"/>
    <w:rsid w:val="008F0FBB"/>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DD8"/>
    <w:rsid w:val="008F2E1C"/>
    <w:rsid w:val="008F2E99"/>
    <w:rsid w:val="008F30EF"/>
    <w:rsid w:val="008F315F"/>
    <w:rsid w:val="008F31A3"/>
    <w:rsid w:val="008F3227"/>
    <w:rsid w:val="008F3250"/>
    <w:rsid w:val="008F3273"/>
    <w:rsid w:val="008F3312"/>
    <w:rsid w:val="008F337A"/>
    <w:rsid w:val="008F34F6"/>
    <w:rsid w:val="008F3826"/>
    <w:rsid w:val="008F3893"/>
    <w:rsid w:val="008F39AD"/>
    <w:rsid w:val="008F3C69"/>
    <w:rsid w:val="008F3F16"/>
    <w:rsid w:val="008F3F37"/>
    <w:rsid w:val="008F40D2"/>
    <w:rsid w:val="008F41DB"/>
    <w:rsid w:val="008F4273"/>
    <w:rsid w:val="008F43E7"/>
    <w:rsid w:val="008F454E"/>
    <w:rsid w:val="008F485A"/>
    <w:rsid w:val="008F4881"/>
    <w:rsid w:val="008F4A42"/>
    <w:rsid w:val="008F4A96"/>
    <w:rsid w:val="008F4BC9"/>
    <w:rsid w:val="008F4BE9"/>
    <w:rsid w:val="008F4CA1"/>
    <w:rsid w:val="008F4CE1"/>
    <w:rsid w:val="008F4F5A"/>
    <w:rsid w:val="008F52AE"/>
    <w:rsid w:val="008F52D5"/>
    <w:rsid w:val="008F53FF"/>
    <w:rsid w:val="008F549B"/>
    <w:rsid w:val="008F55FF"/>
    <w:rsid w:val="008F5620"/>
    <w:rsid w:val="008F569F"/>
    <w:rsid w:val="008F584E"/>
    <w:rsid w:val="008F58C4"/>
    <w:rsid w:val="008F5B78"/>
    <w:rsid w:val="008F5E7C"/>
    <w:rsid w:val="008F5F39"/>
    <w:rsid w:val="008F609D"/>
    <w:rsid w:val="008F6366"/>
    <w:rsid w:val="008F63E8"/>
    <w:rsid w:val="008F64A6"/>
    <w:rsid w:val="008F64A7"/>
    <w:rsid w:val="008F654D"/>
    <w:rsid w:val="008F65F6"/>
    <w:rsid w:val="008F66DC"/>
    <w:rsid w:val="008F6730"/>
    <w:rsid w:val="008F67A4"/>
    <w:rsid w:val="008F6A20"/>
    <w:rsid w:val="008F6DFB"/>
    <w:rsid w:val="008F6E1C"/>
    <w:rsid w:val="008F71B9"/>
    <w:rsid w:val="008F72F3"/>
    <w:rsid w:val="008F735D"/>
    <w:rsid w:val="008F73B7"/>
    <w:rsid w:val="008F73E3"/>
    <w:rsid w:val="008F7405"/>
    <w:rsid w:val="008F742F"/>
    <w:rsid w:val="008F7710"/>
    <w:rsid w:val="008F77BA"/>
    <w:rsid w:val="008F7A81"/>
    <w:rsid w:val="008F7B67"/>
    <w:rsid w:val="008F7BDE"/>
    <w:rsid w:val="008F7D31"/>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CA4"/>
    <w:rsid w:val="00901DA1"/>
    <w:rsid w:val="00901DB8"/>
    <w:rsid w:val="00901E71"/>
    <w:rsid w:val="00901F4E"/>
    <w:rsid w:val="00902012"/>
    <w:rsid w:val="0090202A"/>
    <w:rsid w:val="00902041"/>
    <w:rsid w:val="00902070"/>
    <w:rsid w:val="00902109"/>
    <w:rsid w:val="009021EE"/>
    <w:rsid w:val="00902400"/>
    <w:rsid w:val="00902407"/>
    <w:rsid w:val="009024CD"/>
    <w:rsid w:val="00902580"/>
    <w:rsid w:val="0090262F"/>
    <w:rsid w:val="009026A1"/>
    <w:rsid w:val="009026B8"/>
    <w:rsid w:val="00902A45"/>
    <w:rsid w:val="00902BB6"/>
    <w:rsid w:val="00902F5C"/>
    <w:rsid w:val="00902FDB"/>
    <w:rsid w:val="009030A9"/>
    <w:rsid w:val="00903133"/>
    <w:rsid w:val="00903709"/>
    <w:rsid w:val="009037D9"/>
    <w:rsid w:val="00903CD9"/>
    <w:rsid w:val="00903CE7"/>
    <w:rsid w:val="00903D6B"/>
    <w:rsid w:val="00903E0C"/>
    <w:rsid w:val="00903E53"/>
    <w:rsid w:val="0090405B"/>
    <w:rsid w:val="0090405C"/>
    <w:rsid w:val="009040BE"/>
    <w:rsid w:val="009040D8"/>
    <w:rsid w:val="00904104"/>
    <w:rsid w:val="0090436B"/>
    <w:rsid w:val="009044DE"/>
    <w:rsid w:val="00904527"/>
    <w:rsid w:val="00904575"/>
    <w:rsid w:val="009047BD"/>
    <w:rsid w:val="00904935"/>
    <w:rsid w:val="009049E6"/>
    <w:rsid w:val="00904C8C"/>
    <w:rsid w:val="00904DB1"/>
    <w:rsid w:val="00904E0B"/>
    <w:rsid w:val="009050B8"/>
    <w:rsid w:val="0090524D"/>
    <w:rsid w:val="00905285"/>
    <w:rsid w:val="009052CA"/>
    <w:rsid w:val="009053EE"/>
    <w:rsid w:val="009054FC"/>
    <w:rsid w:val="00905511"/>
    <w:rsid w:val="00905589"/>
    <w:rsid w:val="00905630"/>
    <w:rsid w:val="00905631"/>
    <w:rsid w:val="00905942"/>
    <w:rsid w:val="00905A32"/>
    <w:rsid w:val="00905BC4"/>
    <w:rsid w:val="00905C66"/>
    <w:rsid w:val="00905CB8"/>
    <w:rsid w:val="009060B3"/>
    <w:rsid w:val="0090613F"/>
    <w:rsid w:val="0090664A"/>
    <w:rsid w:val="009066E8"/>
    <w:rsid w:val="0090670C"/>
    <w:rsid w:val="00906788"/>
    <w:rsid w:val="009068C6"/>
    <w:rsid w:val="00906AA8"/>
    <w:rsid w:val="00906B60"/>
    <w:rsid w:val="00906BB0"/>
    <w:rsid w:val="00906BFE"/>
    <w:rsid w:val="00906C18"/>
    <w:rsid w:val="00906F53"/>
    <w:rsid w:val="00906F5A"/>
    <w:rsid w:val="00906FEF"/>
    <w:rsid w:val="009070D3"/>
    <w:rsid w:val="0090713C"/>
    <w:rsid w:val="009071B0"/>
    <w:rsid w:val="00907319"/>
    <w:rsid w:val="009073F6"/>
    <w:rsid w:val="009075B3"/>
    <w:rsid w:val="009075E4"/>
    <w:rsid w:val="00907757"/>
    <w:rsid w:val="009078BC"/>
    <w:rsid w:val="00907E88"/>
    <w:rsid w:val="00907F9C"/>
    <w:rsid w:val="00910039"/>
    <w:rsid w:val="00910051"/>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0D40"/>
    <w:rsid w:val="0091114A"/>
    <w:rsid w:val="009112BF"/>
    <w:rsid w:val="009113BC"/>
    <w:rsid w:val="00911539"/>
    <w:rsid w:val="009115F0"/>
    <w:rsid w:val="00911622"/>
    <w:rsid w:val="00911694"/>
    <w:rsid w:val="009116D4"/>
    <w:rsid w:val="009117B7"/>
    <w:rsid w:val="009118D8"/>
    <w:rsid w:val="00911BE8"/>
    <w:rsid w:val="00911E50"/>
    <w:rsid w:val="00911E95"/>
    <w:rsid w:val="00911EB1"/>
    <w:rsid w:val="00911FF8"/>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A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4C9"/>
    <w:rsid w:val="00914567"/>
    <w:rsid w:val="0091468C"/>
    <w:rsid w:val="009146FC"/>
    <w:rsid w:val="00914B0A"/>
    <w:rsid w:val="00914B9D"/>
    <w:rsid w:val="00914C35"/>
    <w:rsid w:val="00914D26"/>
    <w:rsid w:val="00914EC0"/>
    <w:rsid w:val="00914EEB"/>
    <w:rsid w:val="00915078"/>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738"/>
    <w:rsid w:val="009168B5"/>
    <w:rsid w:val="009169EA"/>
    <w:rsid w:val="00916AC1"/>
    <w:rsid w:val="00916AF6"/>
    <w:rsid w:val="00916C5D"/>
    <w:rsid w:val="00916CC2"/>
    <w:rsid w:val="00916D38"/>
    <w:rsid w:val="00916DA3"/>
    <w:rsid w:val="00916E31"/>
    <w:rsid w:val="0091701E"/>
    <w:rsid w:val="009170D2"/>
    <w:rsid w:val="009172C9"/>
    <w:rsid w:val="009174F3"/>
    <w:rsid w:val="009174F8"/>
    <w:rsid w:val="0091750B"/>
    <w:rsid w:val="00917549"/>
    <w:rsid w:val="0091756F"/>
    <w:rsid w:val="00917757"/>
    <w:rsid w:val="009177B4"/>
    <w:rsid w:val="009177D6"/>
    <w:rsid w:val="00917822"/>
    <w:rsid w:val="00917966"/>
    <w:rsid w:val="00917A5A"/>
    <w:rsid w:val="00917B55"/>
    <w:rsid w:val="00917E88"/>
    <w:rsid w:val="009200A8"/>
    <w:rsid w:val="00920128"/>
    <w:rsid w:val="009203D6"/>
    <w:rsid w:val="00920428"/>
    <w:rsid w:val="00920538"/>
    <w:rsid w:val="0092058D"/>
    <w:rsid w:val="00920675"/>
    <w:rsid w:val="00920877"/>
    <w:rsid w:val="009209CA"/>
    <w:rsid w:val="009209D4"/>
    <w:rsid w:val="00920A08"/>
    <w:rsid w:val="00920AFA"/>
    <w:rsid w:val="00920E08"/>
    <w:rsid w:val="00920E4E"/>
    <w:rsid w:val="00920F15"/>
    <w:rsid w:val="00921156"/>
    <w:rsid w:val="009211CB"/>
    <w:rsid w:val="00921559"/>
    <w:rsid w:val="009215D3"/>
    <w:rsid w:val="009216E3"/>
    <w:rsid w:val="00921D2F"/>
    <w:rsid w:val="00921FF9"/>
    <w:rsid w:val="00922408"/>
    <w:rsid w:val="0092265A"/>
    <w:rsid w:val="009227D8"/>
    <w:rsid w:val="009228D9"/>
    <w:rsid w:val="009229E4"/>
    <w:rsid w:val="00922BDE"/>
    <w:rsid w:val="00922E10"/>
    <w:rsid w:val="00922EE2"/>
    <w:rsid w:val="00922F62"/>
    <w:rsid w:val="00922FB3"/>
    <w:rsid w:val="00923204"/>
    <w:rsid w:val="009234D1"/>
    <w:rsid w:val="0092364A"/>
    <w:rsid w:val="00923780"/>
    <w:rsid w:val="00923791"/>
    <w:rsid w:val="00923793"/>
    <w:rsid w:val="00923940"/>
    <w:rsid w:val="0092398F"/>
    <w:rsid w:val="00923C84"/>
    <w:rsid w:val="00923D29"/>
    <w:rsid w:val="00923D88"/>
    <w:rsid w:val="00924086"/>
    <w:rsid w:val="0092423F"/>
    <w:rsid w:val="0092439C"/>
    <w:rsid w:val="009243C0"/>
    <w:rsid w:val="009243F5"/>
    <w:rsid w:val="0092447F"/>
    <w:rsid w:val="0092469F"/>
    <w:rsid w:val="0092497F"/>
    <w:rsid w:val="00924A9C"/>
    <w:rsid w:val="00924AA6"/>
    <w:rsid w:val="00924ADE"/>
    <w:rsid w:val="00924B6B"/>
    <w:rsid w:val="00924C53"/>
    <w:rsid w:val="00924DD3"/>
    <w:rsid w:val="00924DE8"/>
    <w:rsid w:val="00925119"/>
    <w:rsid w:val="009251FA"/>
    <w:rsid w:val="00925338"/>
    <w:rsid w:val="0092535D"/>
    <w:rsid w:val="0092551F"/>
    <w:rsid w:val="009257A1"/>
    <w:rsid w:val="009257A6"/>
    <w:rsid w:val="009257AA"/>
    <w:rsid w:val="009257C3"/>
    <w:rsid w:val="0092581B"/>
    <w:rsid w:val="00925B91"/>
    <w:rsid w:val="00925E09"/>
    <w:rsid w:val="00925EB6"/>
    <w:rsid w:val="00925F72"/>
    <w:rsid w:val="00925FF1"/>
    <w:rsid w:val="0092623A"/>
    <w:rsid w:val="0092626C"/>
    <w:rsid w:val="00926291"/>
    <w:rsid w:val="009263BD"/>
    <w:rsid w:val="00926405"/>
    <w:rsid w:val="00926A85"/>
    <w:rsid w:val="00926C0D"/>
    <w:rsid w:val="00926C25"/>
    <w:rsid w:val="00926C50"/>
    <w:rsid w:val="00926D27"/>
    <w:rsid w:val="00926DF9"/>
    <w:rsid w:val="00926E75"/>
    <w:rsid w:val="00926F11"/>
    <w:rsid w:val="00927073"/>
    <w:rsid w:val="00927125"/>
    <w:rsid w:val="009272ED"/>
    <w:rsid w:val="0092739C"/>
    <w:rsid w:val="009273AA"/>
    <w:rsid w:val="00927451"/>
    <w:rsid w:val="0092749E"/>
    <w:rsid w:val="00927640"/>
    <w:rsid w:val="009277E5"/>
    <w:rsid w:val="00927825"/>
    <w:rsid w:val="00927AE0"/>
    <w:rsid w:val="00927B78"/>
    <w:rsid w:val="00927CC8"/>
    <w:rsid w:val="00927E35"/>
    <w:rsid w:val="00930146"/>
    <w:rsid w:val="009302CC"/>
    <w:rsid w:val="009302CE"/>
    <w:rsid w:val="0093040E"/>
    <w:rsid w:val="009304FC"/>
    <w:rsid w:val="00930756"/>
    <w:rsid w:val="00930783"/>
    <w:rsid w:val="00930878"/>
    <w:rsid w:val="00930A2D"/>
    <w:rsid w:val="00930B07"/>
    <w:rsid w:val="00930B8D"/>
    <w:rsid w:val="00930C40"/>
    <w:rsid w:val="00930E3D"/>
    <w:rsid w:val="00930ED2"/>
    <w:rsid w:val="00931160"/>
    <w:rsid w:val="009312F2"/>
    <w:rsid w:val="00931356"/>
    <w:rsid w:val="0093154B"/>
    <w:rsid w:val="0093172D"/>
    <w:rsid w:val="00931926"/>
    <w:rsid w:val="009319CC"/>
    <w:rsid w:val="009319FF"/>
    <w:rsid w:val="00931C11"/>
    <w:rsid w:val="00931C6F"/>
    <w:rsid w:val="00931FB9"/>
    <w:rsid w:val="009320AC"/>
    <w:rsid w:val="00932303"/>
    <w:rsid w:val="009325AD"/>
    <w:rsid w:val="009327FB"/>
    <w:rsid w:val="00932873"/>
    <w:rsid w:val="00932888"/>
    <w:rsid w:val="009328A5"/>
    <w:rsid w:val="009329D9"/>
    <w:rsid w:val="00932C94"/>
    <w:rsid w:val="00932DE9"/>
    <w:rsid w:val="00932E3C"/>
    <w:rsid w:val="009331F5"/>
    <w:rsid w:val="00933866"/>
    <w:rsid w:val="00933983"/>
    <w:rsid w:val="0093398F"/>
    <w:rsid w:val="00933A6F"/>
    <w:rsid w:val="00933B86"/>
    <w:rsid w:val="00933BA8"/>
    <w:rsid w:val="00933BC6"/>
    <w:rsid w:val="00933C5F"/>
    <w:rsid w:val="00933D6E"/>
    <w:rsid w:val="00933D88"/>
    <w:rsid w:val="00933DFB"/>
    <w:rsid w:val="00933E76"/>
    <w:rsid w:val="009340B8"/>
    <w:rsid w:val="00934273"/>
    <w:rsid w:val="009342F3"/>
    <w:rsid w:val="00934392"/>
    <w:rsid w:val="00934432"/>
    <w:rsid w:val="0093453D"/>
    <w:rsid w:val="009345CE"/>
    <w:rsid w:val="00934680"/>
    <w:rsid w:val="00934721"/>
    <w:rsid w:val="009347D2"/>
    <w:rsid w:val="009347DB"/>
    <w:rsid w:val="0093483E"/>
    <w:rsid w:val="00934B3D"/>
    <w:rsid w:val="00934D33"/>
    <w:rsid w:val="00934DC6"/>
    <w:rsid w:val="00934E6B"/>
    <w:rsid w:val="00934F88"/>
    <w:rsid w:val="00934FF4"/>
    <w:rsid w:val="0093504A"/>
    <w:rsid w:val="0093517C"/>
    <w:rsid w:val="0093521A"/>
    <w:rsid w:val="0093531C"/>
    <w:rsid w:val="009353B6"/>
    <w:rsid w:val="00935458"/>
    <w:rsid w:val="009354CC"/>
    <w:rsid w:val="00935659"/>
    <w:rsid w:val="00935A41"/>
    <w:rsid w:val="00935A8A"/>
    <w:rsid w:val="00936223"/>
    <w:rsid w:val="0093639D"/>
    <w:rsid w:val="00936907"/>
    <w:rsid w:val="00936A8D"/>
    <w:rsid w:val="00936B54"/>
    <w:rsid w:val="00936C81"/>
    <w:rsid w:val="00936C8B"/>
    <w:rsid w:val="0093706A"/>
    <w:rsid w:val="009370D0"/>
    <w:rsid w:val="00937152"/>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A6"/>
    <w:rsid w:val="009413D2"/>
    <w:rsid w:val="009413FC"/>
    <w:rsid w:val="009414A9"/>
    <w:rsid w:val="00941595"/>
    <w:rsid w:val="009416EC"/>
    <w:rsid w:val="0094176B"/>
    <w:rsid w:val="009417CF"/>
    <w:rsid w:val="009419FB"/>
    <w:rsid w:val="00941C98"/>
    <w:rsid w:val="0094223E"/>
    <w:rsid w:val="00942529"/>
    <w:rsid w:val="009427B4"/>
    <w:rsid w:val="009428AB"/>
    <w:rsid w:val="00942964"/>
    <w:rsid w:val="00942985"/>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66F"/>
    <w:rsid w:val="00944722"/>
    <w:rsid w:val="009447D3"/>
    <w:rsid w:val="00944B41"/>
    <w:rsid w:val="00944BC0"/>
    <w:rsid w:val="00944BCD"/>
    <w:rsid w:val="00944BF2"/>
    <w:rsid w:val="00944C52"/>
    <w:rsid w:val="00944E3E"/>
    <w:rsid w:val="00944E8E"/>
    <w:rsid w:val="00944EDC"/>
    <w:rsid w:val="00945012"/>
    <w:rsid w:val="00945163"/>
    <w:rsid w:val="00945399"/>
    <w:rsid w:val="0094548F"/>
    <w:rsid w:val="00945586"/>
    <w:rsid w:val="00945595"/>
    <w:rsid w:val="0094559F"/>
    <w:rsid w:val="009455FF"/>
    <w:rsid w:val="00945606"/>
    <w:rsid w:val="00945782"/>
    <w:rsid w:val="0094578E"/>
    <w:rsid w:val="009459DF"/>
    <w:rsid w:val="00945A8C"/>
    <w:rsid w:val="00945B03"/>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CFC"/>
    <w:rsid w:val="00947D33"/>
    <w:rsid w:val="00947D90"/>
    <w:rsid w:val="00947F03"/>
    <w:rsid w:val="00947FB7"/>
    <w:rsid w:val="0095015F"/>
    <w:rsid w:val="0095016E"/>
    <w:rsid w:val="009501E0"/>
    <w:rsid w:val="00950272"/>
    <w:rsid w:val="00950363"/>
    <w:rsid w:val="00950372"/>
    <w:rsid w:val="0095056A"/>
    <w:rsid w:val="009508CD"/>
    <w:rsid w:val="009509BC"/>
    <w:rsid w:val="00950ACE"/>
    <w:rsid w:val="00950B62"/>
    <w:rsid w:val="00950D85"/>
    <w:rsid w:val="00950DE4"/>
    <w:rsid w:val="00950E1F"/>
    <w:rsid w:val="0095164E"/>
    <w:rsid w:val="0095177E"/>
    <w:rsid w:val="009517A6"/>
    <w:rsid w:val="00951853"/>
    <w:rsid w:val="00951A59"/>
    <w:rsid w:val="00951B49"/>
    <w:rsid w:val="00951B84"/>
    <w:rsid w:val="00951BE1"/>
    <w:rsid w:val="00951C85"/>
    <w:rsid w:val="00951CC7"/>
    <w:rsid w:val="00951DC9"/>
    <w:rsid w:val="00951E0A"/>
    <w:rsid w:val="00951E1C"/>
    <w:rsid w:val="009521FF"/>
    <w:rsid w:val="00952331"/>
    <w:rsid w:val="00952499"/>
    <w:rsid w:val="00952828"/>
    <w:rsid w:val="009530CB"/>
    <w:rsid w:val="009531D0"/>
    <w:rsid w:val="009533CC"/>
    <w:rsid w:val="009536F9"/>
    <w:rsid w:val="0095383C"/>
    <w:rsid w:val="009538A2"/>
    <w:rsid w:val="00953AD9"/>
    <w:rsid w:val="00953BE3"/>
    <w:rsid w:val="00953D22"/>
    <w:rsid w:val="00953D29"/>
    <w:rsid w:val="0095408F"/>
    <w:rsid w:val="0095412E"/>
    <w:rsid w:val="00954132"/>
    <w:rsid w:val="00954175"/>
    <w:rsid w:val="0095418D"/>
    <w:rsid w:val="00954399"/>
    <w:rsid w:val="00954428"/>
    <w:rsid w:val="00954628"/>
    <w:rsid w:val="00954952"/>
    <w:rsid w:val="00954AD1"/>
    <w:rsid w:val="00954E1F"/>
    <w:rsid w:val="00954EBF"/>
    <w:rsid w:val="00954EC9"/>
    <w:rsid w:val="0095508A"/>
    <w:rsid w:val="0095559C"/>
    <w:rsid w:val="00955648"/>
    <w:rsid w:val="009556B7"/>
    <w:rsid w:val="0095580B"/>
    <w:rsid w:val="009558D6"/>
    <w:rsid w:val="0095594C"/>
    <w:rsid w:val="00955997"/>
    <w:rsid w:val="00955AD6"/>
    <w:rsid w:val="00955D2D"/>
    <w:rsid w:val="009562AF"/>
    <w:rsid w:val="00956332"/>
    <w:rsid w:val="00956485"/>
    <w:rsid w:val="009564D6"/>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561"/>
    <w:rsid w:val="00957990"/>
    <w:rsid w:val="00957B81"/>
    <w:rsid w:val="00957ED1"/>
    <w:rsid w:val="0096050E"/>
    <w:rsid w:val="009605B4"/>
    <w:rsid w:val="009607CD"/>
    <w:rsid w:val="009607CE"/>
    <w:rsid w:val="009608DC"/>
    <w:rsid w:val="00960963"/>
    <w:rsid w:val="00960986"/>
    <w:rsid w:val="009609CA"/>
    <w:rsid w:val="00960A95"/>
    <w:rsid w:val="00960B5F"/>
    <w:rsid w:val="00960BA6"/>
    <w:rsid w:val="00960D45"/>
    <w:rsid w:val="00960D94"/>
    <w:rsid w:val="00960E45"/>
    <w:rsid w:val="00960E6C"/>
    <w:rsid w:val="00960E9D"/>
    <w:rsid w:val="00961030"/>
    <w:rsid w:val="009610AA"/>
    <w:rsid w:val="0096115D"/>
    <w:rsid w:val="009612B5"/>
    <w:rsid w:val="009613A1"/>
    <w:rsid w:val="00961414"/>
    <w:rsid w:val="009614F9"/>
    <w:rsid w:val="0096153B"/>
    <w:rsid w:val="009617B7"/>
    <w:rsid w:val="00961848"/>
    <w:rsid w:val="00961AB6"/>
    <w:rsid w:val="00961BED"/>
    <w:rsid w:val="00961D18"/>
    <w:rsid w:val="00961DAB"/>
    <w:rsid w:val="00961F56"/>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C84"/>
    <w:rsid w:val="00963D00"/>
    <w:rsid w:val="00963E94"/>
    <w:rsid w:val="00963F99"/>
    <w:rsid w:val="00964012"/>
    <w:rsid w:val="0096401A"/>
    <w:rsid w:val="00964022"/>
    <w:rsid w:val="00964051"/>
    <w:rsid w:val="00964079"/>
    <w:rsid w:val="009646A3"/>
    <w:rsid w:val="009646AF"/>
    <w:rsid w:val="00964769"/>
    <w:rsid w:val="00964A49"/>
    <w:rsid w:val="00964B48"/>
    <w:rsid w:val="00964B8B"/>
    <w:rsid w:val="00964C3C"/>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052"/>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EA3"/>
    <w:rsid w:val="00967F6E"/>
    <w:rsid w:val="00970010"/>
    <w:rsid w:val="0097026B"/>
    <w:rsid w:val="009705A0"/>
    <w:rsid w:val="00970B18"/>
    <w:rsid w:val="00970B9E"/>
    <w:rsid w:val="00970C50"/>
    <w:rsid w:val="00970CDC"/>
    <w:rsid w:val="00970CEC"/>
    <w:rsid w:val="00970E45"/>
    <w:rsid w:val="00970F7E"/>
    <w:rsid w:val="0097105E"/>
    <w:rsid w:val="00971194"/>
    <w:rsid w:val="00971222"/>
    <w:rsid w:val="0097142E"/>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5A9"/>
    <w:rsid w:val="0097274E"/>
    <w:rsid w:val="009728BD"/>
    <w:rsid w:val="00972909"/>
    <w:rsid w:val="00972A9F"/>
    <w:rsid w:val="00972AEF"/>
    <w:rsid w:val="00972B27"/>
    <w:rsid w:val="00972B54"/>
    <w:rsid w:val="00972C1A"/>
    <w:rsid w:val="00972E82"/>
    <w:rsid w:val="00972E89"/>
    <w:rsid w:val="009733F1"/>
    <w:rsid w:val="0097350E"/>
    <w:rsid w:val="00973765"/>
    <w:rsid w:val="00973B87"/>
    <w:rsid w:val="00973E4D"/>
    <w:rsid w:val="0097401A"/>
    <w:rsid w:val="00974174"/>
    <w:rsid w:val="00974221"/>
    <w:rsid w:val="009742B3"/>
    <w:rsid w:val="009742F0"/>
    <w:rsid w:val="009743D6"/>
    <w:rsid w:val="0097442E"/>
    <w:rsid w:val="00974659"/>
    <w:rsid w:val="009746C7"/>
    <w:rsid w:val="0097471A"/>
    <w:rsid w:val="009747D3"/>
    <w:rsid w:val="009747FD"/>
    <w:rsid w:val="009749F8"/>
    <w:rsid w:val="009749FF"/>
    <w:rsid w:val="00974BE6"/>
    <w:rsid w:val="00974BED"/>
    <w:rsid w:val="00974C67"/>
    <w:rsid w:val="00974D3D"/>
    <w:rsid w:val="00974D64"/>
    <w:rsid w:val="00974D70"/>
    <w:rsid w:val="00974DD1"/>
    <w:rsid w:val="00974F2D"/>
    <w:rsid w:val="00975050"/>
    <w:rsid w:val="00975109"/>
    <w:rsid w:val="0097524F"/>
    <w:rsid w:val="009752F5"/>
    <w:rsid w:val="0097537A"/>
    <w:rsid w:val="0097537F"/>
    <w:rsid w:val="0097556D"/>
    <w:rsid w:val="009756AE"/>
    <w:rsid w:val="00975971"/>
    <w:rsid w:val="00975A83"/>
    <w:rsid w:val="00975E25"/>
    <w:rsid w:val="00975F18"/>
    <w:rsid w:val="00975F3F"/>
    <w:rsid w:val="00976053"/>
    <w:rsid w:val="00976082"/>
    <w:rsid w:val="009760C3"/>
    <w:rsid w:val="009760EC"/>
    <w:rsid w:val="00976152"/>
    <w:rsid w:val="0097616E"/>
    <w:rsid w:val="00976287"/>
    <w:rsid w:val="009765D6"/>
    <w:rsid w:val="009766CB"/>
    <w:rsid w:val="00976AA2"/>
    <w:rsid w:val="00976B0A"/>
    <w:rsid w:val="00976BF5"/>
    <w:rsid w:val="00976C0A"/>
    <w:rsid w:val="00976CC9"/>
    <w:rsid w:val="00976D47"/>
    <w:rsid w:val="00976D9D"/>
    <w:rsid w:val="0097702D"/>
    <w:rsid w:val="00977344"/>
    <w:rsid w:val="0097746D"/>
    <w:rsid w:val="00977856"/>
    <w:rsid w:val="00977858"/>
    <w:rsid w:val="009779A3"/>
    <w:rsid w:val="00977AB4"/>
    <w:rsid w:val="00977C19"/>
    <w:rsid w:val="00977CE2"/>
    <w:rsid w:val="00977FB7"/>
    <w:rsid w:val="00980289"/>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A2"/>
    <w:rsid w:val="00982BF5"/>
    <w:rsid w:val="00982C67"/>
    <w:rsid w:val="00982E05"/>
    <w:rsid w:val="00982E4D"/>
    <w:rsid w:val="00982EB2"/>
    <w:rsid w:val="009830F6"/>
    <w:rsid w:val="009830FD"/>
    <w:rsid w:val="00983118"/>
    <w:rsid w:val="009832F0"/>
    <w:rsid w:val="0098334E"/>
    <w:rsid w:val="00983367"/>
    <w:rsid w:val="00983763"/>
    <w:rsid w:val="0098377C"/>
    <w:rsid w:val="009837EF"/>
    <w:rsid w:val="00983802"/>
    <w:rsid w:val="0098380A"/>
    <w:rsid w:val="0098388A"/>
    <w:rsid w:val="00983892"/>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97A"/>
    <w:rsid w:val="00984BA6"/>
    <w:rsid w:val="00984C2F"/>
    <w:rsid w:val="00984C41"/>
    <w:rsid w:val="00984E8A"/>
    <w:rsid w:val="00984FBA"/>
    <w:rsid w:val="0098505E"/>
    <w:rsid w:val="009853AC"/>
    <w:rsid w:val="0098552A"/>
    <w:rsid w:val="0098574C"/>
    <w:rsid w:val="009857D7"/>
    <w:rsid w:val="00985815"/>
    <w:rsid w:val="00985831"/>
    <w:rsid w:val="00985AC6"/>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E68"/>
    <w:rsid w:val="00986EC5"/>
    <w:rsid w:val="00986F6F"/>
    <w:rsid w:val="00987404"/>
    <w:rsid w:val="00987549"/>
    <w:rsid w:val="009875A0"/>
    <w:rsid w:val="009875DF"/>
    <w:rsid w:val="00987603"/>
    <w:rsid w:val="00987674"/>
    <w:rsid w:val="00987991"/>
    <w:rsid w:val="00987CA6"/>
    <w:rsid w:val="00987D87"/>
    <w:rsid w:val="00990318"/>
    <w:rsid w:val="009904E0"/>
    <w:rsid w:val="00990563"/>
    <w:rsid w:val="009905A0"/>
    <w:rsid w:val="009906C5"/>
    <w:rsid w:val="009906F2"/>
    <w:rsid w:val="009907EF"/>
    <w:rsid w:val="0099096F"/>
    <w:rsid w:val="00990A27"/>
    <w:rsid w:val="00990BF2"/>
    <w:rsid w:val="00990BFA"/>
    <w:rsid w:val="00990EB4"/>
    <w:rsid w:val="00991103"/>
    <w:rsid w:val="00991176"/>
    <w:rsid w:val="00991295"/>
    <w:rsid w:val="009912DB"/>
    <w:rsid w:val="009912F2"/>
    <w:rsid w:val="0099166D"/>
    <w:rsid w:val="009916F9"/>
    <w:rsid w:val="0099171C"/>
    <w:rsid w:val="0099189C"/>
    <w:rsid w:val="009919BB"/>
    <w:rsid w:val="009919FC"/>
    <w:rsid w:val="00991A3D"/>
    <w:rsid w:val="00991B54"/>
    <w:rsid w:val="00991B69"/>
    <w:rsid w:val="00991BCA"/>
    <w:rsid w:val="00991BFD"/>
    <w:rsid w:val="00991C04"/>
    <w:rsid w:val="00991D46"/>
    <w:rsid w:val="00991DCB"/>
    <w:rsid w:val="00991DF7"/>
    <w:rsid w:val="00991E49"/>
    <w:rsid w:val="00992077"/>
    <w:rsid w:val="0099212E"/>
    <w:rsid w:val="0099223A"/>
    <w:rsid w:val="00992258"/>
    <w:rsid w:val="00992463"/>
    <w:rsid w:val="009927D0"/>
    <w:rsid w:val="009927D6"/>
    <w:rsid w:val="0099280A"/>
    <w:rsid w:val="00992983"/>
    <w:rsid w:val="00992A10"/>
    <w:rsid w:val="00992A34"/>
    <w:rsid w:val="00992A95"/>
    <w:rsid w:val="00992B81"/>
    <w:rsid w:val="00992D41"/>
    <w:rsid w:val="00992D66"/>
    <w:rsid w:val="00992DC4"/>
    <w:rsid w:val="00992E52"/>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D32"/>
    <w:rsid w:val="00994E2A"/>
    <w:rsid w:val="0099528C"/>
    <w:rsid w:val="009952B4"/>
    <w:rsid w:val="009952D7"/>
    <w:rsid w:val="00995318"/>
    <w:rsid w:val="00995332"/>
    <w:rsid w:val="009953F6"/>
    <w:rsid w:val="009954E7"/>
    <w:rsid w:val="00995555"/>
    <w:rsid w:val="009956EC"/>
    <w:rsid w:val="00995A00"/>
    <w:rsid w:val="00995AB9"/>
    <w:rsid w:val="00995B31"/>
    <w:rsid w:val="00995BCB"/>
    <w:rsid w:val="00995D3D"/>
    <w:rsid w:val="00995E31"/>
    <w:rsid w:val="00995E81"/>
    <w:rsid w:val="00995EC2"/>
    <w:rsid w:val="0099608D"/>
    <w:rsid w:val="0099608F"/>
    <w:rsid w:val="009960BD"/>
    <w:rsid w:val="0099623C"/>
    <w:rsid w:val="00996380"/>
    <w:rsid w:val="00996401"/>
    <w:rsid w:val="00996497"/>
    <w:rsid w:val="00996569"/>
    <w:rsid w:val="009966AB"/>
    <w:rsid w:val="00996735"/>
    <w:rsid w:val="009967E8"/>
    <w:rsid w:val="00996977"/>
    <w:rsid w:val="00996B2F"/>
    <w:rsid w:val="00996CAC"/>
    <w:rsid w:val="00996DDA"/>
    <w:rsid w:val="00996E13"/>
    <w:rsid w:val="009972A1"/>
    <w:rsid w:val="009973D6"/>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0F"/>
    <w:rsid w:val="009A0425"/>
    <w:rsid w:val="009A0499"/>
    <w:rsid w:val="009A04A4"/>
    <w:rsid w:val="009A0557"/>
    <w:rsid w:val="009A056D"/>
    <w:rsid w:val="009A0682"/>
    <w:rsid w:val="009A07C2"/>
    <w:rsid w:val="009A0822"/>
    <w:rsid w:val="009A0829"/>
    <w:rsid w:val="009A0972"/>
    <w:rsid w:val="009A0A65"/>
    <w:rsid w:val="009A0A72"/>
    <w:rsid w:val="009A0AC4"/>
    <w:rsid w:val="009A0B5D"/>
    <w:rsid w:val="009A0B96"/>
    <w:rsid w:val="009A0EDB"/>
    <w:rsid w:val="009A120A"/>
    <w:rsid w:val="009A12DD"/>
    <w:rsid w:val="009A13D7"/>
    <w:rsid w:val="009A15D9"/>
    <w:rsid w:val="009A1767"/>
    <w:rsid w:val="009A1778"/>
    <w:rsid w:val="009A17F1"/>
    <w:rsid w:val="009A1955"/>
    <w:rsid w:val="009A19C5"/>
    <w:rsid w:val="009A1A25"/>
    <w:rsid w:val="009A1F2E"/>
    <w:rsid w:val="009A1F9B"/>
    <w:rsid w:val="009A20BB"/>
    <w:rsid w:val="009A240D"/>
    <w:rsid w:val="009A2419"/>
    <w:rsid w:val="009A2443"/>
    <w:rsid w:val="009A2573"/>
    <w:rsid w:val="009A2634"/>
    <w:rsid w:val="009A26C7"/>
    <w:rsid w:val="009A2981"/>
    <w:rsid w:val="009A2A1E"/>
    <w:rsid w:val="009A2F28"/>
    <w:rsid w:val="009A30B1"/>
    <w:rsid w:val="009A3192"/>
    <w:rsid w:val="009A31AB"/>
    <w:rsid w:val="009A348B"/>
    <w:rsid w:val="009A349E"/>
    <w:rsid w:val="009A34B5"/>
    <w:rsid w:val="009A34B9"/>
    <w:rsid w:val="009A3706"/>
    <w:rsid w:val="009A394E"/>
    <w:rsid w:val="009A3A8B"/>
    <w:rsid w:val="009A3C94"/>
    <w:rsid w:val="009A3ED6"/>
    <w:rsid w:val="009A4119"/>
    <w:rsid w:val="009A41D3"/>
    <w:rsid w:val="009A4891"/>
    <w:rsid w:val="009A4AEB"/>
    <w:rsid w:val="009A4B34"/>
    <w:rsid w:val="009A4BBB"/>
    <w:rsid w:val="009A4D64"/>
    <w:rsid w:val="009A5103"/>
    <w:rsid w:val="009A51F9"/>
    <w:rsid w:val="009A5398"/>
    <w:rsid w:val="009A56B1"/>
    <w:rsid w:val="009A5702"/>
    <w:rsid w:val="009A5866"/>
    <w:rsid w:val="009A594F"/>
    <w:rsid w:val="009A5981"/>
    <w:rsid w:val="009A59AA"/>
    <w:rsid w:val="009A59E7"/>
    <w:rsid w:val="009A5B78"/>
    <w:rsid w:val="009A5FD6"/>
    <w:rsid w:val="009A5FD7"/>
    <w:rsid w:val="009A61B1"/>
    <w:rsid w:val="009A62DB"/>
    <w:rsid w:val="009A6449"/>
    <w:rsid w:val="009A6490"/>
    <w:rsid w:val="009A64C0"/>
    <w:rsid w:val="009A64EB"/>
    <w:rsid w:val="009A6521"/>
    <w:rsid w:val="009A65D8"/>
    <w:rsid w:val="009A666F"/>
    <w:rsid w:val="009A690D"/>
    <w:rsid w:val="009A6B59"/>
    <w:rsid w:val="009A6BD2"/>
    <w:rsid w:val="009A6CB3"/>
    <w:rsid w:val="009A6E05"/>
    <w:rsid w:val="009A6F1B"/>
    <w:rsid w:val="009A7082"/>
    <w:rsid w:val="009A72B0"/>
    <w:rsid w:val="009A74ED"/>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614"/>
    <w:rsid w:val="009B0B26"/>
    <w:rsid w:val="009B0F8E"/>
    <w:rsid w:val="009B0FFD"/>
    <w:rsid w:val="009B1032"/>
    <w:rsid w:val="009B136F"/>
    <w:rsid w:val="009B13F1"/>
    <w:rsid w:val="009B1629"/>
    <w:rsid w:val="009B1739"/>
    <w:rsid w:val="009B187F"/>
    <w:rsid w:val="009B19A1"/>
    <w:rsid w:val="009B1BD1"/>
    <w:rsid w:val="009B1C33"/>
    <w:rsid w:val="009B1CDE"/>
    <w:rsid w:val="009B1D5A"/>
    <w:rsid w:val="009B1D98"/>
    <w:rsid w:val="009B1E37"/>
    <w:rsid w:val="009B1FCF"/>
    <w:rsid w:val="009B21BB"/>
    <w:rsid w:val="009B22F7"/>
    <w:rsid w:val="009B23D4"/>
    <w:rsid w:val="009B2413"/>
    <w:rsid w:val="009B2421"/>
    <w:rsid w:val="009B2564"/>
    <w:rsid w:val="009B2608"/>
    <w:rsid w:val="009B26F5"/>
    <w:rsid w:val="009B2864"/>
    <w:rsid w:val="009B289D"/>
    <w:rsid w:val="009B28FB"/>
    <w:rsid w:val="009B2918"/>
    <w:rsid w:val="009B2B28"/>
    <w:rsid w:val="009B2B4E"/>
    <w:rsid w:val="009B2B50"/>
    <w:rsid w:val="009B2BCD"/>
    <w:rsid w:val="009B2C4F"/>
    <w:rsid w:val="009B2CD0"/>
    <w:rsid w:val="009B2E96"/>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0D0"/>
    <w:rsid w:val="009B426A"/>
    <w:rsid w:val="009B44F7"/>
    <w:rsid w:val="009B48DE"/>
    <w:rsid w:val="009B4913"/>
    <w:rsid w:val="009B4A68"/>
    <w:rsid w:val="009B4AAC"/>
    <w:rsid w:val="009B4C91"/>
    <w:rsid w:val="009B4D69"/>
    <w:rsid w:val="009B4DC4"/>
    <w:rsid w:val="009B5180"/>
    <w:rsid w:val="009B521E"/>
    <w:rsid w:val="009B5227"/>
    <w:rsid w:val="009B52C8"/>
    <w:rsid w:val="009B53B1"/>
    <w:rsid w:val="009B540C"/>
    <w:rsid w:val="009B54B4"/>
    <w:rsid w:val="009B5502"/>
    <w:rsid w:val="009B5673"/>
    <w:rsid w:val="009B56D3"/>
    <w:rsid w:val="009B57FB"/>
    <w:rsid w:val="009B588D"/>
    <w:rsid w:val="009B58F9"/>
    <w:rsid w:val="009B5982"/>
    <w:rsid w:val="009B5989"/>
    <w:rsid w:val="009B5A91"/>
    <w:rsid w:val="009B5BD8"/>
    <w:rsid w:val="009B5E23"/>
    <w:rsid w:val="009B5E2C"/>
    <w:rsid w:val="009B5EEF"/>
    <w:rsid w:val="009B5F4B"/>
    <w:rsid w:val="009B6052"/>
    <w:rsid w:val="009B60D8"/>
    <w:rsid w:val="009B6239"/>
    <w:rsid w:val="009B6A31"/>
    <w:rsid w:val="009B6AA4"/>
    <w:rsid w:val="009B6B4E"/>
    <w:rsid w:val="009B6DA9"/>
    <w:rsid w:val="009B6ECA"/>
    <w:rsid w:val="009B713F"/>
    <w:rsid w:val="009B732D"/>
    <w:rsid w:val="009B755D"/>
    <w:rsid w:val="009B7796"/>
    <w:rsid w:val="009B77F9"/>
    <w:rsid w:val="009B782D"/>
    <w:rsid w:val="009B798F"/>
    <w:rsid w:val="009B7BC5"/>
    <w:rsid w:val="009B7E6F"/>
    <w:rsid w:val="009C0036"/>
    <w:rsid w:val="009C0200"/>
    <w:rsid w:val="009C022B"/>
    <w:rsid w:val="009C02E0"/>
    <w:rsid w:val="009C0475"/>
    <w:rsid w:val="009C06C3"/>
    <w:rsid w:val="009C06D1"/>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2B0"/>
    <w:rsid w:val="009C233B"/>
    <w:rsid w:val="009C236A"/>
    <w:rsid w:val="009C2447"/>
    <w:rsid w:val="009C2478"/>
    <w:rsid w:val="009C24BF"/>
    <w:rsid w:val="009C24D7"/>
    <w:rsid w:val="009C2629"/>
    <w:rsid w:val="009C27F8"/>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062"/>
    <w:rsid w:val="009C4551"/>
    <w:rsid w:val="009C48F6"/>
    <w:rsid w:val="009C49B3"/>
    <w:rsid w:val="009C4A01"/>
    <w:rsid w:val="009C4A8C"/>
    <w:rsid w:val="009C4AD8"/>
    <w:rsid w:val="009C4C13"/>
    <w:rsid w:val="009C4DFC"/>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7B0"/>
    <w:rsid w:val="009C6975"/>
    <w:rsid w:val="009C6B75"/>
    <w:rsid w:val="009C6DAF"/>
    <w:rsid w:val="009C6DC0"/>
    <w:rsid w:val="009C7030"/>
    <w:rsid w:val="009C7080"/>
    <w:rsid w:val="009C7129"/>
    <w:rsid w:val="009C718F"/>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514"/>
    <w:rsid w:val="009D0731"/>
    <w:rsid w:val="009D07AE"/>
    <w:rsid w:val="009D07BD"/>
    <w:rsid w:val="009D09CF"/>
    <w:rsid w:val="009D09FE"/>
    <w:rsid w:val="009D0A43"/>
    <w:rsid w:val="009D0EAA"/>
    <w:rsid w:val="009D0F40"/>
    <w:rsid w:val="009D1108"/>
    <w:rsid w:val="009D12FD"/>
    <w:rsid w:val="009D1346"/>
    <w:rsid w:val="009D13DF"/>
    <w:rsid w:val="009D14EA"/>
    <w:rsid w:val="009D1503"/>
    <w:rsid w:val="009D15C5"/>
    <w:rsid w:val="009D1788"/>
    <w:rsid w:val="009D18BA"/>
    <w:rsid w:val="009D197E"/>
    <w:rsid w:val="009D19A8"/>
    <w:rsid w:val="009D1B23"/>
    <w:rsid w:val="009D1C5E"/>
    <w:rsid w:val="009D1C71"/>
    <w:rsid w:val="009D1DDC"/>
    <w:rsid w:val="009D1EAE"/>
    <w:rsid w:val="009D1EE5"/>
    <w:rsid w:val="009D1FE8"/>
    <w:rsid w:val="009D22E0"/>
    <w:rsid w:val="009D22EC"/>
    <w:rsid w:val="009D22FB"/>
    <w:rsid w:val="009D2398"/>
    <w:rsid w:val="009D249A"/>
    <w:rsid w:val="009D2848"/>
    <w:rsid w:val="009D2887"/>
    <w:rsid w:val="009D289C"/>
    <w:rsid w:val="009D28D8"/>
    <w:rsid w:val="009D2925"/>
    <w:rsid w:val="009D2948"/>
    <w:rsid w:val="009D2A9B"/>
    <w:rsid w:val="009D2ABA"/>
    <w:rsid w:val="009D2BAD"/>
    <w:rsid w:val="009D2EE6"/>
    <w:rsid w:val="009D2FED"/>
    <w:rsid w:val="009D3014"/>
    <w:rsid w:val="009D33BD"/>
    <w:rsid w:val="009D34FF"/>
    <w:rsid w:val="009D35F9"/>
    <w:rsid w:val="009D36DB"/>
    <w:rsid w:val="009D38FE"/>
    <w:rsid w:val="009D39A0"/>
    <w:rsid w:val="009D3A51"/>
    <w:rsid w:val="009D3CF0"/>
    <w:rsid w:val="009D3D87"/>
    <w:rsid w:val="009D3DCB"/>
    <w:rsid w:val="009D3EDA"/>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D69"/>
    <w:rsid w:val="009D5E00"/>
    <w:rsid w:val="009D5EE5"/>
    <w:rsid w:val="009D618E"/>
    <w:rsid w:val="009D61B7"/>
    <w:rsid w:val="009D6317"/>
    <w:rsid w:val="009D6319"/>
    <w:rsid w:val="009D6327"/>
    <w:rsid w:val="009D6494"/>
    <w:rsid w:val="009D65E9"/>
    <w:rsid w:val="009D66C5"/>
    <w:rsid w:val="009D682B"/>
    <w:rsid w:val="009D68A4"/>
    <w:rsid w:val="009D68B7"/>
    <w:rsid w:val="009D6A60"/>
    <w:rsid w:val="009D6C68"/>
    <w:rsid w:val="009D6DBA"/>
    <w:rsid w:val="009D6E6D"/>
    <w:rsid w:val="009D6F80"/>
    <w:rsid w:val="009D7307"/>
    <w:rsid w:val="009D734F"/>
    <w:rsid w:val="009D73ED"/>
    <w:rsid w:val="009D73F1"/>
    <w:rsid w:val="009D759F"/>
    <w:rsid w:val="009D77BC"/>
    <w:rsid w:val="009D78FF"/>
    <w:rsid w:val="009D7916"/>
    <w:rsid w:val="009D7B65"/>
    <w:rsid w:val="009D7C03"/>
    <w:rsid w:val="009D7D71"/>
    <w:rsid w:val="009D7D7C"/>
    <w:rsid w:val="009D7E58"/>
    <w:rsid w:val="009D7F31"/>
    <w:rsid w:val="009D7F38"/>
    <w:rsid w:val="009D7F74"/>
    <w:rsid w:val="009D7FB4"/>
    <w:rsid w:val="009E0121"/>
    <w:rsid w:val="009E017B"/>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C9D"/>
    <w:rsid w:val="009E2DA8"/>
    <w:rsid w:val="009E2DE6"/>
    <w:rsid w:val="009E2F3E"/>
    <w:rsid w:val="009E30E7"/>
    <w:rsid w:val="009E30FB"/>
    <w:rsid w:val="009E3456"/>
    <w:rsid w:val="009E35C4"/>
    <w:rsid w:val="009E3661"/>
    <w:rsid w:val="009E366D"/>
    <w:rsid w:val="009E374D"/>
    <w:rsid w:val="009E3A3B"/>
    <w:rsid w:val="009E3C2F"/>
    <w:rsid w:val="009E3D37"/>
    <w:rsid w:val="009E3FD9"/>
    <w:rsid w:val="009E4417"/>
    <w:rsid w:val="009E477A"/>
    <w:rsid w:val="009E4850"/>
    <w:rsid w:val="009E48DF"/>
    <w:rsid w:val="009E491F"/>
    <w:rsid w:val="009E4B52"/>
    <w:rsid w:val="009E4CE8"/>
    <w:rsid w:val="009E4D2D"/>
    <w:rsid w:val="009E4D95"/>
    <w:rsid w:val="009E4E99"/>
    <w:rsid w:val="009E5006"/>
    <w:rsid w:val="009E5047"/>
    <w:rsid w:val="009E5164"/>
    <w:rsid w:val="009E52E9"/>
    <w:rsid w:val="009E5323"/>
    <w:rsid w:val="009E584E"/>
    <w:rsid w:val="009E5970"/>
    <w:rsid w:val="009E59D0"/>
    <w:rsid w:val="009E5B51"/>
    <w:rsid w:val="009E5D88"/>
    <w:rsid w:val="009E623D"/>
    <w:rsid w:val="009E6293"/>
    <w:rsid w:val="009E656B"/>
    <w:rsid w:val="009E6597"/>
    <w:rsid w:val="009E6989"/>
    <w:rsid w:val="009E6A57"/>
    <w:rsid w:val="009E6ACF"/>
    <w:rsid w:val="009E6BA5"/>
    <w:rsid w:val="009E6D74"/>
    <w:rsid w:val="009E7046"/>
    <w:rsid w:val="009E73A0"/>
    <w:rsid w:val="009E7430"/>
    <w:rsid w:val="009E743F"/>
    <w:rsid w:val="009E7723"/>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0F36"/>
    <w:rsid w:val="009F1053"/>
    <w:rsid w:val="009F1060"/>
    <w:rsid w:val="009F1095"/>
    <w:rsid w:val="009F10B2"/>
    <w:rsid w:val="009F115D"/>
    <w:rsid w:val="009F11B1"/>
    <w:rsid w:val="009F1281"/>
    <w:rsid w:val="009F14C7"/>
    <w:rsid w:val="009F15C6"/>
    <w:rsid w:val="009F15DB"/>
    <w:rsid w:val="009F16EC"/>
    <w:rsid w:val="009F1840"/>
    <w:rsid w:val="009F1853"/>
    <w:rsid w:val="009F19B2"/>
    <w:rsid w:val="009F19C0"/>
    <w:rsid w:val="009F19D8"/>
    <w:rsid w:val="009F1EF3"/>
    <w:rsid w:val="009F1F68"/>
    <w:rsid w:val="009F2021"/>
    <w:rsid w:val="009F224B"/>
    <w:rsid w:val="009F2527"/>
    <w:rsid w:val="009F2543"/>
    <w:rsid w:val="009F25E3"/>
    <w:rsid w:val="009F260F"/>
    <w:rsid w:val="009F269B"/>
    <w:rsid w:val="009F270B"/>
    <w:rsid w:val="009F280F"/>
    <w:rsid w:val="009F289C"/>
    <w:rsid w:val="009F28A4"/>
    <w:rsid w:val="009F28AC"/>
    <w:rsid w:val="009F28D7"/>
    <w:rsid w:val="009F2938"/>
    <w:rsid w:val="009F2BB0"/>
    <w:rsid w:val="009F2D86"/>
    <w:rsid w:val="009F2F3F"/>
    <w:rsid w:val="009F3009"/>
    <w:rsid w:val="009F306B"/>
    <w:rsid w:val="009F3091"/>
    <w:rsid w:val="009F30AC"/>
    <w:rsid w:val="009F342C"/>
    <w:rsid w:val="009F3695"/>
    <w:rsid w:val="009F3831"/>
    <w:rsid w:val="009F38EC"/>
    <w:rsid w:val="009F391A"/>
    <w:rsid w:val="009F3A42"/>
    <w:rsid w:val="009F3AA3"/>
    <w:rsid w:val="009F3B92"/>
    <w:rsid w:val="009F3B9D"/>
    <w:rsid w:val="009F3BF8"/>
    <w:rsid w:val="009F3C18"/>
    <w:rsid w:val="009F3FA9"/>
    <w:rsid w:val="009F3FFB"/>
    <w:rsid w:val="009F4118"/>
    <w:rsid w:val="009F4342"/>
    <w:rsid w:val="009F43D1"/>
    <w:rsid w:val="009F43F0"/>
    <w:rsid w:val="009F4611"/>
    <w:rsid w:val="009F4A71"/>
    <w:rsid w:val="009F4AAD"/>
    <w:rsid w:val="009F4D77"/>
    <w:rsid w:val="009F4D8D"/>
    <w:rsid w:val="009F4E25"/>
    <w:rsid w:val="009F4F31"/>
    <w:rsid w:val="009F5027"/>
    <w:rsid w:val="009F52F0"/>
    <w:rsid w:val="009F5310"/>
    <w:rsid w:val="009F551E"/>
    <w:rsid w:val="009F5545"/>
    <w:rsid w:val="009F5B62"/>
    <w:rsid w:val="009F5B84"/>
    <w:rsid w:val="009F5C8F"/>
    <w:rsid w:val="009F5D24"/>
    <w:rsid w:val="009F5DB6"/>
    <w:rsid w:val="009F5E7E"/>
    <w:rsid w:val="009F5EA2"/>
    <w:rsid w:val="009F5F44"/>
    <w:rsid w:val="009F5FA2"/>
    <w:rsid w:val="009F6004"/>
    <w:rsid w:val="009F604E"/>
    <w:rsid w:val="009F6259"/>
    <w:rsid w:val="009F640A"/>
    <w:rsid w:val="009F67DA"/>
    <w:rsid w:val="009F689B"/>
    <w:rsid w:val="009F6A68"/>
    <w:rsid w:val="009F6C4E"/>
    <w:rsid w:val="009F6D5D"/>
    <w:rsid w:val="009F6D7D"/>
    <w:rsid w:val="009F6EE8"/>
    <w:rsid w:val="009F6F2D"/>
    <w:rsid w:val="009F7005"/>
    <w:rsid w:val="009F714D"/>
    <w:rsid w:val="009F7273"/>
    <w:rsid w:val="009F74B0"/>
    <w:rsid w:val="009F75EB"/>
    <w:rsid w:val="009F7624"/>
    <w:rsid w:val="009F766E"/>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2D"/>
    <w:rsid w:val="00A006FF"/>
    <w:rsid w:val="00A007F2"/>
    <w:rsid w:val="00A00B40"/>
    <w:rsid w:val="00A00D8C"/>
    <w:rsid w:val="00A00D98"/>
    <w:rsid w:val="00A00E1E"/>
    <w:rsid w:val="00A00FB7"/>
    <w:rsid w:val="00A01053"/>
    <w:rsid w:val="00A01253"/>
    <w:rsid w:val="00A0135A"/>
    <w:rsid w:val="00A014D7"/>
    <w:rsid w:val="00A0166A"/>
    <w:rsid w:val="00A019BB"/>
    <w:rsid w:val="00A01A92"/>
    <w:rsid w:val="00A01B23"/>
    <w:rsid w:val="00A01B29"/>
    <w:rsid w:val="00A01E37"/>
    <w:rsid w:val="00A01F86"/>
    <w:rsid w:val="00A01F89"/>
    <w:rsid w:val="00A021F0"/>
    <w:rsid w:val="00A02218"/>
    <w:rsid w:val="00A02316"/>
    <w:rsid w:val="00A023B8"/>
    <w:rsid w:val="00A023C4"/>
    <w:rsid w:val="00A024AD"/>
    <w:rsid w:val="00A02532"/>
    <w:rsid w:val="00A02540"/>
    <w:rsid w:val="00A027D9"/>
    <w:rsid w:val="00A029BB"/>
    <w:rsid w:val="00A02A27"/>
    <w:rsid w:val="00A02A52"/>
    <w:rsid w:val="00A02D58"/>
    <w:rsid w:val="00A02E24"/>
    <w:rsid w:val="00A02EE4"/>
    <w:rsid w:val="00A03175"/>
    <w:rsid w:val="00A033F6"/>
    <w:rsid w:val="00A0352F"/>
    <w:rsid w:val="00A03624"/>
    <w:rsid w:val="00A03648"/>
    <w:rsid w:val="00A038F6"/>
    <w:rsid w:val="00A03B48"/>
    <w:rsid w:val="00A03BAB"/>
    <w:rsid w:val="00A03BE9"/>
    <w:rsid w:val="00A03D83"/>
    <w:rsid w:val="00A03DBC"/>
    <w:rsid w:val="00A03F03"/>
    <w:rsid w:val="00A04097"/>
    <w:rsid w:val="00A041AD"/>
    <w:rsid w:val="00A041D7"/>
    <w:rsid w:val="00A04346"/>
    <w:rsid w:val="00A04396"/>
    <w:rsid w:val="00A0469B"/>
    <w:rsid w:val="00A04777"/>
    <w:rsid w:val="00A047CC"/>
    <w:rsid w:val="00A04813"/>
    <w:rsid w:val="00A04A52"/>
    <w:rsid w:val="00A04E4F"/>
    <w:rsid w:val="00A04F04"/>
    <w:rsid w:val="00A05071"/>
    <w:rsid w:val="00A050FB"/>
    <w:rsid w:val="00A05115"/>
    <w:rsid w:val="00A05401"/>
    <w:rsid w:val="00A0560B"/>
    <w:rsid w:val="00A05705"/>
    <w:rsid w:val="00A05761"/>
    <w:rsid w:val="00A058A9"/>
    <w:rsid w:val="00A058FC"/>
    <w:rsid w:val="00A05A6D"/>
    <w:rsid w:val="00A0649D"/>
    <w:rsid w:val="00A0656B"/>
    <w:rsid w:val="00A06776"/>
    <w:rsid w:val="00A06C17"/>
    <w:rsid w:val="00A06D31"/>
    <w:rsid w:val="00A06F31"/>
    <w:rsid w:val="00A06F60"/>
    <w:rsid w:val="00A071AB"/>
    <w:rsid w:val="00A0722C"/>
    <w:rsid w:val="00A07253"/>
    <w:rsid w:val="00A074CB"/>
    <w:rsid w:val="00A0779F"/>
    <w:rsid w:val="00A07B60"/>
    <w:rsid w:val="00A07CC0"/>
    <w:rsid w:val="00A07D36"/>
    <w:rsid w:val="00A10221"/>
    <w:rsid w:val="00A10340"/>
    <w:rsid w:val="00A10431"/>
    <w:rsid w:val="00A10532"/>
    <w:rsid w:val="00A10680"/>
    <w:rsid w:val="00A1077B"/>
    <w:rsid w:val="00A107B9"/>
    <w:rsid w:val="00A10CB1"/>
    <w:rsid w:val="00A10D24"/>
    <w:rsid w:val="00A11077"/>
    <w:rsid w:val="00A110D7"/>
    <w:rsid w:val="00A1119B"/>
    <w:rsid w:val="00A11251"/>
    <w:rsid w:val="00A11264"/>
    <w:rsid w:val="00A1128D"/>
    <w:rsid w:val="00A114EF"/>
    <w:rsid w:val="00A117A6"/>
    <w:rsid w:val="00A117D2"/>
    <w:rsid w:val="00A11826"/>
    <w:rsid w:val="00A1190F"/>
    <w:rsid w:val="00A11919"/>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5A9"/>
    <w:rsid w:val="00A1461B"/>
    <w:rsid w:val="00A14689"/>
    <w:rsid w:val="00A1480F"/>
    <w:rsid w:val="00A148A5"/>
    <w:rsid w:val="00A148E1"/>
    <w:rsid w:val="00A148E5"/>
    <w:rsid w:val="00A14956"/>
    <w:rsid w:val="00A14A5F"/>
    <w:rsid w:val="00A14BB6"/>
    <w:rsid w:val="00A14EC0"/>
    <w:rsid w:val="00A14F4D"/>
    <w:rsid w:val="00A1512B"/>
    <w:rsid w:val="00A1513F"/>
    <w:rsid w:val="00A1516F"/>
    <w:rsid w:val="00A15180"/>
    <w:rsid w:val="00A15198"/>
    <w:rsid w:val="00A15259"/>
    <w:rsid w:val="00A152ED"/>
    <w:rsid w:val="00A1552E"/>
    <w:rsid w:val="00A15697"/>
    <w:rsid w:val="00A156AB"/>
    <w:rsid w:val="00A1581D"/>
    <w:rsid w:val="00A15A0D"/>
    <w:rsid w:val="00A15A79"/>
    <w:rsid w:val="00A15BB6"/>
    <w:rsid w:val="00A15C1D"/>
    <w:rsid w:val="00A15C59"/>
    <w:rsid w:val="00A15D18"/>
    <w:rsid w:val="00A15D6C"/>
    <w:rsid w:val="00A16009"/>
    <w:rsid w:val="00A1650F"/>
    <w:rsid w:val="00A1667A"/>
    <w:rsid w:val="00A16895"/>
    <w:rsid w:val="00A16964"/>
    <w:rsid w:val="00A16AEA"/>
    <w:rsid w:val="00A16BEA"/>
    <w:rsid w:val="00A16E45"/>
    <w:rsid w:val="00A17109"/>
    <w:rsid w:val="00A171E9"/>
    <w:rsid w:val="00A17656"/>
    <w:rsid w:val="00A1774F"/>
    <w:rsid w:val="00A177C6"/>
    <w:rsid w:val="00A1795D"/>
    <w:rsid w:val="00A179DD"/>
    <w:rsid w:val="00A17CFB"/>
    <w:rsid w:val="00A17DA9"/>
    <w:rsid w:val="00A17E2C"/>
    <w:rsid w:val="00A17F6C"/>
    <w:rsid w:val="00A200E2"/>
    <w:rsid w:val="00A204CC"/>
    <w:rsid w:val="00A20556"/>
    <w:rsid w:val="00A206FE"/>
    <w:rsid w:val="00A20742"/>
    <w:rsid w:val="00A207DD"/>
    <w:rsid w:val="00A20852"/>
    <w:rsid w:val="00A20A30"/>
    <w:rsid w:val="00A20A80"/>
    <w:rsid w:val="00A20AAC"/>
    <w:rsid w:val="00A20B3C"/>
    <w:rsid w:val="00A20CD0"/>
    <w:rsid w:val="00A210A3"/>
    <w:rsid w:val="00A2134B"/>
    <w:rsid w:val="00A21464"/>
    <w:rsid w:val="00A21505"/>
    <w:rsid w:val="00A217E5"/>
    <w:rsid w:val="00A218A3"/>
    <w:rsid w:val="00A21A58"/>
    <w:rsid w:val="00A21B23"/>
    <w:rsid w:val="00A21D66"/>
    <w:rsid w:val="00A21F40"/>
    <w:rsid w:val="00A220DE"/>
    <w:rsid w:val="00A222C6"/>
    <w:rsid w:val="00A22339"/>
    <w:rsid w:val="00A2245E"/>
    <w:rsid w:val="00A2264A"/>
    <w:rsid w:val="00A226F8"/>
    <w:rsid w:val="00A22742"/>
    <w:rsid w:val="00A22986"/>
    <w:rsid w:val="00A22B1D"/>
    <w:rsid w:val="00A22DFF"/>
    <w:rsid w:val="00A22EB7"/>
    <w:rsid w:val="00A22FFC"/>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62F"/>
    <w:rsid w:val="00A24707"/>
    <w:rsid w:val="00A247BD"/>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C8A"/>
    <w:rsid w:val="00A26DF8"/>
    <w:rsid w:val="00A26E46"/>
    <w:rsid w:val="00A26FCA"/>
    <w:rsid w:val="00A27619"/>
    <w:rsid w:val="00A27679"/>
    <w:rsid w:val="00A27889"/>
    <w:rsid w:val="00A27899"/>
    <w:rsid w:val="00A27A36"/>
    <w:rsid w:val="00A27DC5"/>
    <w:rsid w:val="00A3020A"/>
    <w:rsid w:val="00A302DC"/>
    <w:rsid w:val="00A30576"/>
    <w:rsid w:val="00A305E3"/>
    <w:rsid w:val="00A3061A"/>
    <w:rsid w:val="00A30762"/>
    <w:rsid w:val="00A308B8"/>
    <w:rsid w:val="00A30B2A"/>
    <w:rsid w:val="00A30BA0"/>
    <w:rsid w:val="00A30BBC"/>
    <w:rsid w:val="00A30D04"/>
    <w:rsid w:val="00A30FBD"/>
    <w:rsid w:val="00A31026"/>
    <w:rsid w:val="00A310B0"/>
    <w:rsid w:val="00A31204"/>
    <w:rsid w:val="00A3121D"/>
    <w:rsid w:val="00A312A3"/>
    <w:rsid w:val="00A3178B"/>
    <w:rsid w:val="00A317DE"/>
    <w:rsid w:val="00A318F0"/>
    <w:rsid w:val="00A319A0"/>
    <w:rsid w:val="00A31B71"/>
    <w:rsid w:val="00A31F14"/>
    <w:rsid w:val="00A31F54"/>
    <w:rsid w:val="00A32066"/>
    <w:rsid w:val="00A3221B"/>
    <w:rsid w:val="00A32273"/>
    <w:rsid w:val="00A323C4"/>
    <w:rsid w:val="00A32402"/>
    <w:rsid w:val="00A32491"/>
    <w:rsid w:val="00A324D0"/>
    <w:rsid w:val="00A325B7"/>
    <w:rsid w:val="00A325DC"/>
    <w:rsid w:val="00A325F6"/>
    <w:rsid w:val="00A3274C"/>
    <w:rsid w:val="00A32892"/>
    <w:rsid w:val="00A328DC"/>
    <w:rsid w:val="00A32A30"/>
    <w:rsid w:val="00A32C00"/>
    <w:rsid w:val="00A32C25"/>
    <w:rsid w:val="00A32DB4"/>
    <w:rsid w:val="00A3329B"/>
    <w:rsid w:val="00A332C6"/>
    <w:rsid w:val="00A33302"/>
    <w:rsid w:val="00A33401"/>
    <w:rsid w:val="00A334E9"/>
    <w:rsid w:val="00A33668"/>
    <w:rsid w:val="00A337B1"/>
    <w:rsid w:val="00A3380B"/>
    <w:rsid w:val="00A33BD4"/>
    <w:rsid w:val="00A33C4B"/>
    <w:rsid w:val="00A33CE5"/>
    <w:rsid w:val="00A33D0B"/>
    <w:rsid w:val="00A33DB0"/>
    <w:rsid w:val="00A33E08"/>
    <w:rsid w:val="00A33FCA"/>
    <w:rsid w:val="00A33FFB"/>
    <w:rsid w:val="00A34329"/>
    <w:rsid w:val="00A343A7"/>
    <w:rsid w:val="00A34438"/>
    <w:rsid w:val="00A34504"/>
    <w:rsid w:val="00A34708"/>
    <w:rsid w:val="00A347A9"/>
    <w:rsid w:val="00A34908"/>
    <w:rsid w:val="00A34A0E"/>
    <w:rsid w:val="00A34A75"/>
    <w:rsid w:val="00A34BA0"/>
    <w:rsid w:val="00A34BAF"/>
    <w:rsid w:val="00A34D01"/>
    <w:rsid w:val="00A34E5C"/>
    <w:rsid w:val="00A35005"/>
    <w:rsid w:val="00A35061"/>
    <w:rsid w:val="00A350E9"/>
    <w:rsid w:val="00A35146"/>
    <w:rsid w:val="00A351BE"/>
    <w:rsid w:val="00A35383"/>
    <w:rsid w:val="00A354FF"/>
    <w:rsid w:val="00A3559E"/>
    <w:rsid w:val="00A356E2"/>
    <w:rsid w:val="00A3579E"/>
    <w:rsid w:val="00A3583D"/>
    <w:rsid w:val="00A35890"/>
    <w:rsid w:val="00A359D4"/>
    <w:rsid w:val="00A35C13"/>
    <w:rsid w:val="00A35D38"/>
    <w:rsid w:val="00A35DCF"/>
    <w:rsid w:val="00A35E2B"/>
    <w:rsid w:val="00A35FBA"/>
    <w:rsid w:val="00A36158"/>
    <w:rsid w:val="00A3629B"/>
    <w:rsid w:val="00A3629D"/>
    <w:rsid w:val="00A364CB"/>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867"/>
    <w:rsid w:val="00A37878"/>
    <w:rsid w:val="00A3793B"/>
    <w:rsid w:val="00A37963"/>
    <w:rsid w:val="00A3797D"/>
    <w:rsid w:val="00A37A8E"/>
    <w:rsid w:val="00A37C6F"/>
    <w:rsid w:val="00A37DA4"/>
    <w:rsid w:val="00A37E36"/>
    <w:rsid w:val="00A40138"/>
    <w:rsid w:val="00A40144"/>
    <w:rsid w:val="00A40188"/>
    <w:rsid w:val="00A402FC"/>
    <w:rsid w:val="00A404A3"/>
    <w:rsid w:val="00A404CF"/>
    <w:rsid w:val="00A40540"/>
    <w:rsid w:val="00A40615"/>
    <w:rsid w:val="00A406AC"/>
    <w:rsid w:val="00A407EB"/>
    <w:rsid w:val="00A408F0"/>
    <w:rsid w:val="00A40A4A"/>
    <w:rsid w:val="00A40A76"/>
    <w:rsid w:val="00A40BAD"/>
    <w:rsid w:val="00A40BE1"/>
    <w:rsid w:val="00A40C81"/>
    <w:rsid w:val="00A40D76"/>
    <w:rsid w:val="00A40DE3"/>
    <w:rsid w:val="00A40F35"/>
    <w:rsid w:val="00A410F5"/>
    <w:rsid w:val="00A411E2"/>
    <w:rsid w:val="00A411EF"/>
    <w:rsid w:val="00A41527"/>
    <w:rsid w:val="00A4152D"/>
    <w:rsid w:val="00A418A5"/>
    <w:rsid w:val="00A4196D"/>
    <w:rsid w:val="00A41A80"/>
    <w:rsid w:val="00A41B88"/>
    <w:rsid w:val="00A41C17"/>
    <w:rsid w:val="00A41C30"/>
    <w:rsid w:val="00A41D11"/>
    <w:rsid w:val="00A41D4D"/>
    <w:rsid w:val="00A41E48"/>
    <w:rsid w:val="00A4201E"/>
    <w:rsid w:val="00A42097"/>
    <w:rsid w:val="00A420D4"/>
    <w:rsid w:val="00A423AA"/>
    <w:rsid w:val="00A425AD"/>
    <w:rsid w:val="00A427DA"/>
    <w:rsid w:val="00A42905"/>
    <w:rsid w:val="00A42B16"/>
    <w:rsid w:val="00A42B5C"/>
    <w:rsid w:val="00A42D47"/>
    <w:rsid w:val="00A42DDC"/>
    <w:rsid w:val="00A42FB2"/>
    <w:rsid w:val="00A43070"/>
    <w:rsid w:val="00A4324F"/>
    <w:rsid w:val="00A433C2"/>
    <w:rsid w:val="00A43400"/>
    <w:rsid w:val="00A4368A"/>
    <w:rsid w:val="00A43698"/>
    <w:rsid w:val="00A43726"/>
    <w:rsid w:val="00A43858"/>
    <w:rsid w:val="00A43ABC"/>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24"/>
    <w:rsid w:val="00A446AA"/>
    <w:rsid w:val="00A4474F"/>
    <w:rsid w:val="00A447D0"/>
    <w:rsid w:val="00A44832"/>
    <w:rsid w:val="00A44898"/>
    <w:rsid w:val="00A44AD1"/>
    <w:rsid w:val="00A44BC9"/>
    <w:rsid w:val="00A44C39"/>
    <w:rsid w:val="00A44C72"/>
    <w:rsid w:val="00A44EF9"/>
    <w:rsid w:val="00A44EFD"/>
    <w:rsid w:val="00A44FC5"/>
    <w:rsid w:val="00A45279"/>
    <w:rsid w:val="00A452CC"/>
    <w:rsid w:val="00A453B0"/>
    <w:rsid w:val="00A45858"/>
    <w:rsid w:val="00A45886"/>
    <w:rsid w:val="00A45918"/>
    <w:rsid w:val="00A45A03"/>
    <w:rsid w:val="00A45A75"/>
    <w:rsid w:val="00A45C61"/>
    <w:rsid w:val="00A45CDF"/>
    <w:rsid w:val="00A45DAA"/>
    <w:rsid w:val="00A45FC5"/>
    <w:rsid w:val="00A4601A"/>
    <w:rsid w:val="00A46103"/>
    <w:rsid w:val="00A46307"/>
    <w:rsid w:val="00A46560"/>
    <w:rsid w:val="00A465D7"/>
    <w:rsid w:val="00A466C3"/>
    <w:rsid w:val="00A46731"/>
    <w:rsid w:val="00A46816"/>
    <w:rsid w:val="00A46971"/>
    <w:rsid w:val="00A46DE6"/>
    <w:rsid w:val="00A46F7A"/>
    <w:rsid w:val="00A470FE"/>
    <w:rsid w:val="00A474CE"/>
    <w:rsid w:val="00A474D0"/>
    <w:rsid w:val="00A4777A"/>
    <w:rsid w:val="00A477B1"/>
    <w:rsid w:val="00A47838"/>
    <w:rsid w:val="00A4783D"/>
    <w:rsid w:val="00A479C6"/>
    <w:rsid w:val="00A47D51"/>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1B"/>
    <w:rsid w:val="00A51F54"/>
    <w:rsid w:val="00A52172"/>
    <w:rsid w:val="00A5223D"/>
    <w:rsid w:val="00A5224F"/>
    <w:rsid w:val="00A5225D"/>
    <w:rsid w:val="00A5229D"/>
    <w:rsid w:val="00A522A9"/>
    <w:rsid w:val="00A522CE"/>
    <w:rsid w:val="00A52321"/>
    <w:rsid w:val="00A5236A"/>
    <w:rsid w:val="00A5255A"/>
    <w:rsid w:val="00A5257A"/>
    <w:rsid w:val="00A525A9"/>
    <w:rsid w:val="00A5264A"/>
    <w:rsid w:val="00A52771"/>
    <w:rsid w:val="00A527B5"/>
    <w:rsid w:val="00A5293C"/>
    <w:rsid w:val="00A52ABD"/>
    <w:rsid w:val="00A52C6B"/>
    <w:rsid w:val="00A52CD4"/>
    <w:rsid w:val="00A52D4B"/>
    <w:rsid w:val="00A52DDA"/>
    <w:rsid w:val="00A52E89"/>
    <w:rsid w:val="00A52EC3"/>
    <w:rsid w:val="00A52FDC"/>
    <w:rsid w:val="00A531E4"/>
    <w:rsid w:val="00A53278"/>
    <w:rsid w:val="00A533B9"/>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980"/>
    <w:rsid w:val="00A56AA1"/>
    <w:rsid w:val="00A56CC8"/>
    <w:rsid w:val="00A56CE3"/>
    <w:rsid w:val="00A56F1F"/>
    <w:rsid w:val="00A57071"/>
    <w:rsid w:val="00A5708C"/>
    <w:rsid w:val="00A57096"/>
    <w:rsid w:val="00A57175"/>
    <w:rsid w:val="00A57275"/>
    <w:rsid w:val="00A5728B"/>
    <w:rsid w:val="00A57561"/>
    <w:rsid w:val="00A57691"/>
    <w:rsid w:val="00A57703"/>
    <w:rsid w:val="00A577A3"/>
    <w:rsid w:val="00A57DE3"/>
    <w:rsid w:val="00A57DEC"/>
    <w:rsid w:val="00A57F22"/>
    <w:rsid w:val="00A601E7"/>
    <w:rsid w:val="00A60459"/>
    <w:rsid w:val="00A604BE"/>
    <w:rsid w:val="00A60504"/>
    <w:rsid w:val="00A60BA5"/>
    <w:rsid w:val="00A61047"/>
    <w:rsid w:val="00A6112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30"/>
    <w:rsid w:val="00A62E87"/>
    <w:rsid w:val="00A62FEF"/>
    <w:rsid w:val="00A63002"/>
    <w:rsid w:val="00A63168"/>
    <w:rsid w:val="00A63256"/>
    <w:rsid w:val="00A6330F"/>
    <w:rsid w:val="00A634FF"/>
    <w:rsid w:val="00A63508"/>
    <w:rsid w:val="00A6356B"/>
    <w:rsid w:val="00A6361B"/>
    <w:rsid w:val="00A63714"/>
    <w:rsid w:val="00A63784"/>
    <w:rsid w:val="00A637BA"/>
    <w:rsid w:val="00A63806"/>
    <w:rsid w:val="00A6395F"/>
    <w:rsid w:val="00A63BE9"/>
    <w:rsid w:val="00A63C62"/>
    <w:rsid w:val="00A63FA8"/>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72D"/>
    <w:rsid w:val="00A65868"/>
    <w:rsid w:val="00A658C7"/>
    <w:rsid w:val="00A65C4E"/>
    <w:rsid w:val="00A65C5B"/>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C78"/>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8B"/>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65"/>
    <w:rsid w:val="00A711F1"/>
    <w:rsid w:val="00A71222"/>
    <w:rsid w:val="00A7127A"/>
    <w:rsid w:val="00A713EE"/>
    <w:rsid w:val="00A715A9"/>
    <w:rsid w:val="00A715B7"/>
    <w:rsid w:val="00A716A1"/>
    <w:rsid w:val="00A71743"/>
    <w:rsid w:val="00A71862"/>
    <w:rsid w:val="00A71911"/>
    <w:rsid w:val="00A719E6"/>
    <w:rsid w:val="00A71A84"/>
    <w:rsid w:val="00A71B2A"/>
    <w:rsid w:val="00A71C0A"/>
    <w:rsid w:val="00A71CD4"/>
    <w:rsid w:val="00A71CD5"/>
    <w:rsid w:val="00A71D85"/>
    <w:rsid w:val="00A71E69"/>
    <w:rsid w:val="00A71E9E"/>
    <w:rsid w:val="00A71EE6"/>
    <w:rsid w:val="00A71F02"/>
    <w:rsid w:val="00A71FD5"/>
    <w:rsid w:val="00A720E0"/>
    <w:rsid w:val="00A72138"/>
    <w:rsid w:val="00A7247F"/>
    <w:rsid w:val="00A72ADF"/>
    <w:rsid w:val="00A72B51"/>
    <w:rsid w:val="00A72CA4"/>
    <w:rsid w:val="00A72E3D"/>
    <w:rsid w:val="00A73073"/>
    <w:rsid w:val="00A7307C"/>
    <w:rsid w:val="00A73361"/>
    <w:rsid w:val="00A7337B"/>
    <w:rsid w:val="00A7344C"/>
    <w:rsid w:val="00A736F1"/>
    <w:rsid w:val="00A73765"/>
    <w:rsid w:val="00A73858"/>
    <w:rsid w:val="00A739B9"/>
    <w:rsid w:val="00A73A1E"/>
    <w:rsid w:val="00A73AF8"/>
    <w:rsid w:val="00A73BAB"/>
    <w:rsid w:val="00A73CC1"/>
    <w:rsid w:val="00A73F0D"/>
    <w:rsid w:val="00A73FE0"/>
    <w:rsid w:val="00A74045"/>
    <w:rsid w:val="00A740B3"/>
    <w:rsid w:val="00A74208"/>
    <w:rsid w:val="00A74274"/>
    <w:rsid w:val="00A74313"/>
    <w:rsid w:val="00A744F3"/>
    <w:rsid w:val="00A745DB"/>
    <w:rsid w:val="00A745F2"/>
    <w:rsid w:val="00A749C6"/>
    <w:rsid w:val="00A74A36"/>
    <w:rsid w:val="00A74A6F"/>
    <w:rsid w:val="00A74AD0"/>
    <w:rsid w:val="00A74BAF"/>
    <w:rsid w:val="00A74C69"/>
    <w:rsid w:val="00A74CD6"/>
    <w:rsid w:val="00A74E90"/>
    <w:rsid w:val="00A74ED9"/>
    <w:rsid w:val="00A74F1C"/>
    <w:rsid w:val="00A74F42"/>
    <w:rsid w:val="00A74F76"/>
    <w:rsid w:val="00A74F81"/>
    <w:rsid w:val="00A751FC"/>
    <w:rsid w:val="00A75279"/>
    <w:rsid w:val="00A752D5"/>
    <w:rsid w:val="00A753C4"/>
    <w:rsid w:val="00A754AF"/>
    <w:rsid w:val="00A75578"/>
    <w:rsid w:val="00A75620"/>
    <w:rsid w:val="00A756DA"/>
    <w:rsid w:val="00A7582A"/>
    <w:rsid w:val="00A75866"/>
    <w:rsid w:val="00A7586B"/>
    <w:rsid w:val="00A758E5"/>
    <w:rsid w:val="00A75C36"/>
    <w:rsid w:val="00A75E72"/>
    <w:rsid w:val="00A76029"/>
    <w:rsid w:val="00A7612D"/>
    <w:rsid w:val="00A7617C"/>
    <w:rsid w:val="00A76256"/>
    <w:rsid w:val="00A762CE"/>
    <w:rsid w:val="00A764D5"/>
    <w:rsid w:val="00A765B1"/>
    <w:rsid w:val="00A76668"/>
    <w:rsid w:val="00A766B4"/>
    <w:rsid w:val="00A769E1"/>
    <w:rsid w:val="00A76BC2"/>
    <w:rsid w:val="00A76C2A"/>
    <w:rsid w:val="00A76C4B"/>
    <w:rsid w:val="00A76C9F"/>
    <w:rsid w:val="00A772D9"/>
    <w:rsid w:val="00A7751E"/>
    <w:rsid w:val="00A777D8"/>
    <w:rsid w:val="00A77881"/>
    <w:rsid w:val="00A778F4"/>
    <w:rsid w:val="00A77AD4"/>
    <w:rsid w:val="00A77D53"/>
    <w:rsid w:val="00A77D8F"/>
    <w:rsid w:val="00A77ED7"/>
    <w:rsid w:val="00A801A2"/>
    <w:rsid w:val="00A8024C"/>
    <w:rsid w:val="00A80390"/>
    <w:rsid w:val="00A80982"/>
    <w:rsid w:val="00A80A5F"/>
    <w:rsid w:val="00A80B04"/>
    <w:rsid w:val="00A80BA0"/>
    <w:rsid w:val="00A80EA1"/>
    <w:rsid w:val="00A80F51"/>
    <w:rsid w:val="00A80FB8"/>
    <w:rsid w:val="00A810BF"/>
    <w:rsid w:val="00A81110"/>
    <w:rsid w:val="00A811FF"/>
    <w:rsid w:val="00A81362"/>
    <w:rsid w:val="00A81398"/>
    <w:rsid w:val="00A8161D"/>
    <w:rsid w:val="00A81626"/>
    <w:rsid w:val="00A816E1"/>
    <w:rsid w:val="00A81800"/>
    <w:rsid w:val="00A81927"/>
    <w:rsid w:val="00A819F4"/>
    <w:rsid w:val="00A81A74"/>
    <w:rsid w:val="00A81BE6"/>
    <w:rsid w:val="00A81C5A"/>
    <w:rsid w:val="00A81CED"/>
    <w:rsid w:val="00A81DAF"/>
    <w:rsid w:val="00A81DBE"/>
    <w:rsid w:val="00A81E15"/>
    <w:rsid w:val="00A81E7C"/>
    <w:rsid w:val="00A8228F"/>
    <w:rsid w:val="00A82557"/>
    <w:rsid w:val="00A8262D"/>
    <w:rsid w:val="00A827EF"/>
    <w:rsid w:val="00A8285B"/>
    <w:rsid w:val="00A82AAD"/>
    <w:rsid w:val="00A82C9A"/>
    <w:rsid w:val="00A82DE3"/>
    <w:rsid w:val="00A82EB1"/>
    <w:rsid w:val="00A82FB7"/>
    <w:rsid w:val="00A83086"/>
    <w:rsid w:val="00A8310C"/>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274"/>
    <w:rsid w:val="00A84456"/>
    <w:rsid w:val="00A84655"/>
    <w:rsid w:val="00A84788"/>
    <w:rsid w:val="00A847F7"/>
    <w:rsid w:val="00A84877"/>
    <w:rsid w:val="00A84A4D"/>
    <w:rsid w:val="00A84D7B"/>
    <w:rsid w:val="00A84EB3"/>
    <w:rsid w:val="00A85004"/>
    <w:rsid w:val="00A852B0"/>
    <w:rsid w:val="00A852D3"/>
    <w:rsid w:val="00A85425"/>
    <w:rsid w:val="00A8584D"/>
    <w:rsid w:val="00A858AC"/>
    <w:rsid w:val="00A859AB"/>
    <w:rsid w:val="00A85A83"/>
    <w:rsid w:val="00A85CA7"/>
    <w:rsid w:val="00A85CC9"/>
    <w:rsid w:val="00A85CD9"/>
    <w:rsid w:val="00A85D6C"/>
    <w:rsid w:val="00A85D7A"/>
    <w:rsid w:val="00A85DEE"/>
    <w:rsid w:val="00A85F06"/>
    <w:rsid w:val="00A86428"/>
    <w:rsid w:val="00A8648A"/>
    <w:rsid w:val="00A86519"/>
    <w:rsid w:val="00A8680D"/>
    <w:rsid w:val="00A8693F"/>
    <w:rsid w:val="00A869DD"/>
    <w:rsid w:val="00A86B91"/>
    <w:rsid w:val="00A86E31"/>
    <w:rsid w:val="00A87161"/>
    <w:rsid w:val="00A87177"/>
    <w:rsid w:val="00A87231"/>
    <w:rsid w:val="00A872FE"/>
    <w:rsid w:val="00A8763F"/>
    <w:rsid w:val="00A8764E"/>
    <w:rsid w:val="00A877F7"/>
    <w:rsid w:val="00A87818"/>
    <w:rsid w:val="00A8785A"/>
    <w:rsid w:val="00A878DF"/>
    <w:rsid w:val="00A87AD5"/>
    <w:rsid w:val="00A87B0A"/>
    <w:rsid w:val="00A87C8B"/>
    <w:rsid w:val="00A87D1C"/>
    <w:rsid w:val="00A87F12"/>
    <w:rsid w:val="00A87F63"/>
    <w:rsid w:val="00A901AD"/>
    <w:rsid w:val="00A9034E"/>
    <w:rsid w:val="00A90639"/>
    <w:rsid w:val="00A90709"/>
    <w:rsid w:val="00A90757"/>
    <w:rsid w:val="00A9099B"/>
    <w:rsid w:val="00A909E5"/>
    <w:rsid w:val="00A90B3F"/>
    <w:rsid w:val="00A90C1C"/>
    <w:rsid w:val="00A90D75"/>
    <w:rsid w:val="00A91001"/>
    <w:rsid w:val="00A91095"/>
    <w:rsid w:val="00A913F2"/>
    <w:rsid w:val="00A91795"/>
    <w:rsid w:val="00A917FB"/>
    <w:rsid w:val="00A918CA"/>
    <w:rsid w:val="00A91DCD"/>
    <w:rsid w:val="00A91DDE"/>
    <w:rsid w:val="00A92054"/>
    <w:rsid w:val="00A92103"/>
    <w:rsid w:val="00A9210F"/>
    <w:rsid w:val="00A922FE"/>
    <w:rsid w:val="00A92633"/>
    <w:rsid w:val="00A92651"/>
    <w:rsid w:val="00A92973"/>
    <w:rsid w:val="00A92D1C"/>
    <w:rsid w:val="00A92E17"/>
    <w:rsid w:val="00A92F59"/>
    <w:rsid w:val="00A930AF"/>
    <w:rsid w:val="00A930D9"/>
    <w:rsid w:val="00A930EB"/>
    <w:rsid w:val="00A93276"/>
    <w:rsid w:val="00A934B6"/>
    <w:rsid w:val="00A93516"/>
    <w:rsid w:val="00A93558"/>
    <w:rsid w:val="00A9357A"/>
    <w:rsid w:val="00A9359F"/>
    <w:rsid w:val="00A935A7"/>
    <w:rsid w:val="00A93898"/>
    <w:rsid w:val="00A93A1A"/>
    <w:rsid w:val="00A93B6D"/>
    <w:rsid w:val="00A93B77"/>
    <w:rsid w:val="00A93B9A"/>
    <w:rsid w:val="00A93BBF"/>
    <w:rsid w:val="00A93DA2"/>
    <w:rsid w:val="00A93E82"/>
    <w:rsid w:val="00A93F5C"/>
    <w:rsid w:val="00A93F6D"/>
    <w:rsid w:val="00A93FE0"/>
    <w:rsid w:val="00A9408E"/>
    <w:rsid w:val="00A94124"/>
    <w:rsid w:val="00A94174"/>
    <w:rsid w:val="00A941CA"/>
    <w:rsid w:val="00A9425D"/>
    <w:rsid w:val="00A942C8"/>
    <w:rsid w:val="00A944F2"/>
    <w:rsid w:val="00A9483B"/>
    <w:rsid w:val="00A9485D"/>
    <w:rsid w:val="00A948FF"/>
    <w:rsid w:val="00A9492C"/>
    <w:rsid w:val="00A94A70"/>
    <w:rsid w:val="00A94D3C"/>
    <w:rsid w:val="00A94D83"/>
    <w:rsid w:val="00A94DB4"/>
    <w:rsid w:val="00A94E1B"/>
    <w:rsid w:val="00A94E1C"/>
    <w:rsid w:val="00A954F4"/>
    <w:rsid w:val="00A955C8"/>
    <w:rsid w:val="00A95612"/>
    <w:rsid w:val="00A956A8"/>
    <w:rsid w:val="00A956C8"/>
    <w:rsid w:val="00A957B0"/>
    <w:rsid w:val="00A9583A"/>
    <w:rsid w:val="00A958C9"/>
    <w:rsid w:val="00A95917"/>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0B"/>
    <w:rsid w:val="00AA05B1"/>
    <w:rsid w:val="00AA089D"/>
    <w:rsid w:val="00AA0BF6"/>
    <w:rsid w:val="00AA0D04"/>
    <w:rsid w:val="00AA0D8D"/>
    <w:rsid w:val="00AA0E03"/>
    <w:rsid w:val="00AA0F58"/>
    <w:rsid w:val="00AA1000"/>
    <w:rsid w:val="00AA11AB"/>
    <w:rsid w:val="00AA1282"/>
    <w:rsid w:val="00AA136B"/>
    <w:rsid w:val="00AA1399"/>
    <w:rsid w:val="00AA1413"/>
    <w:rsid w:val="00AA150F"/>
    <w:rsid w:val="00AA1620"/>
    <w:rsid w:val="00AA16FB"/>
    <w:rsid w:val="00AA18D6"/>
    <w:rsid w:val="00AA1914"/>
    <w:rsid w:val="00AA1A41"/>
    <w:rsid w:val="00AA1B28"/>
    <w:rsid w:val="00AA1BF7"/>
    <w:rsid w:val="00AA1C87"/>
    <w:rsid w:val="00AA2057"/>
    <w:rsid w:val="00AA20C3"/>
    <w:rsid w:val="00AA20E7"/>
    <w:rsid w:val="00AA2136"/>
    <w:rsid w:val="00AA2199"/>
    <w:rsid w:val="00AA2229"/>
    <w:rsid w:val="00AA278A"/>
    <w:rsid w:val="00AA2BA7"/>
    <w:rsid w:val="00AA2C6C"/>
    <w:rsid w:val="00AA2DC0"/>
    <w:rsid w:val="00AA2FA8"/>
    <w:rsid w:val="00AA30A8"/>
    <w:rsid w:val="00AA31AB"/>
    <w:rsid w:val="00AA3209"/>
    <w:rsid w:val="00AA330C"/>
    <w:rsid w:val="00AA34B3"/>
    <w:rsid w:val="00AA35F0"/>
    <w:rsid w:val="00AA36AB"/>
    <w:rsid w:val="00AA38D4"/>
    <w:rsid w:val="00AA38E9"/>
    <w:rsid w:val="00AA3985"/>
    <w:rsid w:val="00AA3A5B"/>
    <w:rsid w:val="00AA3AC5"/>
    <w:rsid w:val="00AA3AD9"/>
    <w:rsid w:val="00AA3B31"/>
    <w:rsid w:val="00AA3CB8"/>
    <w:rsid w:val="00AA3D9B"/>
    <w:rsid w:val="00AA3E17"/>
    <w:rsid w:val="00AA3F5C"/>
    <w:rsid w:val="00AA3FB2"/>
    <w:rsid w:val="00AA3FBF"/>
    <w:rsid w:val="00AA4092"/>
    <w:rsid w:val="00AA409D"/>
    <w:rsid w:val="00AA4195"/>
    <w:rsid w:val="00AA4377"/>
    <w:rsid w:val="00AA43C5"/>
    <w:rsid w:val="00AA4430"/>
    <w:rsid w:val="00AA4464"/>
    <w:rsid w:val="00AA44EA"/>
    <w:rsid w:val="00AA45A0"/>
    <w:rsid w:val="00AA49BC"/>
    <w:rsid w:val="00AA49C5"/>
    <w:rsid w:val="00AA4AC2"/>
    <w:rsid w:val="00AA4B06"/>
    <w:rsid w:val="00AA4B2D"/>
    <w:rsid w:val="00AA4BB4"/>
    <w:rsid w:val="00AA4D34"/>
    <w:rsid w:val="00AA4D61"/>
    <w:rsid w:val="00AA4DAD"/>
    <w:rsid w:val="00AA4F1E"/>
    <w:rsid w:val="00AA4F95"/>
    <w:rsid w:val="00AA517A"/>
    <w:rsid w:val="00AA54C9"/>
    <w:rsid w:val="00AA566F"/>
    <w:rsid w:val="00AA5716"/>
    <w:rsid w:val="00AA583D"/>
    <w:rsid w:val="00AA58F6"/>
    <w:rsid w:val="00AA5AA8"/>
    <w:rsid w:val="00AA5BF1"/>
    <w:rsid w:val="00AA5BF8"/>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3A1"/>
    <w:rsid w:val="00AA74BE"/>
    <w:rsid w:val="00AA7583"/>
    <w:rsid w:val="00AA75C7"/>
    <w:rsid w:val="00AA7613"/>
    <w:rsid w:val="00AA76B1"/>
    <w:rsid w:val="00AA771B"/>
    <w:rsid w:val="00AA77B4"/>
    <w:rsid w:val="00AA7820"/>
    <w:rsid w:val="00AA783D"/>
    <w:rsid w:val="00AA78F1"/>
    <w:rsid w:val="00AA7A1C"/>
    <w:rsid w:val="00AA7BE1"/>
    <w:rsid w:val="00AA7C96"/>
    <w:rsid w:val="00AA7D75"/>
    <w:rsid w:val="00AB003D"/>
    <w:rsid w:val="00AB0258"/>
    <w:rsid w:val="00AB032F"/>
    <w:rsid w:val="00AB035F"/>
    <w:rsid w:val="00AB03FC"/>
    <w:rsid w:val="00AB05CB"/>
    <w:rsid w:val="00AB066D"/>
    <w:rsid w:val="00AB0692"/>
    <w:rsid w:val="00AB0771"/>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1EE5"/>
    <w:rsid w:val="00AB2193"/>
    <w:rsid w:val="00AB221D"/>
    <w:rsid w:val="00AB2275"/>
    <w:rsid w:val="00AB2515"/>
    <w:rsid w:val="00AB2543"/>
    <w:rsid w:val="00AB2876"/>
    <w:rsid w:val="00AB2BE6"/>
    <w:rsid w:val="00AB2C32"/>
    <w:rsid w:val="00AB2D21"/>
    <w:rsid w:val="00AB31F8"/>
    <w:rsid w:val="00AB3252"/>
    <w:rsid w:val="00AB32AC"/>
    <w:rsid w:val="00AB359A"/>
    <w:rsid w:val="00AB37A4"/>
    <w:rsid w:val="00AB3969"/>
    <w:rsid w:val="00AB3981"/>
    <w:rsid w:val="00AB3A4A"/>
    <w:rsid w:val="00AB3B46"/>
    <w:rsid w:val="00AB3B92"/>
    <w:rsid w:val="00AB3BE5"/>
    <w:rsid w:val="00AB3D3A"/>
    <w:rsid w:val="00AB3D6D"/>
    <w:rsid w:val="00AB3E85"/>
    <w:rsid w:val="00AB3EE4"/>
    <w:rsid w:val="00AB3FAB"/>
    <w:rsid w:val="00AB419A"/>
    <w:rsid w:val="00AB4420"/>
    <w:rsid w:val="00AB4455"/>
    <w:rsid w:val="00AB471F"/>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9C7"/>
    <w:rsid w:val="00AB5AE0"/>
    <w:rsid w:val="00AB5C73"/>
    <w:rsid w:val="00AB5E99"/>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316"/>
    <w:rsid w:val="00AB7476"/>
    <w:rsid w:val="00AB7698"/>
    <w:rsid w:val="00AB7850"/>
    <w:rsid w:val="00AB7965"/>
    <w:rsid w:val="00AB7C51"/>
    <w:rsid w:val="00AB7D0A"/>
    <w:rsid w:val="00AB7D7C"/>
    <w:rsid w:val="00AC016B"/>
    <w:rsid w:val="00AC01CD"/>
    <w:rsid w:val="00AC01DD"/>
    <w:rsid w:val="00AC0709"/>
    <w:rsid w:val="00AC074A"/>
    <w:rsid w:val="00AC081F"/>
    <w:rsid w:val="00AC0883"/>
    <w:rsid w:val="00AC089C"/>
    <w:rsid w:val="00AC09EF"/>
    <w:rsid w:val="00AC0AD4"/>
    <w:rsid w:val="00AC0CB4"/>
    <w:rsid w:val="00AC0D5B"/>
    <w:rsid w:val="00AC0D7B"/>
    <w:rsid w:val="00AC1051"/>
    <w:rsid w:val="00AC10BD"/>
    <w:rsid w:val="00AC10E0"/>
    <w:rsid w:val="00AC1218"/>
    <w:rsid w:val="00AC149B"/>
    <w:rsid w:val="00AC1661"/>
    <w:rsid w:val="00AC180E"/>
    <w:rsid w:val="00AC182C"/>
    <w:rsid w:val="00AC192F"/>
    <w:rsid w:val="00AC1B11"/>
    <w:rsid w:val="00AC1B21"/>
    <w:rsid w:val="00AC1B56"/>
    <w:rsid w:val="00AC1BE5"/>
    <w:rsid w:val="00AC1DAB"/>
    <w:rsid w:val="00AC1F6F"/>
    <w:rsid w:val="00AC2174"/>
    <w:rsid w:val="00AC236D"/>
    <w:rsid w:val="00AC254D"/>
    <w:rsid w:val="00AC261F"/>
    <w:rsid w:val="00AC2A21"/>
    <w:rsid w:val="00AC2C57"/>
    <w:rsid w:val="00AC2C8B"/>
    <w:rsid w:val="00AC2CA9"/>
    <w:rsid w:val="00AC2D19"/>
    <w:rsid w:val="00AC2D2F"/>
    <w:rsid w:val="00AC2F44"/>
    <w:rsid w:val="00AC32D1"/>
    <w:rsid w:val="00AC33D5"/>
    <w:rsid w:val="00AC33FD"/>
    <w:rsid w:val="00AC342F"/>
    <w:rsid w:val="00AC3522"/>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535"/>
    <w:rsid w:val="00AC460A"/>
    <w:rsid w:val="00AC4701"/>
    <w:rsid w:val="00AC4877"/>
    <w:rsid w:val="00AC496E"/>
    <w:rsid w:val="00AC4975"/>
    <w:rsid w:val="00AC499E"/>
    <w:rsid w:val="00AC4ADC"/>
    <w:rsid w:val="00AC4B48"/>
    <w:rsid w:val="00AC4EBF"/>
    <w:rsid w:val="00AC4EE5"/>
    <w:rsid w:val="00AC51C8"/>
    <w:rsid w:val="00AC526B"/>
    <w:rsid w:val="00AC52BF"/>
    <w:rsid w:val="00AC54B9"/>
    <w:rsid w:val="00AC54C0"/>
    <w:rsid w:val="00AC5566"/>
    <w:rsid w:val="00AC5573"/>
    <w:rsid w:val="00AC580A"/>
    <w:rsid w:val="00AC588C"/>
    <w:rsid w:val="00AC59A4"/>
    <w:rsid w:val="00AC59D7"/>
    <w:rsid w:val="00AC5C6A"/>
    <w:rsid w:val="00AC5CFB"/>
    <w:rsid w:val="00AC5D10"/>
    <w:rsid w:val="00AC5D80"/>
    <w:rsid w:val="00AC5FC5"/>
    <w:rsid w:val="00AC60A6"/>
    <w:rsid w:val="00AC6111"/>
    <w:rsid w:val="00AC6171"/>
    <w:rsid w:val="00AC65C6"/>
    <w:rsid w:val="00AC6619"/>
    <w:rsid w:val="00AC6628"/>
    <w:rsid w:val="00AC677A"/>
    <w:rsid w:val="00AC6834"/>
    <w:rsid w:val="00AC6904"/>
    <w:rsid w:val="00AC691A"/>
    <w:rsid w:val="00AC6948"/>
    <w:rsid w:val="00AC694D"/>
    <w:rsid w:val="00AC69C3"/>
    <w:rsid w:val="00AC6A1B"/>
    <w:rsid w:val="00AC6C20"/>
    <w:rsid w:val="00AC6E1A"/>
    <w:rsid w:val="00AC6FFF"/>
    <w:rsid w:val="00AC703D"/>
    <w:rsid w:val="00AC7087"/>
    <w:rsid w:val="00AC70E7"/>
    <w:rsid w:val="00AC7215"/>
    <w:rsid w:val="00AC72D1"/>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07"/>
    <w:rsid w:val="00AD00F3"/>
    <w:rsid w:val="00AD01EB"/>
    <w:rsid w:val="00AD0264"/>
    <w:rsid w:val="00AD031F"/>
    <w:rsid w:val="00AD04DB"/>
    <w:rsid w:val="00AD05C4"/>
    <w:rsid w:val="00AD0612"/>
    <w:rsid w:val="00AD065F"/>
    <w:rsid w:val="00AD0ACD"/>
    <w:rsid w:val="00AD0D4B"/>
    <w:rsid w:val="00AD0FDA"/>
    <w:rsid w:val="00AD13B2"/>
    <w:rsid w:val="00AD15F9"/>
    <w:rsid w:val="00AD1603"/>
    <w:rsid w:val="00AD1714"/>
    <w:rsid w:val="00AD1D45"/>
    <w:rsid w:val="00AD1E7B"/>
    <w:rsid w:val="00AD1E98"/>
    <w:rsid w:val="00AD204A"/>
    <w:rsid w:val="00AD205C"/>
    <w:rsid w:val="00AD20F1"/>
    <w:rsid w:val="00AD23E6"/>
    <w:rsid w:val="00AD260F"/>
    <w:rsid w:val="00AD2640"/>
    <w:rsid w:val="00AD2691"/>
    <w:rsid w:val="00AD27C5"/>
    <w:rsid w:val="00AD2A98"/>
    <w:rsid w:val="00AD2B30"/>
    <w:rsid w:val="00AD2EA0"/>
    <w:rsid w:val="00AD2F93"/>
    <w:rsid w:val="00AD3059"/>
    <w:rsid w:val="00AD30BF"/>
    <w:rsid w:val="00AD31EC"/>
    <w:rsid w:val="00AD3541"/>
    <w:rsid w:val="00AD379D"/>
    <w:rsid w:val="00AD37B0"/>
    <w:rsid w:val="00AD3A41"/>
    <w:rsid w:val="00AD3CB7"/>
    <w:rsid w:val="00AD3D89"/>
    <w:rsid w:val="00AD3F13"/>
    <w:rsid w:val="00AD400E"/>
    <w:rsid w:val="00AD41EA"/>
    <w:rsid w:val="00AD41FC"/>
    <w:rsid w:val="00AD431D"/>
    <w:rsid w:val="00AD47F0"/>
    <w:rsid w:val="00AD4817"/>
    <w:rsid w:val="00AD4891"/>
    <w:rsid w:val="00AD495E"/>
    <w:rsid w:val="00AD4969"/>
    <w:rsid w:val="00AD4B7B"/>
    <w:rsid w:val="00AD4C7E"/>
    <w:rsid w:val="00AD4D9D"/>
    <w:rsid w:val="00AD4E2B"/>
    <w:rsid w:val="00AD4F61"/>
    <w:rsid w:val="00AD5120"/>
    <w:rsid w:val="00AD5165"/>
    <w:rsid w:val="00AD5445"/>
    <w:rsid w:val="00AD5459"/>
    <w:rsid w:val="00AD55F0"/>
    <w:rsid w:val="00AD562D"/>
    <w:rsid w:val="00AD5668"/>
    <w:rsid w:val="00AD585E"/>
    <w:rsid w:val="00AD5B01"/>
    <w:rsid w:val="00AD5B63"/>
    <w:rsid w:val="00AD5BE0"/>
    <w:rsid w:val="00AD5C18"/>
    <w:rsid w:val="00AD5F46"/>
    <w:rsid w:val="00AD5FC9"/>
    <w:rsid w:val="00AD606F"/>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E4B"/>
    <w:rsid w:val="00AD6F4E"/>
    <w:rsid w:val="00AD70AB"/>
    <w:rsid w:val="00AD70C1"/>
    <w:rsid w:val="00AD70DB"/>
    <w:rsid w:val="00AD70F3"/>
    <w:rsid w:val="00AD71B6"/>
    <w:rsid w:val="00AD71F0"/>
    <w:rsid w:val="00AD71F4"/>
    <w:rsid w:val="00AD735F"/>
    <w:rsid w:val="00AD73C4"/>
    <w:rsid w:val="00AD7502"/>
    <w:rsid w:val="00AD761B"/>
    <w:rsid w:val="00AD76FC"/>
    <w:rsid w:val="00AD774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8A5"/>
    <w:rsid w:val="00AE09A0"/>
    <w:rsid w:val="00AE09C0"/>
    <w:rsid w:val="00AE0A76"/>
    <w:rsid w:val="00AE0AEE"/>
    <w:rsid w:val="00AE0B3B"/>
    <w:rsid w:val="00AE0C4F"/>
    <w:rsid w:val="00AE0CD0"/>
    <w:rsid w:val="00AE1474"/>
    <w:rsid w:val="00AE15CA"/>
    <w:rsid w:val="00AE17B3"/>
    <w:rsid w:val="00AE180D"/>
    <w:rsid w:val="00AE199E"/>
    <w:rsid w:val="00AE19E9"/>
    <w:rsid w:val="00AE1B05"/>
    <w:rsid w:val="00AE1D62"/>
    <w:rsid w:val="00AE216E"/>
    <w:rsid w:val="00AE21A7"/>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5B"/>
    <w:rsid w:val="00AE3D9C"/>
    <w:rsid w:val="00AE3DE9"/>
    <w:rsid w:val="00AE3E72"/>
    <w:rsid w:val="00AE40A8"/>
    <w:rsid w:val="00AE4143"/>
    <w:rsid w:val="00AE41DD"/>
    <w:rsid w:val="00AE4250"/>
    <w:rsid w:val="00AE445E"/>
    <w:rsid w:val="00AE46A2"/>
    <w:rsid w:val="00AE484E"/>
    <w:rsid w:val="00AE4A01"/>
    <w:rsid w:val="00AE4ABE"/>
    <w:rsid w:val="00AE4DC6"/>
    <w:rsid w:val="00AE4E04"/>
    <w:rsid w:val="00AE4E6E"/>
    <w:rsid w:val="00AE4F7A"/>
    <w:rsid w:val="00AE52AE"/>
    <w:rsid w:val="00AE5323"/>
    <w:rsid w:val="00AE5384"/>
    <w:rsid w:val="00AE542F"/>
    <w:rsid w:val="00AE5433"/>
    <w:rsid w:val="00AE5670"/>
    <w:rsid w:val="00AE5688"/>
    <w:rsid w:val="00AE5777"/>
    <w:rsid w:val="00AE5828"/>
    <w:rsid w:val="00AE5849"/>
    <w:rsid w:val="00AE596A"/>
    <w:rsid w:val="00AE5972"/>
    <w:rsid w:val="00AE59CD"/>
    <w:rsid w:val="00AE5BD9"/>
    <w:rsid w:val="00AE5CC2"/>
    <w:rsid w:val="00AE5F54"/>
    <w:rsid w:val="00AE5F57"/>
    <w:rsid w:val="00AE5F7B"/>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6D97"/>
    <w:rsid w:val="00AE70F0"/>
    <w:rsid w:val="00AE719C"/>
    <w:rsid w:val="00AE72A2"/>
    <w:rsid w:val="00AE74AE"/>
    <w:rsid w:val="00AE75AD"/>
    <w:rsid w:val="00AE770A"/>
    <w:rsid w:val="00AE7755"/>
    <w:rsid w:val="00AE77A3"/>
    <w:rsid w:val="00AE781D"/>
    <w:rsid w:val="00AE7852"/>
    <w:rsid w:val="00AE7943"/>
    <w:rsid w:val="00AE795B"/>
    <w:rsid w:val="00AE79A4"/>
    <w:rsid w:val="00AE7C5F"/>
    <w:rsid w:val="00AE7E0C"/>
    <w:rsid w:val="00AE7E50"/>
    <w:rsid w:val="00AF0054"/>
    <w:rsid w:val="00AF00D0"/>
    <w:rsid w:val="00AF012B"/>
    <w:rsid w:val="00AF033F"/>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1B0"/>
    <w:rsid w:val="00AF225A"/>
    <w:rsid w:val="00AF2465"/>
    <w:rsid w:val="00AF24AA"/>
    <w:rsid w:val="00AF26CB"/>
    <w:rsid w:val="00AF2D4F"/>
    <w:rsid w:val="00AF2D85"/>
    <w:rsid w:val="00AF2F48"/>
    <w:rsid w:val="00AF2F86"/>
    <w:rsid w:val="00AF3477"/>
    <w:rsid w:val="00AF3653"/>
    <w:rsid w:val="00AF3677"/>
    <w:rsid w:val="00AF3720"/>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C64"/>
    <w:rsid w:val="00AF4F3E"/>
    <w:rsid w:val="00AF4F3F"/>
    <w:rsid w:val="00AF5041"/>
    <w:rsid w:val="00AF511C"/>
    <w:rsid w:val="00AF51EA"/>
    <w:rsid w:val="00AF52CA"/>
    <w:rsid w:val="00AF54D3"/>
    <w:rsid w:val="00AF5501"/>
    <w:rsid w:val="00AF5640"/>
    <w:rsid w:val="00AF5834"/>
    <w:rsid w:val="00AF5838"/>
    <w:rsid w:val="00AF583E"/>
    <w:rsid w:val="00AF5892"/>
    <w:rsid w:val="00AF5932"/>
    <w:rsid w:val="00AF5A4E"/>
    <w:rsid w:val="00AF5C62"/>
    <w:rsid w:val="00AF5D6F"/>
    <w:rsid w:val="00AF5D9E"/>
    <w:rsid w:val="00AF5F75"/>
    <w:rsid w:val="00AF6073"/>
    <w:rsid w:val="00AF64BA"/>
    <w:rsid w:val="00AF65FA"/>
    <w:rsid w:val="00AF66BD"/>
    <w:rsid w:val="00AF698C"/>
    <w:rsid w:val="00AF6A06"/>
    <w:rsid w:val="00AF6B35"/>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7E9"/>
    <w:rsid w:val="00B00931"/>
    <w:rsid w:val="00B0094E"/>
    <w:rsid w:val="00B009B0"/>
    <w:rsid w:val="00B00A5E"/>
    <w:rsid w:val="00B00C2B"/>
    <w:rsid w:val="00B00F93"/>
    <w:rsid w:val="00B00FA4"/>
    <w:rsid w:val="00B01081"/>
    <w:rsid w:val="00B01314"/>
    <w:rsid w:val="00B01395"/>
    <w:rsid w:val="00B013EB"/>
    <w:rsid w:val="00B01405"/>
    <w:rsid w:val="00B01449"/>
    <w:rsid w:val="00B01489"/>
    <w:rsid w:val="00B015B7"/>
    <w:rsid w:val="00B015CE"/>
    <w:rsid w:val="00B01649"/>
    <w:rsid w:val="00B018A9"/>
    <w:rsid w:val="00B01952"/>
    <w:rsid w:val="00B01973"/>
    <w:rsid w:val="00B01A30"/>
    <w:rsid w:val="00B01C7A"/>
    <w:rsid w:val="00B01FA5"/>
    <w:rsid w:val="00B020EF"/>
    <w:rsid w:val="00B02297"/>
    <w:rsid w:val="00B022FC"/>
    <w:rsid w:val="00B0237C"/>
    <w:rsid w:val="00B023F1"/>
    <w:rsid w:val="00B024FE"/>
    <w:rsid w:val="00B026B3"/>
    <w:rsid w:val="00B0277F"/>
    <w:rsid w:val="00B0294E"/>
    <w:rsid w:val="00B02C3D"/>
    <w:rsid w:val="00B02D9D"/>
    <w:rsid w:val="00B02DE6"/>
    <w:rsid w:val="00B02F36"/>
    <w:rsid w:val="00B03006"/>
    <w:rsid w:val="00B03058"/>
    <w:rsid w:val="00B030E0"/>
    <w:rsid w:val="00B0316B"/>
    <w:rsid w:val="00B03211"/>
    <w:rsid w:val="00B032A7"/>
    <w:rsid w:val="00B03504"/>
    <w:rsid w:val="00B03862"/>
    <w:rsid w:val="00B038AB"/>
    <w:rsid w:val="00B03975"/>
    <w:rsid w:val="00B039CC"/>
    <w:rsid w:val="00B03A7F"/>
    <w:rsid w:val="00B03CAC"/>
    <w:rsid w:val="00B03CC6"/>
    <w:rsid w:val="00B03E06"/>
    <w:rsid w:val="00B03E5B"/>
    <w:rsid w:val="00B03EA7"/>
    <w:rsid w:val="00B03EC3"/>
    <w:rsid w:val="00B03ECE"/>
    <w:rsid w:val="00B040AD"/>
    <w:rsid w:val="00B0414E"/>
    <w:rsid w:val="00B04315"/>
    <w:rsid w:val="00B0455E"/>
    <w:rsid w:val="00B045AA"/>
    <w:rsid w:val="00B046A6"/>
    <w:rsid w:val="00B04755"/>
    <w:rsid w:val="00B0476B"/>
    <w:rsid w:val="00B04808"/>
    <w:rsid w:val="00B048B7"/>
    <w:rsid w:val="00B04CB9"/>
    <w:rsid w:val="00B04D1A"/>
    <w:rsid w:val="00B04DB6"/>
    <w:rsid w:val="00B04DE1"/>
    <w:rsid w:val="00B04FE1"/>
    <w:rsid w:val="00B05307"/>
    <w:rsid w:val="00B05314"/>
    <w:rsid w:val="00B053E6"/>
    <w:rsid w:val="00B053F2"/>
    <w:rsid w:val="00B0548C"/>
    <w:rsid w:val="00B054D3"/>
    <w:rsid w:val="00B05564"/>
    <w:rsid w:val="00B0566B"/>
    <w:rsid w:val="00B056E8"/>
    <w:rsid w:val="00B0577C"/>
    <w:rsid w:val="00B059D3"/>
    <w:rsid w:val="00B05ADD"/>
    <w:rsid w:val="00B05BC0"/>
    <w:rsid w:val="00B05C26"/>
    <w:rsid w:val="00B05C7E"/>
    <w:rsid w:val="00B05CE7"/>
    <w:rsid w:val="00B05DDC"/>
    <w:rsid w:val="00B0618A"/>
    <w:rsid w:val="00B06241"/>
    <w:rsid w:val="00B062CD"/>
    <w:rsid w:val="00B06306"/>
    <w:rsid w:val="00B0642B"/>
    <w:rsid w:val="00B064F4"/>
    <w:rsid w:val="00B066B8"/>
    <w:rsid w:val="00B066CC"/>
    <w:rsid w:val="00B06749"/>
    <w:rsid w:val="00B0679B"/>
    <w:rsid w:val="00B067C1"/>
    <w:rsid w:val="00B068D4"/>
    <w:rsid w:val="00B068EB"/>
    <w:rsid w:val="00B06918"/>
    <w:rsid w:val="00B06939"/>
    <w:rsid w:val="00B069EB"/>
    <w:rsid w:val="00B06B8E"/>
    <w:rsid w:val="00B06D18"/>
    <w:rsid w:val="00B06D4A"/>
    <w:rsid w:val="00B070A7"/>
    <w:rsid w:val="00B0715D"/>
    <w:rsid w:val="00B071E3"/>
    <w:rsid w:val="00B072E2"/>
    <w:rsid w:val="00B07340"/>
    <w:rsid w:val="00B074D4"/>
    <w:rsid w:val="00B076FE"/>
    <w:rsid w:val="00B077E3"/>
    <w:rsid w:val="00B078C1"/>
    <w:rsid w:val="00B07A65"/>
    <w:rsid w:val="00B07B97"/>
    <w:rsid w:val="00B07D57"/>
    <w:rsid w:val="00B07DA1"/>
    <w:rsid w:val="00B07F71"/>
    <w:rsid w:val="00B1015F"/>
    <w:rsid w:val="00B10356"/>
    <w:rsid w:val="00B1037B"/>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CCF"/>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2A3"/>
    <w:rsid w:val="00B13310"/>
    <w:rsid w:val="00B1341E"/>
    <w:rsid w:val="00B134B2"/>
    <w:rsid w:val="00B1355E"/>
    <w:rsid w:val="00B135B5"/>
    <w:rsid w:val="00B136AE"/>
    <w:rsid w:val="00B136EE"/>
    <w:rsid w:val="00B1390E"/>
    <w:rsid w:val="00B13A52"/>
    <w:rsid w:val="00B13C04"/>
    <w:rsid w:val="00B13CA9"/>
    <w:rsid w:val="00B13F57"/>
    <w:rsid w:val="00B14022"/>
    <w:rsid w:val="00B141E3"/>
    <w:rsid w:val="00B142DB"/>
    <w:rsid w:val="00B14483"/>
    <w:rsid w:val="00B146D0"/>
    <w:rsid w:val="00B146F4"/>
    <w:rsid w:val="00B14AF8"/>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8A5"/>
    <w:rsid w:val="00B159FF"/>
    <w:rsid w:val="00B15A35"/>
    <w:rsid w:val="00B15AFC"/>
    <w:rsid w:val="00B15C56"/>
    <w:rsid w:val="00B15CA2"/>
    <w:rsid w:val="00B1611A"/>
    <w:rsid w:val="00B16175"/>
    <w:rsid w:val="00B161F9"/>
    <w:rsid w:val="00B1620D"/>
    <w:rsid w:val="00B16495"/>
    <w:rsid w:val="00B165EF"/>
    <w:rsid w:val="00B166C9"/>
    <w:rsid w:val="00B166FE"/>
    <w:rsid w:val="00B167B5"/>
    <w:rsid w:val="00B16847"/>
    <w:rsid w:val="00B16B0B"/>
    <w:rsid w:val="00B16BDB"/>
    <w:rsid w:val="00B16D4C"/>
    <w:rsid w:val="00B16F12"/>
    <w:rsid w:val="00B16FC0"/>
    <w:rsid w:val="00B17010"/>
    <w:rsid w:val="00B17017"/>
    <w:rsid w:val="00B1708A"/>
    <w:rsid w:val="00B171C2"/>
    <w:rsid w:val="00B17251"/>
    <w:rsid w:val="00B1729F"/>
    <w:rsid w:val="00B173C9"/>
    <w:rsid w:val="00B17412"/>
    <w:rsid w:val="00B175BD"/>
    <w:rsid w:val="00B1771D"/>
    <w:rsid w:val="00B177C6"/>
    <w:rsid w:val="00B17828"/>
    <w:rsid w:val="00B178D1"/>
    <w:rsid w:val="00B1793D"/>
    <w:rsid w:val="00B17A3E"/>
    <w:rsid w:val="00B17B0C"/>
    <w:rsid w:val="00B17B5E"/>
    <w:rsid w:val="00B17BCB"/>
    <w:rsid w:val="00B17C98"/>
    <w:rsid w:val="00B2005E"/>
    <w:rsid w:val="00B2014D"/>
    <w:rsid w:val="00B20204"/>
    <w:rsid w:val="00B2022E"/>
    <w:rsid w:val="00B20343"/>
    <w:rsid w:val="00B203B9"/>
    <w:rsid w:val="00B20556"/>
    <w:rsid w:val="00B20739"/>
    <w:rsid w:val="00B2097D"/>
    <w:rsid w:val="00B20BBA"/>
    <w:rsid w:val="00B20CED"/>
    <w:rsid w:val="00B20D21"/>
    <w:rsid w:val="00B20E01"/>
    <w:rsid w:val="00B20FEB"/>
    <w:rsid w:val="00B211AC"/>
    <w:rsid w:val="00B211AD"/>
    <w:rsid w:val="00B21540"/>
    <w:rsid w:val="00B215AB"/>
    <w:rsid w:val="00B216EB"/>
    <w:rsid w:val="00B2175E"/>
    <w:rsid w:val="00B2195C"/>
    <w:rsid w:val="00B219BD"/>
    <w:rsid w:val="00B21AB0"/>
    <w:rsid w:val="00B21ACB"/>
    <w:rsid w:val="00B21BB1"/>
    <w:rsid w:val="00B21D0B"/>
    <w:rsid w:val="00B21E42"/>
    <w:rsid w:val="00B21E8A"/>
    <w:rsid w:val="00B21EC5"/>
    <w:rsid w:val="00B21F06"/>
    <w:rsid w:val="00B21FE0"/>
    <w:rsid w:val="00B2208D"/>
    <w:rsid w:val="00B2227A"/>
    <w:rsid w:val="00B222A7"/>
    <w:rsid w:val="00B2246E"/>
    <w:rsid w:val="00B22484"/>
    <w:rsid w:val="00B224BF"/>
    <w:rsid w:val="00B224CE"/>
    <w:rsid w:val="00B22695"/>
    <w:rsid w:val="00B2271F"/>
    <w:rsid w:val="00B22983"/>
    <w:rsid w:val="00B22BA2"/>
    <w:rsid w:val="00B22C09"/>
    <w:rsid w:val="00B22CC0"/>
    <w:rsid w:val="00B23267"/>
    <w:rsid w:val="00B23659"/>
    <w:rsid w:val="00B23689"/>
    <w:rsid w:val="00B23735"/>
    <w:rsid w:val="00B23801"/>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A10"/>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A97"/>
    <w:rsid w:val="00B25BD1"/>
    <w:rsid w:val="00B25C1C"/>
    <w:rsid w:val="00B25F89"/>
    <w:rsid w:val="00B26233"/>
    <w:rsid w:val="00B262C0"/>
    <w:rsid w:val="00B262F0"/>
    <w:rsid w:val="00B262FD"/>
    <w:rsid w:val="00B26407"/>
    <w:rsid w:val="00B265AC"/>
    <w:rsid w:val="00B265D1"/>
    <w:rsid w:val="00B266BA"/>
    <w:rsid w:val="00B267BC"/>
    <w:rsid w:val="00B26A6B"/>
    <w:rsid w:val="00B26BB0"/>
    <w:rsid w:val="00B26C02"/>
    <w:rsid w:val="00B26C68"/>
    <w:rsid w:val="00B26E42"/>
    <w:rsid w:val="00B26FA3"/>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236"/>
    <w:rsid w:val="00B305E5"/>
    <w:rsid w:val="00B30822"/>
    <w:rsid w:val="00B30919"/>
    <w:rsid w:val="00B309A7"/>
    <w:rsid w:val="00B30A1F"/>
    <w:rsid w:val="00B30C61"/>
    <w:rsid w:val="00B30CBB"/>
    <w:rsid w:val="00B30D2D"/>
    <w:rsid w:val="00B30FA4"/>
    <w:rsid w:val="00B310DB"/>
    <w:rsid w:val="00B311D1"/>
    <w:rsid w:val="00B311F0"/>
    <w:rsid w:val="00B311FA"/>
    <w:rsid w:val="00B31250"/>
    <w:rsid w:val="00B312A0"/>
    <w:rsid w:val="00B31855"/>
    <w:rsid w:val="00B319EA"/>
    <w:rsid w:val="00B31A1E"/>
    <w:rsid w:val="00B31C6A"/>
    <w:rsid w:val="00B31CCC"/>
    <w:rsid w:val="00B31E06"/>
    <w:rsid w:val="00B31E13"/>
    <w:rsid w:val="00B31E80"/>
    <w:rsid w:val="00B31F99"/>
    <w:rsid w:val="00B31FEF"/>
    <w:rsid w:val="00B32112"/>
    <w:rsid w:val="00B32174"/>
    <w:rsid w:val="00B321AE"/>
    <w:rsid w:val="00B322EB"/>
    <w:rsid w:val="00B3245D"/>
    <w:rsid w:val="00B327EB"/>
    <w:rsid w:val="00B327F7"/>
    <w:rsid w:val="00B32866"/>
    <w:rsid w:val="00B32928"/>
    <w:rsid w:val="00B32A07"/>
    <w:rsid w:val="00B32A5D"/>
    <w:rsid w:val="00B32B52"/>
    <w:rsid w:val="00B32B9F"/>
    <w:rsid w:val="00B3308C"/>
    <w:rsid w:val="00B33264"/>
    <w:rsid w:val="00B33266"/>
    <w:rsid w:val="00B33302"/>
    <w:rsid w:val="00B33435"/>
    <w:rsid w:val="00B33475"/>
    <w:rsid w:val="00B3391A"/>
    <w:rsid w:val="00B33A96"/>
    <w:rsid w:val="00B33AAB"/>
    <w:rsid w:val="00B33C74"/>
    <w:rsid w:val="00B33CE9"/>
    <w:rsid w:val="00B340AA"/>
    <w:rsid w:val="00B340ED"/>
    <w:rsid w:val="00B34241"/>
    <w:rsid w:val="00B342F4"/>
    <w:rsid w:val="00B3431C"/>
    <w:rsid w:val="00B3433A"/>
    <w:rsid w:val="00B343AF"/>
    <w:rsid w:val="00B343D2"/>
    <w:rsid w:val="00B34405"/>
    <w:rsid w:val="00B345B0"/>
    <w:rsid w:val="00B346E9"/>
    <w:rsid w:val="00B34701"/>
    <w:rsid w:val="00B34821"/>
    <w:rsid w:val="00B34826"/>
    <w:rsid w:val="00B349A2"/>
    <w:rsid w:val="00B349AD"/>
    <w:rsid w:val="00B349B5"/>
    <w:rsid w:val="00B34A88"/>
    <w:rsid w:val="00B34AE9"/>
    <w:rsid w:val="00B34E2B"/>
    <w:rsid w:val="00B34E72"/>
    <w:rsid w:val="00B34E9C"/>
    <w:rsid w:val="00B35142"/>
    <w:rsid w:val="00B35198"/>
    <w:rsid w:val="00B354B1"/>
    <w:rsid w:val="00B35936"/>
    <w:rsid w:val="00B35AA5"/>
    <w:rsid w:val="00B35B20"/>
    <w:rsid w:val="00B35BB4"/>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6E4"/>
    <w:rsid w:val="00B377A6"/>
    <w:rsid w:val="00B377DA"/>
    <w:rsid w:val="00B3785D"/>
    <w:rsid w:val="00B37887"/>
    <w:rsid w:val="00B378D4"/>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5D"/>
    <w:rsid w:val="00B40DF7"/>
    <w:rsid w:val="00B41186"/>
    <w:rsid w:val="00B4118C"/>
    <w:rsid w:val="00B41265"/>
    <w:rsid w:val="00B41276"/>
    <w:rsid w:val="00B41678"/>
    <w:rsid w:val="00B417D9"/>
    <w:rsid w:val="00B41802"/>
    <w:rsid w:val="00B418A0"/>
    <w:rsid w:val="00B41B0E"/>
    <w:rsid w:val="00B41B93"/>
    <w:rsid w:val="00B41D94"/>
    <w:rsid w:val="00B41E34"/>
    <w:rsid w:val="00B41E59"/>
    <w:rsid w:val="00B41E67"/>
    <w:rsid w:val="00B41EE3"/>
    <w:rsid w:val="00B41F73"/>
    <w:rsid w:val="00B41FEB"/>
    <w:rsid w:val="00B4202D"/>
    <w:rsid w:val="00B42178"/>
    <w:rsid w:val="00B422CF"/>
    <w:rsid w:val="00B42330"/>
    <w:rsid w:val="00B424F4"/>
    <w:rsid w:val="00B42531"/>
    <w:rsid w:val="00B4256C"/>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2C"/>
    <w:rsid w:val="00B448D7"/>
    <w:rsid w:val="00B44924"/>
    <w:rsid w:val="00B4498E"/>
    <w:rsid w:val="00B44A04"/>
    <w:rsid w:val="00B44B66"/>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D0E"/>
    <w:rsid w:val="00B45E60"/>
    <w:rsid w:val="00B45E73"/>
    <w:rsid w:val="00B45EBA"/>
    <w:rsid w:val="00B45F28"/>
    <w:rsid w:val="00B45F90"/>
    <w:rsid w:val="00B45FF3"/>
    <w:rsid w:val="00B462A6"/>
    <w:rsid w:val="00B462D5"/>
    <w:rsid w:val="00B463CF"/>
    <w:rsid w:val="00B463DA"/>
    <w:rsid w:val="00B463F1"/>
    <w:rsid w:val="00B464BA"/>
    <w:rsid w:val="00B465BA"/>
    <w:rsid w:val="00B4672D"/>
    <w:rsid w:val="00B467D8"/>
    <w:rsid w:val="00B467F5"/>
    <w:rsid w:val="00B468B4"/>
    <w:rsid w:val="00B46984"/>
    <w:rsid w:val="00B46A60"/>
    <w:rsid w:val="00B46E66"/>
    <w:rsid w:val="00B46E97"/>
    <w:rsid w:val="00B46EC1"/>
    <w:rsid w:val="00B46F37"/>
    <w:rsid w:val="00B470AE"/>
    <w:rsid w:val="00B471C0"/>
    <w:rsid w:val="00B4724B"/>
    <w:rsid w:val="00B47316"/>
    <w:rsid w:val="00B47510"/>
    <w:rsid w:val="00B4751D"/>
    <w:rsid w:val="00B47691"/>
    <w:rsid w:val="00B47695"/>
    <w:rsid w:val="00B47AE2"/>
    <w:rsid w:val="00B47C0C"/>
    <w:rsid w:val="00B47E1D"/>
    <w:rsid w:val="00B47E4B"/>
    <w:rsid w:val="00B47F86"/>
    <w:rsid w:val="00B47FE1"/>
    <w:rsid w:val="00B500D9"/>
    <w:rsid w:val="00B50228"/>
    <w:rsid w:val="00B502AF"/>
    <w:rsid w:val="00B5039A"/>
    <w:rsid w:val="00B503EE"/>
    <w:rsid w:val="00B5045F"/>
    <w:rsid w:val="00B504EB"/>
    <w:rsid w:val="00B50608"/>
    <w:rsid w:val="00B5094C"/>
    <w:rsid w:val="00B509F1"/>
    <w:rsid w:val="00B50A01"/>
    <w:rsid w:val="00B50A16"/>
    <w:rsid w:val="00B50A24"/>
    <w:rsid w:val="00B50E96"/>
    <w:rsid w:val="00B50F94"/>
    <w:rsid w:val="00B50FA3"/>
    <w:rsid w:val="00B51027"/>
    <w:rsid w:val="00B51148"/>
    <w:rsid w:val="00B511B0"/>
    <w:rsid w:val="00B515F7"/>
    <w:rsid w:val="00B51841"/>
    <w:rsid w:val="00B51B09"/>
    <w:rsid w:val="00B51B21"/>
    <w:rsid w:val="00B51CC7"/>
    <w:rsid w:val="00B51FA4"/>
    <w:rsid w:val="00B51FAA"/>
    <w:rsid w:val="00B52242"/>
    <w:rsid w:val="00B52269"/>
    <w:rsid w:val="00B5234A"/>
    <w:rsid w:val="00B52381"/>
    <w:rsid w:val="00B52532"/>
    <w:rsid w:val="00B525D4"/>
    <w:rsid w:val="00B526B9"/>
    <w:rsid w:val="00B52704"/>
    <w:rsid w:val="00B529D8"/>
    <w:rsid w:val="00B52C45"/>
    <w:rsid w:val="00B52E4D"/>
    <w:rsid w:val="00B52FB6"/>
    <w:rsid w:val="00B53019"/>
    <w:rsid w:val="00B531D8"/>
    <w:rsid w:val="00B53511"/>
    <w:rsid w:val="00B5394B"/>
    <w:rsid w:val="00B539BC"/>
    <w:rsid w:val="00B53A60"/>
    <w:rsid w:val="00B53BC1"/>
    <w:rsid w:val="00B53C01"/>
    <w:rsid w:val="00B53CEB"/>
    <w:rsid w:val="00B54144"/>
    <w:rsid w:val="00B541A2"/>
    <w:rsid w:val="00B541AE"/>
    <w:rsid w:val="00B5431D"/>
    <w:rsid w:val="00B544B4"/>
    <w:rsid w:val="00B54975"/>
    <w:rsid w:val="00B54B14"/>
    <w:rsid w:val="00B54CA1"/>
    <w:rsid w:val="00B54D4C"/>
    <w:rsid w:val="00B54E6F"/>
    <w:rsid w:val="00B54EC4"/>
    <w:rsid w:val="00B54FAD"/>
    <w:rsid w:val="00B55111"/>
    <w:rsid w:val="00B55502"/>
    <w:rsid w:val="00B555C3"/>
    <w:rsid w:val="00B55944"/>
    <w:rsid w:val="00B55A05"/>
    <w:rsid w:val="00B55B2E"/>
    <w:rsid w:val="00B55BA2"/>
    <w:rsid w:val="00B55D21"/>
    <w:rsid w:val="00B55D4E"/>
    <w:rsid w:val="00B55DF2"/>
    <w:rsid w:val="00B55E3E"/>
    <w:rsid w:val="00B55E5E"/>
    <w:rsid w:val="00B55ED3"/>
    <w:rsid w:val="00B55F12"/>
    <w:rsid w:val="00B560B9"/>
    <w:rsid w:val="00B56309"/>
    <w:rsid w:val="00B5634F"/>
    <w:rsid w:val="00B5673E"/>
    <w:rsid w:val="00B56B4B"/>
    <w:rsid w:val="00B56B76"/>
    <w:rsid w:val="00B5703E"/>
    <w:rsid w:val="00B5715A"/>
    <w:rsid w:val="00B5723F"/>
    <w:rsid w:val="00B5729E"/>
    <w:rsid w:val="00B573CB"/>
    <w:rsid w:val="00B574FA"/>
    <w:rsid w:val="00B5756F"/>
    <w:rsid w:val="00B5760D"/>
    <w:rsid w:val="00B576D1"/>
    <w:rsid w:val="00B5775A"/>
    <w:rsid w:val="00B57800"/>
    <w:rsid w:val="00B57937"/>
    <w:rsid w:val="00B57A7D"/>
    <w:rsid w:val="00B57B04"/>
    <w:rsid w:val="00B57CBC"/>
    <w:rsid w:val="00B57D8A"/>
    <w:rsid w:val="00B57E22"/>
    <w:rsid w:val="00B57E6E"/>
    <w:rsid w:val="00B57F47"/>
    <w:rsid w:val="00B6008C"/>
    <w:rsid w:val="00B602D7"/>
    <w:rsid w:val="00B602F6"/>
    <w:rsid w:val="00B60309"/>
    <w:rsid w:val="00B60377"/>
    <w:rsid w:val="00B6045B"/>
    <w:rsid w:val="00B60547"/>
    <w:rsid w:val="00B605DB"/>
    <w:rsid w:val="00B605EC"/>
    <w:rsid w:val="00B6072F"/>
    <w:rsid w:val="00B607B7"/>
    <w:rsid w:val="00B607C3"/>
    <w:rsid w:val="00B608DB"/>
    <w:rsid w:val="00B60A34"/>
    <w:rsid w:val="00B60B2E"/>
    <w:rsid w:val="00B60B6E"/>
    <w:rsid w:val="00B60DD7"/>
    <w:rsid w:val="00B60E87"/>
    <w:rsid w:val="00B6106F"/>
    <w:rsid w:val="00B61083"/>
    <w:rsid w:val="00B61122"/>
    <w:rsid w:val="00B61198"/>
    <w:rsid w:val="00B612B5"/>
    <w:rsid w:val="00B612C7"/>
    <w:rsid w:val="00B61398"/>
    <w:rsid w:val="00B61460"/>
    <w:rsid w:val="00B615F1"/>
    <w:rsid w:val="00B616C3"/>
    <w:rsid w:val="00B6172E"/>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AF0"/>
    <w:rsid w:val="00B62C35"/>
    <w:rsid w:val="00B62D28"/>
    <w:rsid w:val="00B62D30"/>
    <w:rsid w:val="00B62F14"/>
    <w:rsid w:val="00B63043"/>
    <w:rsid w:val="00B630CF"/>
    <w:rsid w:val="00B631D1"/>
    <w:rsid w:val="00B63495"/>
    <w:rsid w:val="00B63592"/>
    <w:rsid w:val="00B63633"/>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69A"/>
    <w:rsid w:val="00B64736"/>
    <w:rsid w:val="00B648E1"/>
    <w:rsid w:val="00B64969"/>
    <w:rsid w:val="00B649FE"/>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26"/>
    <w:rsid w:val="00B65E4F"/>
    <w:rsid w:val="00B65E80"/>
    <w:rsid w:val="00B65F71"/>
    <w:rsid w:val="00B66161"/>
    <w:rsid w:val="00B66191"/>
    <w:rsid w:val="00B661E3"/>
    <w:rsid w:val="00B6631B"/>
    <w:rsid w:val="00B663C1"/>
    <w:rsid w:val="00B66453"/>
    <w:rsid w:val="00B668D0"/>
    <w:rsid w:val="00B6698C"/>
    <w:rsid w:val="00B66B5B"/>
    <w:rsid w:val="00B66C3E"/>
    <w:rsid w:val="00B66CCA"/>
    <w:rsid w:val="00B66CE1"/>
    <w:rsid w:val="00B66D7E"/>
    <w:rsid w:val="00B66E84"/>
    <w:rsid w:val="00B66F22"/>
    <w:rsid w:val="00B671B4"/>
    <w:rsid w:val="00B672A5"/>
    <w:rsid w:val="00B6736B"/>
    <w:rsid w:val="00B67370"/>
    <w:rsid w:val="00B67633"/>
    <w:rsid w:val="00B678D7"/>
    <w:rsid w:val="00B678EA"/>
    <w:rsid w:val="00B678F9"/>
    <w:rsid w:val="00B67989"/>
    <w:rsid w:val="00B67A14"/>
    <w:rsid w:val="00B67A85"/>
    <w:rsid w:val="00B67AEE"/>
    <w:rsid w:val="00B67F1B"/>
    <w:rsid w:val="00B67F1C"/>
    <w:rsid w:val="00B67F2B"/>
    <w:rsid w:val="00B67F75"/>
    <w:rsid w:val="00B702F3"/>
    <w:rsid w:val="00B70689"/>
    <w:rsid w:val="00B707AC"/>
    <w:rsid w:val="00B70A17"/>
    <w:rsid w:val="00B70A45"/>
    <w:rsid w:val="00B70B76"/>
    <w:rsid w:val="00B70E41"/>
    <w:rsid w:val="00B70E53"/>
    <w:rsid w:val="00B70E97"/>
    <w:rsid w:val="00B70EAB"/>
    <w:rsid w:val="00B70EC2"/>
    <w:rsid w:val="00B7104C"/>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AF"/>
    <w:rsid w:val="00B72AC2"/>
    <w:rsid w:val="00B72B7A"/>
    <w:rsid w:val="00B72CCE"/>
    <w:rsid w:val="00B72CFE"/>
    <w:rsid w:val="00B72D2B"/>
    <w:rsid w:val="00B72DDE"/>
    <w:rsid w:val="00B72E4E"/>
    <w:rsid w:val="00B72EF3"/>
    <w:rsid w:val="00B73005"/>
    <w:rsid w:val="00B7303B"/>
    <w:rsid w:val="00B731DF"/>
    <w:rsid w:val="00B73268"/>
    <w:rsid w:val="00B73300"/>
    <w:rsid w:val="00B7330A"/>
    <w:rsid w:val="00B734E8"/>
    <w:rsid w:val="00B73505"/>
    <w:rsid w:val="00B73587"/>
    <w:rsid w:val="00B73713"/>
    <w:rsid w:val="00B73745"/>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621"/>
    <w:rsid w:val="00B74A4E"/>
    <w:rsid w:val="00B74ADE"/>
    <w:rsid w:val="00B74B37"/>
    <w:rsid w:val="00B74FAE"/>
    <w:rsid w:val="00B75061"/>
    <w:rsid w:val="00B7509C"/>
    <w:rsid w:val="00B75218"/>
    <w:rsid w:val="00B75259"/>
    <w:rsid w:val="00B7525C"/>
    <w:rsid w:val="00B75316"/>
    <w:rsid w:val="00B754BF"/>
    <w:rsid w:val="00B7553B"/>
    <w:rsid w:val="00B75603"/>
    <w:rsid w:val="00B7562C"/>
    <w:rsid w:val="00B75963"/>
    <w:rsid w:val="00B759B4"/>
    <w:rsid w:val="00B75A7D"/>
    <w:rsid w:val="00B75B4E"/>
    <w:rsid w:val="00B75CF4"/>
    <w:rsid w:val="00B75DA3"/>
    <w:rsid w:val="00B75DD6"/>
    <w:rsid w:val="00B75EBD"/>
    <w:rsid w:val="00B761DC"/>
    <w:rsid w:val="00B761E0"/>
    <w:rsid w:val="00B76376"/>
    <w:rsid w:val="00B76415"/>
    <w:rsid w:val="00B7641B"/>
    <w:rsid w:val="00B76437"/>
    <w:rsid w:val="00B764F5"/>
    <w:rsid w:val="00B7657B"/>
    <w:rsid w:val="00B76671"/>
    <w:rsid w:val="00B76889"/>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B4B"/>
    <w:rsid w:val="00B77D4F"/>
    <w:rsid w:val="00B77E9A"/>
    <w:rsid w:val="00B77EE6"/>
    <w:rsid w:val="00B80082"/>
    <w:rsid w:val="00B8015C"/>
    <w:rsid w:val="00B80181"/>
    <w:rsid w:val="00B803E8"/>
    <w:rsid w:val="00B804EA"/>
    <w:rsid w:val="00B8075E"/>
    <w:rsid w:val="00B8077F"/>
    <w:rsid w:val="00B80AE8"/>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AF"/>
    <w:rsid w:val="00B836D2"/>
    <w:rsid w:val="00B83739"/>
    <w:rsid w:val="00B83769"/>
    <w:rsid w:val="00B837ED"/>
    <w:rsid w:val="00B83B94"/>
    <w:rsid w:val="00B83CDF"/>
    <w:rsid w:val="00B83D4E"/>
    <w:rsid w:val="00B83D56"/>
    <w:rsid w:val="00B83E3D"/>
    <w:rsid w:val="00B83E82"/>
    <w:rsid w:val="00B83EE6"/>
    <w:rsid w:val="00B842C1"/>
    <w:rsid w:val="00B8440B"/>
    <w:rsid w:val="00B84480"/>
    <w:rsid w:val="00B844C5"/>
    <w:rsid w:val="00B8473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B89"/>
    <w:rsid w:val="00B87D2A"/>
    <w:rsid w:val="00B87E81"/>
    <w:rsid w:val="00B87F1F"/>
    <w:rsid w:val="00B87FF9"/>
    <w:rsid w:val="00B90032"/>
    <w:rsid w:val="00B9010B"/>
    <w:rsid w:val="00B901EC"/>
    <w:rsid w:val="00B901FA"/>
    <w:rsid w:val="00B902B2"/>
    <w:rsid w:val="00B904E8"/>
    <w:rsid w:val="00B9058E"/>
    <w:rsid w:val="00B9065F"/>
    <w:rsid w:val="00B906C3"/>
    <w:rsid w:val="00B90726"/>
    <w:rsid w:val="00B90A55"/>
    <w:rsid w:val="00B90ACC"/>
    <w:rsid w:val="00B90BF8"/>
    <w:rsid w:val="00B90CE0"/>
    <w:rsid w:val="00B910AE"/>
    <w:rsid w:val="00B911CA"/>
    <w:rsid w:val="00B9134E"/>
    <w:rsid w:val="00B9137D"/>
    <w:rsid w:val="00B91416"/>
    <w:rsid w:val="00B9145B"/>
    <w:rsid w:val="00B9153E"/>
    <w:rsid w:val="00B9154D"/>
    <w:rsid w:val="00B9155E"/>
    <w:rsid w:val="00B917E8"/>
    <w:rsid w:val="00B9196E"/>
    <w:rsid w:val="00B91B67"/>
    <w:rsid w:val="00B91DE6"/>
    <w:rsid w:val="00B91E13"/>
    <w:rsid w:val="00B91EA7"/>
    <w:rsid w:val="00B91EC4"/>
    <w:rsid w:val="00B91F59"/>
    <w:rsid w:val="00B9233B"/>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787"/>
    <w:rsid w:val="00B93807"/>
    <w:rsid w:val="00B938EB"/>
    <w:rsid w:val="00B93963"/>
    <w:rsid w:val="00B93BF0"/>
    <w:rsid w:val="00B93CA6"/>
    <w:rsid w:val="00B93CDE"/>
    <w:rsid w:val="00B93D2F"/>
    <w:rsid w:val="00B93D3F"/>
    <w:rsid w:val="00B93DDE"/>
    <w:rsid w:val="00B93DFB"/>
    <w:rsid w:val="00B940D1"/>
    <w:rsid w:val="00B94171"/>
    <w:rsid w:val="00B941F1"/>
    <w:rsid w:val="00B943E6"/>
    <w:rsid w:val="00B944B3"/>
    <w:rsid w:val="00B9450A"/>
    <w:rsid w:val="00B94609"/>
    <w:rsid w:val="00B9472B"/>
    <w:rsid w:val="00B94A77"/>
    <w:rsid w:val="00B94B04"/>
    <w:rsid w:val="00B94B9A"/>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0D"/>
    <w:rsid w:val="00B958BA"/>
    <w:rsid w:val="00B958C2"/>
    <w:rsid w:val="00B95B99"/>
    <w:rsid w:val="00B95BC4"/>
    <w:rsid w:val="00B95BDD"/>
    <w:rsid w:val="00B95CEE"/>
    <w:rsid w:val="00B95D34"/>
    <w:rsid w:val="00B962D4"/>
    <w:rsid w:val="00B962EC"/>
    <w:rsid w:val="00B9646C"/>
    <w:rsid w:val="00B96750"/>
    <w:rsid w:val="00B9686D"/>
    <w:rsid w:val="00B968A2"/>
    <w:rsid w:val="00B969ED"/>
    <w:rsid w:val="00B96A6F"/>
    <w:rsid w:val="00B96ABB"/>
    <w:rsid w:val="00B96AD9"/>
    <w:rsid w:val="00B96D8D"/>
    <w:rsid w:val="00B96EB1"/>
    <w:rsid w:val="00B96EBB"/>
    <w:rsid w:val="00B96F5B"/>
    <w:rsid w:val="00B96FCB"/>
    <w:rsid w:val="00B972F9"/>
    <w:rsid w:val="00B97304"/>
    <w:rsid w:val="00B9740C"/>
    <w:rsid w:val="00B974EE"/>
    <w:rsid w:val="00B976C0"/>
    <w:rsid w:val="00B977BE"/>
    <w:rsid w:val="00B9796D"/>
    <w:rsid w:val="00B97D19"/>
    <w:rsid w:val="00B97D67"/>
    <w:rsid w:val="00B97E18"/>
    <w:rsid w:val="00B97E35"/>
    <w:rsid w:val="00BA028F"/>
    <w:rsid w:val="00BA053F"/>
    <w:rsid w:val="00BA075B"/>
    <w:rsid w:val="00BA075F"/>
    <w:rsid w:val="00BA0831"/>
    <w:rsid w:val="00BA084B"/>
    <w:rsid w:val="00BA0912"/>
    <w:rsid w:val="00BA0D2D"/>
    <w:rsid w:val="00BA0E95"/>
    <w:rsid w:val="00BA0F56"/>
    <w:rsid w:val="00BA104F"/>
    <w:rsid w:val="00BA1085"/>
    <w:rsid w:val="00BA11D8"/>
    <w:rsid w:val="00BA1237"/>
    <w:rsid w:val="00BA12BF"/>
    <w:rsid w:val="00BA133B"/>
    <w:rsid w:val="00BA13C2"/>
    <w:rsid w:val="00BA14F3"/>
    <w:rsid w:val="00BA16FE"/>
    <w:rsid w:val="00BA177B"/>
    <w:rsid w:val="00BA1884"/>
    <w:rsid w:val="00BA19B8"/>
    <w:rsid w:val="00BA1A95"/>
    <w:rsid w:val="00BA1A9A"/>
    <w:rsid w:val="00BA1AE4"/>
    <w:rsid w:val="00BA1BF9"/>
    <w:rsid w:val="00BA1E01"/>
    <w:rsid w:val="00BA1EBC"/>
    <w:rsid w:val="00BA1EDD"/>
    <w:rsid w:val="00BA1EE0"/>
    <w:rsid w:val="00BA1FBA"/>
    <w:rsid w:val="00BA21D0"/>
    <w:rsid w:val="00BA22F7"/>
    <w:rsid w:val="00BA275D"/>
    <w:rsid w:val="00BA2A26"/>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890"/>
    <w:rsid w:val="00BA4B18"/>
    <w:rsid w:val="00BA4BCF"/>
    <w:rsid w:val="00BA4CA6"/>
    <w:rsid w:val="00BA4DE3"/>
    <w:rsid w:val="00BA4E14"/>
    <w:rsid w:val="00BA4F28"/>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9DA"/>
    <w:rsid w:val="00BA6A54"/>
    <w:rsid w:val="00BA6D10"/>
    <w:rsid w:val="00BA6D53"/>
    <w:rsid w:val="00BA6E47"/>
    <w:rsid w:val="00BA6F06"/>
    <w:rsid w:val="00BA7132"/>
    <w:rsid w:val="00BA717D"/>
    <w:rsid w:val="00BA71A4"/>
    <w:rsid w:val="00BA7239"/>
    <w:rsid w:val="00BA73ED"/>
    <w:rsid w:val="00BA741A"/>
    <w:rsid w:val="00BA7475"/>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3B"/>
    <w:rsid w:val="00BB0D3D"/>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7C3"/>
    <w:rsid w:val="00BB2844"/>
    <w:rsid w:val="00BB2A70"/>
    <w:rsid w:val="00BB2A8F"/>
    <w:rsid w:val="00BB2B04"/>
    <w:rsid w:val="00BB2D42"/>
    <w:rsid w:val="00BB2D6A"/>
    <w:rsid w:val="00BB2DDC"/>
    <w:rsid w:val="00BB2E13"/>
    <w:rsid w:val="00BB2FFB"/>
    <w:rsid w:val="00BB30D0"/>
    <w:rsid w:val="00BB32AC"/>
    <w:rsid w:val="00BB34ED"/>
    <w:rsid w:val="00BB34F0"/>
    <w:rsid w:val="00BB3665"/>
    <w:rsid w:val="00BB37D6"/>
    <w:rsid w:val="00BB3809"/>
    <w:rsid w:val="00BB394D"/>
    <w:rsid w:val="00BB3AB5"/>
    <w:rsid w:val="00BB3B04"/>
    <w:rsid w:val="00BB3B5F"/>
    <w:rsid w:val="00BB3BE8"/>
    <w:rsid w:val="00BB3C3D"/>
    <w:rsid w:val="00BB3C43"/>
    <w:rsid w:val="00BB3D3D"/>
    <w:rsid w:val="00BB3E6F"/>
    <w:rsid w:val="00BB3F32"/>
    <w:rsid w:val="00BB3F5F"/>
    <w:rsid w:val="00BB4020"/>
    <w:rsid w:val="00BB40B6"/>
    <w:rsid w:val="00BB41FC"/>
    <w:rsid w:val="00BB42E9"/>
    <w:rsid w:val="00BB457A"/>
    <w:rsid w:val="00BB458B"/>
    <w:rsid w:val="00BB4651"/>
    <w:rsid w:val="00BB46BC"/>
    <w:rsid w:val="00BB483E"/>
    <w:rsid w:val="00BB48C7"/>
    <w:rsid w:val="00BB4985"/>
    <w:rsid w:val="00BB49A6"/>
    <w:rsid w:val="00BB5106"/>
    <w:rsid w:val="00BB51D5"/>
    <w:rsid w:val="00BB5272"/>
    <w:rsid w:val="00BB52AF"/>
    <w:rsid w:val="00BB54E9"/>
    <w:rsid w:val="00BB5574"/>
    <w:rsid w:val="00BB57E6"/>
    <w:rsid w:val="00BB57EB"/>
    <w:rsid w:val="00BB57F7"/>
    <w:rsid w:val="00BB585F"/>
    <w:rsid w:val="00BB58E8"/>
    <w:rsid w:val="00BB5944"/>
    <w:rsid w:val="00BB5A13"/>
    <w:rsid w:val="00BB5AB4"/>
    <w:rsid w:val="00BB5C0C"/>
    <w:rsid w:val="00BB5D32"/>
    <w:rsid w:val="00BB5E24"/>
    <w:rsid w:val="00BB60E3"/>
    <w:rsid w:val="00BB62CB"/>
    <w:rsid w:val="00BB6693"/>
    <w:rsid w:val="00BB6712"/>
    <w:rsid w:val="00BB673D"/>
    <w:rsid w:val="00BB67D8"/>
    <w:rsid w:val="00BB6A03"/>
    <w:rsid w:val="00BB6A86"/>
    <w:rsid w:val="00BB6ADC"/>
    <w:rsid w:val="00BB6C44"/>
    <w:rsid w:val="00BB6C4F"/>
    <w:rsid w:val="00BB6C9B"/>
    <w:rsid w:val="00BB6CA7"/>
    <w:rsid w:val="00BB6DF8"/>
    <w:rsid w:val="00BB6E36"/>
    <w:rsid w:val="00BB6E6E"/>
    <w:rsid w:val="00BB6EB4"/>
    <w:rsid w:val="00BB6F52"/>
    <w:rsid w:val="00BB71E4"/>
    <w:rsid w:val="00BB722B"/>
    <w:rsid w:val="00BB72CF"/>
    <w:rsid w:val="00BB72E3"/>
    <w:rsid w:val="00BB7345"/>
    <w:rsid w:val="00BB73EA"/>
    <w:rsid w:val="00BB7485"/>
    <w:rsid w:val="00BB749B"/>
    <w:rsid w:val="00BB74D5"/>
    <w:rsid w:val="00BB7519"/>
    <w:rsid w:val="00BB7579"/>
    <w:rsid w:val="00BB7591"/>
    <w:rsid w:val="00BB7688"/>
    <w:rsid w:val="00BB76D4"/>
    <w:rsid w:val="00BB76E9"/>
    <w:rsid w:val="00BB7846"/>
    <w:rsid w:val="00BB78BD"/>
    <w:rsid w:val="00BB7916"/>
    <w:rsid w:val="00BB7B4C"/>
    <w:rsid w:val="00BB7B71"/>
    <w:rsid w:val="00BB7BFA"/>
    <w:rsid w:val="00BB7CDE"/>
    <w:rsid w:val="00BB7D04"/>
    <w:rsid w:val="00BB7E2B"/>
    <w:rsid w:val="00BB7FD5"/>
    <w:rsid w:val="00BC010B"/>
    <w:rsid w:val="00BC0332"/>
    <w:rsid w:val="00BC03C1"/>
    <w:rsid w:val="00BC0453"/>
    <w:rsid w:val="00BC0465"/>
    <w:rsid w:val="00BC0546"/>
    <w:rsid w:val="00BC06D5"/>
    <w:rsid w:val="00BC0801"/>
    <w:rsid w:val="00BC08F5"/>
    <w:rsid w:val="00BC08FA"/>
    <w:rsid w:val="00BC0956"/>
    <w:rsid w:val="00BC0A58"/>
    <w:rsid w:val="00BC0DD2"/>
    <w:rsid w:val="00BC0F4E"/>
    <w:rsid w:val="00BC10D3"/>
    <w:rsid w:val="00BC110B"/>
    <w:rsid w:val="00BC1134"/>
    <w:rsid w:val="00BC120B"/>
    <w:rsid w:val="00BC13D6"/>
    <w:rsid w:val="00BC13FB"/>
    <w:rsid w:val="00BC145F"/>
    <w:rsid w:val="00BC161A"/>
    <w:rsid w:val="00BC1665"/>
    <w:rsid w:val="00BC16BD"/>
    <w:rsid w:val="00BC193A"/>
    <w:rsid w:val="00BC19B4"/>
    <w:rsid w:val="00BC19B6"/>
    <w:rsid w:val="00BC1A22"/>
    <w:rsid w:val="00BC1E95"/>
    <w:rsid w:val="00BC1F2C"/>
    <w:rsid w:val="00BC22AE"/>
    <w:rsid w:val="00BC2306"/>
    <w:rsid w:val="00BC233C"/>
    <w:rsid w:val="00BC24BE"/>
    <w:rsid w:val="00BC279D"/>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4C6"/>
    <w:rsid w:val="00BC353C"/>
    <w:rsid w:val="00BC35FE"/>
    <w:rsid w:val="00BC3619"/>
    <w:rsid w:val="00BC36D0"/>
    <w:rsid w:val="00BC373C"/>
    <w:rsid w:val="00BC395F"/>
    <w:rsid w:val="00BC398D"/>
    <w:rsid w:val="00BC3AC4"/>
    <w:rsid w:val="00BC3AE1"/>
    <w:rsid w:val="00BC3CBC"/>
    <w:rsid w:val="00BC3D2F"/>
    <w:rsid w:val="00BC3D41"/>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58"/>
    <w:rsid w:val="00BC537F"/>
    <w:rsid w:val="00BC5494"/>
    <w:rsid w:val="00BC552A"/>
    <w:rsid w:val="00BC5640"/>
    <w:rsid w:val="00BC571F"/>
    <w:rsid w:val="00BC57E7"/>
    <w:rsid w:val="00BC5904"/>
    <w:rsid w:val="00BC59D3"/>
    <w:rsid w:val="00BC5B80"/>
    <w:rsid w:val="00BC5B8C"/>
    <w:rsid w:val="00BC5BCC"/>
    <w:rsid w:val="00BC5DA9"/>
    <w:rsid w:val="00BC5E18"/>
    <w:rsid w:val="00BC5F37"/>
    <w:rsid w:val="00BC62C3"/>
    <w:rsid w:val="00BC6627"/>
    <w:rsid w:val="00BC68BE"/>
    <w:rsid w:val="00BC69D7"/>
    <w:rsid w:val="00BC6CC9"/>
    <w:rsid w:val="00BC6D31"/>
    <w:rsid w:val="00BC6F1A"/>
    <w:rsid w:val="00BC6F21"/>
    <w:rsid w:val="00BC7164"/>
    <w:rsid w:val="00BC7180"/>
    <w:rsid w:val="00BC731C"/>
    <w:rsid w:val="00BC73D8"/>
    <w:rsid w:val="00BC7589"/>
    <w:rsid w:val="00BC79C4"/>
    <w:rsid w:val="00BC7A59"/>
    <w:rsid w:val="00BC7AB2"/>
    <w:rsid w:val="00BC7B42"/>
    <w:rsid w:val="00BC7F25"/>
    <w:rsid w:val="00BD0032"/>
    <w:rsid w:val="00BD0195"/>
    <w:rsid w:val="00BD01A7"/>
    <w:rsid w:val="00BD05E5"/>
    <w:rsid w:val="00BD067B"/>
    <w:rsid w:val="00BD06A9"/>
    <w:rsid w:val="00BD06F7"/>
    <w:rsid w:val="00BD0860"/>
    <w:rsid w:val="00BD0899"/>
    <w:rsid w:val="00BD0955"/>
    <w:rsid w:val="00BD0A8C"/>
    <w:rsid w:val="00BD0B23"/>
    <w:rsid w:val="00BD0BAA"/>
    <w:rsid w:val="00BD0CDC"/>
    <w:rsid w:val="00BD11AD"/>
    <w:rsid w:val="00BD1216"/>
    <w:rsid w:val="00BD1335"/>
    <w:rsid w:val="00BD13A0"/>
    <w:rsid w:val="00BD13E8"/>
    <w:rsid w:val="00BD157A"/>
    <w:rsid w:val="00BD1591"/>
    <w:rsid w:val="00BD15E7"/>
    <w:rsid w:val="00BD1A3E"/>
    <w:rsid w:val="00BD1ABD"/>
    <w:rsid w:val="00BD1AC4"/>
    <w:rsid w:val="00BD1ADF"/>
    <w:rsid w:val="00BD1B46"/>
    <w:rsid w:val="00BD1D18"/>
    <w:rsid w:val="00BD1D3E"/>
    <w:rsid w:val="00BD1D60"/>
    <w:rsid w:val="00BD1D8F"/>
    <w:rsid w:val="00BD1DC8"/>
    <w:rsid w:val="00BD1F8D"/>
    <w:rsid w:val="00BD234F"/>
    <w:rsid w:val="00BD2494"/>
    <w:rsid w:val="00BD24A5"/>
    <w:rsid w:val="00BD24FC"/>
    <w:rsid w:val="00BD29A6"/>
    <w:rsid w:val="00BD2C37"/>
    <w:rsid w:val="00BD2C8E"/>
    <w:rsid w:val="00BD2E71"/>
    <w:rsid w:val="00BD2EB2"/>
    <w:rsid w:val="00BD3096"/>
    <w:rsid w:val="00BD33F1"/>
    <w:rsid w:val="00BD3489"/>
    <w:rsid w:val="00BD34A4"/>
    <w:rsid w:val="00BD351E"/>
    <w:rsid w:val="00BD35F6"/>
    <w:rsid w:val="00BD3683"/>
    <w:rsid w:val="00BD3762"/>
    <w:rsid w:val="00BD376C"/>
    <w:rsid w:val="00BD3ACD"/>
    <w:rsid w:val="00BD3DED"/>
    <w:rsid w:val="00BD3FCA"/>
    <w:rsid w:val="00BD4304"/>
    <w:rsid w:val="00BD43AA"/>
    <w:rsid w:val="00BD444F"/>
    <w:rsid w:val="00BD4469"/>
    <w:rsid w:val="00BD44D3"/>
    <w:rsid w:val="00BD4683"/>
    <w:rsid w:val="00BD46AB"/>
    <w:rsid w:val="00BD47F6"/>
    <w:rsid w:val="00BD4878"/>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731"/>
    <w:rsid w:val="00BD582F"/>
    <w:rsid w:val="00BD5A7D"/>
    <w:rsid w:val="00BD5B7A"/>
    <w:rsid w:val="00BD5B91"/>
    <w:rsid w:val="00BD5BCB"/>
    <w:rsid w:val="00BD5CCC"/>
    <w:rsid w:val="00BD6545"/>
    <w:rsid w:val="00BD6652"/>
    <w:rsid w:val="00BD67A7"/>
    <w:rsid w:val="00BD685B"/>
    <w:rsid w:val="00BD68B3"/>
    <w:rsid w:val="00BD6C23"/>
    <w:rsid w:val="00BD6E56"/>
    <w:rsid w:val="00BD6F85"/>
    <w:rsid w:val="00BD6F91"/>
    <w:rsid w:val="00BD6FCF"/>
    <w:rsid w:val="00BD707F"/>
    <w:rsid w:val="00BD7154"/>
    <w:rsid w:val="00BD71DD"/>
    <w:rsid w:val="00BD72E6"/>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6F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1"/>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47E"/>
    <w:rsid w:val="00BE55B9"/>
    <w:rsid w:val="00BE56A8"/>
    <w:rsid w:val="00BE56F0"/>
    <w:rsid w:val="00BE5939"/>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56E"/>
    <w:rsid w:val="00BE6969"/>
    <w:rsid w:val="00BE6B29"/>
    <w:rsid w:val="00BE6B35"/>
    <w:rsid w:val="00BE6C60"/>
    <w:rsid w:val="00BE6D27"/>
    <w:rsid w:val="00BE6DCF"/>
    <w:rsid w:val="00BE6E01"/>
    <w:rsid w:val="00BE6EBA"/>
    <w:rsid w:val="00BE72F2"/>
    <w:rsid w:val="00BE7559"/>
    <w:rsid w:val="00BE7579"/>
    <w:rsid w:val="00BE7594"/>
    <w:rsid w:val="00BE77CF"/>
    <w:rsid w:val="00BE7900"/>
    <w:rsid w:val="00BE7948"/>
    <w:rsid w:val="00BE7A79"/>
    <w:rsid w:val="00BE7B6A"/>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7B3"/>
    <w:rsid w:val="00BF196A"/>
    <w:rsid w:val="00BF19D0"/>
    <w:rsid w:val="00BF1AD1"/>
    <w:rsid w:val="00BF1CC4"/>
    <w:rsid w:val="00BF1CED"/>
    <w:rsid w:val="00BF1D5C"/>
    <w:rsid w:val="00BF1F53"/>
    <w:rsid w:val="00BF2013"/>
    <w:rsid w:val="00BF269F"/>
    <w:rsid w:val="00BF29A6"/>
    <w:rsid w:val="00BF29AC"/>
    <w:rsid w:val="00BF2AB2"/>
    <w:rsid w:val="00BF2C88"/>
    <w:rsid w:val="00BF2CC4"/>
    <w:rsid w:val="00BF2D38"/>
    <w:rsid w:val="00BF2EDA"/>
    <w:rsid w:val="00BF30BF"/>
    <w:rsid w:val="00BF34E8"/>
    <w:rsid w:val="00BF355F"/>
    <w:rsid w:val="00BF35A0"/>
    <w:rsid w:val="00BF3723"/>
    <w:rsid w:val="00BF3851"/>
    <w:rsid w:val="00BF3881"/>
    <w:rsid w:val="00BF38F4"/>
    <w:rsid w:val="00BF3AFD"/>
    <w:rsid w:val="00BF3CF1"/>
    <w:rsid w:val="00BF3DA0"/>
    <w:rsid w:val="00BF3F83"/>
    <w:rsid w:val="00BF3FEF"/>
    <w:rsid w:val="00BF42B9"/>
    <w:rsid w:val="00BF44F3"/>
    <w:rsid w:val="00BF450F"/>
    <w:rsid w:val="00BF4842"/>
    <w:rsid w:val="00BF49D8"/>
    <w:rsid w:val="00BF49F7"/>
    <w:rsid w:val="00BF4AA1"/>
    <w:rsid w:val="00BF4AFC"/>
    <w:rsid w:val="00BF4BA7"/>
    <w:rsid w:val="00BF4D9F"/>
    <w:rsid w:val="00BF4DB0"/>
    <w:rsid w:val="00BF4E44"/>
    <w:rsid w:val="00BF4E6C"/>
    <w:rsid w:val="00BF4E6D"/>
    <w:rsid w:val="00BF4F40"/>
    <w:rsid w:val="00BF4FBB"/>
    <w:rsid w:val="00BF4FD9"/>
    <w:rsid w:val="00BF51D4"/>
    <w:rsid w:val="00BF5284"/>
    <w:rsid w:val="00BF52D9"/>
    <w:rsid w:val="00BF5451"/>
    <w:rsid w:val="00BF55BC"/>
    <w:rsid w:val="00BF5709"/>
    <w:rsid w:val="00BF58EC"/>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73D"/>
    <w:rsid w:val="00BF7893"/>
    <w:rsid w:val="00BF7914"/>
    <w:rsid w:val="00BF7A0F"/>
    <w:rsid w:val="00BF7ADB"/>
    <w:rsid w:val="00BF7C6E"/>
    <w:rsid w:val="00BF7E28"/>
    <w:rsid w:val="00BF7EB6"/>
    <w:rsid w:val="00BF7F59"/>
    <w:rsid w:val="00BF7F91"/>
    <w:rsid w:val="00C00178"/>
    <w:rsid w:val="00C00507"/>
    <w:rsid w:val="00C0076F"/>
    <w:rsid w:val="00C0085F"/>
    <w:rsid w:val="00C00A78"/>
    <w:rsid w:val="00C00B14"/>
    <w:rsid w:val="00C00E37"/>
    <w:rsid w:val="00C01092"/>
    <w:rsid w:val="00C010AB"/>
    <w:rsid w:val="00C0118D"/>
    <w:rsid w:val="00C01204"/>
    <w:rsid w:val="00C01431"/>
    <w:rsid w:val="00C01447"/>
    <w:rsid w:val="00C014CE"/>
    <w:rsid w:val="00C01574"/>
    <w:rsid w:val="00C0160C"/>
    <w:rsid w:val="00C017B4"/>
    <w:rsid w:val="00C017CC"/>
    <w:rsid w:val="00C017DE"/>
    <w:rsid w:val="00C01B34"/>
    <w:rsid w:val="00C01C8C"/>
    <w:rsid w:val="00C01EA7"/>
    <w:rsid w:val="00C01FED"/>
    <w:rsid w:val="00C01FEF"/>
    <w:rsid w:val="00C020B4"/>
    <w:rsid w:val="00C02247"/>
    <w:rsid w:val="00C02286"/>
    <w:rsid w:val="00C022FB"/>
    <w:rsid w:val="00C02319"/>
    <w:rsid w:val="00C0250D"/>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48C"/>
    <w:rsid w:val="00C0461B"/>
    <w:rsid w:val="00C04662"/>
    <w:rsid w:val="00C04680"/>
    <w:rsid w:val="00C04752"/>
    <w:rsid w:val="00C047DC"/>
    <w:rsid w:val="00C04A7D"/>
    <w:rsid w:val="00C04C77"/>
    <w:rsid w:val="00C04D9A"/>
    <w:rsid w:val="00C04DEF"/>
    <w:rsid w:val="00C0540D"/>
    <w:rsid w:val="00C05641"/>
    <w:rsid w:val="00C05660"/>
    <w:rsid w:val="00C05711"/>
    <w:rsid w:val="00C0576C"/>
    <w:rsid w:val="00C0588E"/>
    <w:rsid w:val="00C05992"/>
    <w:rsid w:val="00C05CB5"/>
    <w:rsid w:val="00C05CD8"/>
    <w:rsid w:val="00C05D5E"/>
    <w:rsid w:val="00C06122"/>
    <w:rsid w:val="00C06143"/>
    <w:rsid w:val="00C06163"/>
    <w:rsid w:val="00C065A5"/>
    <w:rsid w:val="00C06695"/>
    <w:rsid w:val="00C067E3"/>
    <w:rsid w:val="00C0689F"/>
    <w:rsid w:val="00C068FC"/>
    <w:rsid w:val="00C06B94"/>
    <w:rsid w:val="00C06BCA"/>
    <w:rsid w:val="00C06CD2"/>
    <w:rsid w:val="00C06CD9"/>
    <w:rsid w:val="00C06CDB"/>
    <w:rsid w:val="00C06D6F"/>
    <w:rsid w:val="00C06E4D"/>
    <w:rsid w:val="00C06FE2"/>
    <w:rsid w:val="00C07206"/>
    <w:rsid w:val="00C07482"/>
    <w:rsid w:val="00C074C1"/>
    <w:rsid w:val="00C07507"/>
    <w:rsid w:val="00C07689"/>
    <w:rsid w:val="00C076E0"/>
    <w:rsid w:val="00C07722"/>
    <w:rsid w:val="00C07805"/>
    <w:rsid w:val="00C07B98"/>
    <w:rsid w:val="00C07BE7"/>
    <w:rsid w:val="00C07C08"/>
    <w:rsid w:val="00C07C8A"/>
    <w:rsid w:val="00C07CDB"/>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6E3"/>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C20"/>
    <w:rsid w:val="00C14CDC"/>
    <w:rsid w:val="00C14D9E"/>
    <w:rsid w:val="00C14DE5"/>
    <w:rsid w:val="00C14E62"/>
    <w:rsid w:val="00C14F36"/>
    <w:rsid w:val="00C14FD0"/>
    <w:rsid w:val="00C1505C"/>
    <w:rsid w:val="00C150B7"/>
    <w:rsid w:val="00C1547A"/>
    <w:rsid w:val="00C155A6"/>
    <w:rsid w:val="00C156A7"/>
    <w:rsid w:val="00C15728"/>
    <w:rsid w:val="00C157C6"/>
    <w:rsid w:val="00C1588D"/>
    <w:rsid w:val="00C158D3"/>
    <w:rsid w:val="00C15CFC"/>
    <w:rsid w:val="00C15E87"/>
    <w:rsid w:val="00C15ECB"/>
    <w:rsid w:val="00C1612B"/>
    <w:rsid w:val="00C16244"/>
    <w:rsid w:val="00C16682"/>
    <w:rsid w:val="00C1669C"/>
    <w:rsid w:val="00C166A3"/>
    <w:rsid w:val="00C167C9"/>
    <w:rsid w:val="00C16807"/>
    <w:rsid w:val="00C16879"/>
    <w:rsid w:val="00C1690B"/>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20"/>
    <w:rsid w:val="00C2006D"/>
    <w:rsid w:val="00C20086"/>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83"/>
    <w:rsid w:val="00C20DA1"/>
    <w:rsid w:val="00C20E66"/>
    <w:rsid w:val="00C20F34"/>
    <w:rsid w:val="00C21157"/>
    <w:rsid w:val="00C21415"/>
    <w:rsid w:val="00C214F9"/>
    <w:rsid w:val="00C217DF"/>
    <w:rsid w:val="00C2184F"/>
    <w:rsid w:val="00C2198F"/>
    <w:rsid w:val="00C21BA5"/>
    <w:rsid w:val="00C21EA9"/>
    <w:rsid w:val="00C21EAA"/>
    <w:rsid w:val="00C2248F"/>
    <w:rsid w:val="00C225E8"/>
    <w:rsid w:val="00C2261F"/>
    <w:rsid w:val="00C22633"/>
    <w:rsid w:val="00C22AAA"/>
    <w:rsid w:val="00C22AAB"/>
    <w:rsid w:val="00C22B97"/>
    <w:rsid w:val="00C22D1A"/>
    <w:rsid w:val="00C22D89"/>
    <w:rsid w:val="00C22F40"/>
    <w:rsid w:val="00C23067"/>
    <w:rsid w:val="00C230F1"/>
    <w:rsid w:val="00C23165"/>
    <w:rsid w:val="00C2322F"/>
    <w:rsid w:val="00C2343B"/>
    <w:rsid w:val="00C23444"/>
    <w:rsid w:val="00C23757"/>
    <w:rsid w:val="00C237A8"/>
    <w:rsid w:val="00C2387D"/>
    <w:rsid w:val="00C23B36"/>
    <w:rsid w:val="00C23B4A"/>
    <w:rsid w:val="00C23CB8"/>
    <w:rsid w:val="00C23D03"/>
    <w:rsid w:val="00C23E4E"/>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40"/>
    <w:rsid w:val="00C24CB4"/>
    <w:rsid w:val="00C24CD4"/>
    <w:rsid w:val="00C24D3C"/>
    <w:rsid w:val="00C24D47"/>
    <w:rsid w:val="00C24D73"/>
    <w:rsid w:val="00C24DB4"/>
    <w:rsid w:val="00C24E4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28"/>
    <w:rsid w:val="00C268EA"/>
    <w:rsid w:val="00C269AA"/>
    <w:rsid w:val="00C269D7"/>
    <w:rsid w:val="00C26AF9"/>
    <w:rsid w:val="00C26C4E"/>
    <w:rsid w:val="00C26DF6"/>
    <w:rsid w:val="00C26E40"/>
    <w:rsid w:val="00C26E5A"/>
    <w:rsid w:val="00C26F7F"/>
    <w:rsid w:val="00C26FE7"/>
    <w:rsid w:val="00C2700C"/>
    <w:rsid w:val="00C2707F"/>
    <w:rsid w:val="00C27315"/>
    <w:rsid w:val="00C27891"/>
    <w:rsid w:val="00C278C8"/>
    <w:rsid w:val="00C278D5"/>
    <w:rsid w:val="00C27BF5"/>
    <w:rsid w:val="00C27FFD"/>
    <w:rsid w:val="00C30100"/>
    <w:rsid w:val="00C301F6"/>
    <w:rsid w:val="00C30556"/>
    <w:rsid w:val="00C3063D"/>
    <w:rsid w:val="00C3069E"/>
    <w:rsid w:val="00C30872"/>
    <w:rsid w:val="00C30AE0"/>
    <w:rsid w:val="00C30B20"/>
    <w:rsid w:val="00C30B3E"/>
    <w:rsid w:val="00C30E5B"/>
    <w:rsid w:val="00C30E86"/>
    <w:rsid w:val="00C30FD8"/>
    <w:rsid w:val="00C3131D"/>
    <w:rsid w:val="00C3134F"/>
    <w:rsid w:val="00C31360"/>
    <w:rsid w:val="00C313AA"/>
    <w:rsid w:val="00C31403"/>
    <w:rsid w:val="00C31960"/>
    <w:rsid w:val="00C31AAA"/>
    <w:rsid w:val="00C31B39"/>
    <w:rsid w:val="00C31BC0"/>
    <w:rsid w:val="00C31BE5"/>
    <w:rsid w:val="00C31C2A"/>
    <w:rsid w:val="00C31C75"/>
    <w:rsid w:val="00C31DF3"/>
    <w:rsid w:val="00C31EDA"/>
    <w:rsid w:val="00C31FDD"/>
    <w:rsid w:val="00C321B4"/>
    <w:rsid w:val="00C32212"/>
    <w:rsid w:val="00C323B0"/>
    <w:rsid w:val="00C32695"/>
    <w:rsid w:val="00C326E8"/>
    <w:rsid w:val="00C32A6A"/>
    <w:rsid w:val="00C32AA0"/>
    <w:rsid w:val="00C32B46"/>
    <w:rsid w:val="00C32BC1"/>
    <w:rsid w:val="00C32FCB"/>
    <w:rsid w:val="00C3300C"/>
    <w:rsid w:val="00C33114"/>
    <w:rsid w:val="00C3330F"/>
    <w:rsid w:val="00C3334B"/>
    <w:rsid w:val="00C3334D"/>
    <w:rsid w:val="00C333DE"/>
    <w:rsid w:val="00C33573"/>
    <w:rsid w:val="00C335C5"/>
    <w:rsid w:val="00C336D9"/>
    <w:rsid w:val="00C337E7"/>
    <w:rsid w:val="00C33857"/>
    <w:rsid w:val="00C33993"/>
    <w:rsid w:val="00C33B88"/>
    <w:rsid w:val="00C33D32"/>
    <w:rsid w:val="00C33EEF"/>
    <w:rsid w:val="00C340C9"/>
    <w:rsid w:val="00C343B5"/>
    <w:rsid w:val="00C343DB"/>
    <w:rsid w:val="00C34481"/>
    <w:rsid w:val="00C344D6"/>
    <w:rsid w:val="00C3474B"/>
    <w:rsid w:val="00C3485E"/>
    <w:rsid w:val="00C34A1F"/>
    <w:rsid w:val="00C34ACF"/>
    <w:rsid w:val="00C34EBE"/>
    <w:rsid w:val="00C352CA"/>
    <w:rsid w:val="00C352FB"/>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5D8B"/>
    <w:rsid w:val="00C35E1F"/>
    <w:rsid w:val="00C36253"/>
    <w:rsid w:val="00C36259"/>
    <w:rsid w:val="00C36368"/>
    <w:rsid w:val="00C36662"/>
    <w:rsid w:val="00C36884"/>
    <w:rsid w:val="00C368F4"/>
    <w:rsid w:val="00C369EF"/>
    <w:rsid w:val="00C36AC3"/>
    <w:rsid w:val="00C36BED"/>
    <w:rsid w:val="00C36D98"/>
    <w:rsid w:val="00C36DE9"/>
    <w:rsid w:val="00C37075"/>
    <w:rsid w:val="00C37234"/>
    <w:rsid w:val="00C3733B"/>
    <w:rsid w:val="00C37374"/>
    <w:rsid w:val="00C373A8"/>
    <w:rsid w:val="00C3745C"/>
    <w:rsid w:val="00C37475"/>
    <w:rsid w:val="00C37479"/>
    <w:rsid w:val="00C37AE1"/>
    <w:rsid w:val="00C37C5D"/>
    <w:rsid w:val="00C37DF8"/>
    <w:rsid w:val="00C37E50"/>
    <w:rsid w:val="00C37EF7"/>
    <w:rsid w:val="00C40061"/>
    <w:rsid w:val="00C400E7"/>
    <w:rsid w:val="00C4013E"/>
    <w:rsid w:val="00C40192"/>
    <w:rsid w:val="00C402FE"/>
    <w:rsid w:val="00C40365"/>
    <w:rsid w:val="00C405A0"/>
    <w:rsid w:val="00C405A9"/>
    <w:rsid w:val="00C40815"/>
    <w:rsid w:val="00C4081C"/>
    <w:rsid w:val="00C40874"/>
    <w:rsid w:val="00C40DF4"/>
    <w:rsid w:val="00C40ED9"/>
    <w:rsid w:val="00C40EEA"/>
    <w:rsid w:val="00C40F05"/>
    <w:rsid w:val="00C40FE5"/>
    <w:rsid w:val="00C41002"/>
    <w:rsid w:val="00C410E9"/>
    <w:rsid w:val="00C411F4"/>
    <w:rsid w:val="00C41538"/>
    <w:rsid w:val="00C4158D"/>
    <w:rsid w:val="00C41664"/>
    <w:rsid w:val="00C41797"/>
    <w:rsid w:val="00C41C0E"/>
    <w:rsid w:val="00C41C3A"/>
    <w:rsid w:val="00C41C3C"/>
    <w:rsid w:val="00C41D47"/>
    <w:rsid w:val="00C41D9C"/>
    <w:rsid w:val="00C41DC9"/>
    <w:rsid w:val="00C41EB7"/>
    <w:rsid w:val="00C41F0E"/>
    <w:rsid w:val="00C41F8F"/>
    <w:rsid w:val="00C4209B"/>
    <w:rsid w:val="00C420B6"/>
    <w:rsid w:val="00C42107"/>
    <w:rsid w:val="00C42220"/>
    <w:rsid w:val="00C42299"/>
    <w:rsid w:val="00C422D7"/>
    <w:rsid w:val="00C4241D"/>
    <w:rsid w:val="00C4246F"/>
    <w:rsid w:val="00C42497"/>
    <w:rsid w:val="00C424CB"/>
    <w:rsid w:val="00C425A0"/>
    <w:rsid w:val="00C42A2D"/>
    <w:rsid w:val="00C42A9E"/>
    <w:rsid w:val="00C42D12"/>
    <w:rsid w:val="00C42D6E"/>
    <w:rsid w:val="00C42EB6"/>
    <w:rsid w:val="00C430CB"/>
    <w:rsid w:val="00C4311E"/>
    <w:rsid w:val="00C431A5"/>
    <w:rsid w:val="00C43359"/>
    <w:rsid w:val="00C43371"/>
    <w:rsid w:val="00C43502"/>
    <w:rsid w:val="00C437C9"/>
    <w:rsid w:val="00C438EE"/>
    <w:rsid w:val="00C4396E"/>
    <w:rsid w:val="00C439BC"/>
    <w:rsid w:val="00C43AAB"/>
    <w:rsid w:val="00C43AE8"/>
    <w:rsid w:val="00C43B95"/>
    <w:rsid w:val="00C43C99"/>
    <w:rsid w:val="00C43DE9"/>
    <w:rsid w:val="00C43E6D"/>
    <w:rsid w:val="00C43FDC"/>
    <w:rsid w:val="00C440C3"/>
    <w:rsid w:val="00C44273"/>
    <w:rsid w:val="00C4427F"/>
    <w:rsid w:val="00C44315"/>
    <w:rsid w:val="00C443EC"/>
    <w:rsid w:val="00C4443E"/>
    <w:rsid w:val="00C4446E"/>
    <w:rsid w:val="00C444B6"/>
    <w:rsid w:val="00C44667"/>
    <w:rsid w:val="00C44929"/>
    <w:rsid w:val="00C44A45"/>
    <w:rsid w:val="00C44A90"/>
    <w:rsid w:val="00C44AE9"/>
    <w:rsid w:val="00C44B31"/>
    <w:rsid w:val="00C44C26"/>
    <w:rsid w:val="00C45130"/>
    <w:rsid w:val="00C45161"/>
    <w:rsid w:val="00C451B2"/>
    <w:rsid w:val="00C45254"/>
    <w:rsid w:val="00C45310"/>
    <w:rsid w:val="00C4541C"/>
    <w:rsid w:val="00C454A2"/>
    <w:rsid w:val="00C45563"/>
    <w:rsid w:val="00C45707"/>
    <w:rsid w:val="00C45AA5"/>
    <w:rsid w:val="00C45AAB"/>
    <w:rsid w:val="00C45B17"/>
    <w:rsid w:val="00C45B7A"/>
    <w:rsid w:val="00C45BCA"/>
    <w:rsid w:val="00C45DB0"/>
    <w:rsid w:val="00C4610B"/>
    <w:rsid w:val="00C46148"/>
    <w:rsid w:val="00C461CD"/>
    <w:rsid w:val="00C462FE"/>
    <w:rsid w:val="00C463AB"/>
    <w:rsid w:val="00C46459"/>
    <w:rsid w:val="00C464C0"/>
    <w:rsid w:val="00C464C9"/>
    <w:rsid w:val="00C464E4"/>
    <w:rsid w:val="00C46567"/>
    <w:rsid w:val="00C465F0"/>
    <w:rsid w:val="00C46B12"/>
    <w:rsid w:val="00C46BF5"/>
    <w:rsid w:val="00C46DB2"/>
    <w:rsid w:val="00C46DC1"/>
    <w:rsid w:val="00C46DDE"/>
    <w:rsid w:val="00C46E58"/>
    <w:rsid w:val="00C46E93"/>
    <w:rsid w:val="00C46FCC"/>
    <w:rsid w:val="00C46FFA"/>
    <w:rsid w:val="00C472E0"/>
    <w:rsid w:val="00C4731F"/>
    <w:rsid w:val="00C4737B"/>
    <w:rsid w:val="00C4746D"/>
    <w:rsid w:val="00C4751B"/>
    <w:rsid w:val="00C4757B"/>
    <w:rsid w:val="00C4771A"/>
    <w:rsid w:val="00C4777C"/>
    <w:rsid w:val="00C478EA"/>
    <w:rsid w:val="00C47A71"/>
    <w:rsid w:val="00C47BC5"/>
    <w:rsid w:val="00C47C5A"/>
    <w:rsid w:val="00C47CF6"/>
    <w:rsid w:val="00C47E35"/>
    <w:rsid w:val="00C47FA7"/>
    <w:rsid w:val="00C47FC1"/>
    <w:rsid w:val="00C500DF"/>
    <w:rsid w:val="00C50436"/>
    <w:rsid w:val="00C504EF"/>
    <w:rsid w:val="00C506CB"/>
    <w:rsid w:val="00C50870"/>
    <w:rsid w:val="00C50A5D"/>
    <w:rsid w:val="00C50A9E"/>
    <w:rsid w:val="00C50BF6"/>
    <w:rsid w:val="00C50D3D"/>
    <w:rsid w:val="00C50E0D"/>
    <w:rsid w:val="00C50E34"/>
    <w:rsid w:val="00C50EC2"/>
    <w:rsid w:val="00C50F2C"/>
    <w:rsid w:val="00C51028"/>
    <w:rsid w:val="00C51194"/>
    <w:rsid w:val="00C5120C"/>
    <w:rsid w:val="00C512A9"/>
    <w:rsid w:val="00C51560"/>
    <w:rsid w:val="00C515C7"/>
    <w:rsid w:val="00C51910"/>
    <w:rsid w:val="00C519BB"/>
    <w:rsid w:val="00C51AAD"/>
    <w:rsid w:val="00C51AC1"/>
    <w:rsid w:val="00C51ACF"/>
    <w:rsid w:val="00C51AE6"/>
    <w:rsid w:val="00C51B49"/>
    <w:rsid w:val="00C51D6A"/>
    <w:rsid w:val="00C520C2"/>
    <w:rsid w:val="00C52267"/>
    <w:rsid w:val="00C522E0"/>
    <w:rsid w:val="00C52447"/>
    <w:rsid w:val="00C527EB"/>
    <w:rsid w:val="00C52A3F"/>
    <w:rsid w:val="00C52AA5"/>
    <w:rsid w:val="00C52C80"/>
    <w:rsid w:val="00C52D06"/>
    <w:rsid w:val="00C52D24"/>
    <w:rsid w:val="00C52D86"/>
    <w:rsid w:val="00C530AC"/>
    <w:rsid w:val="00C530D3"/>
    <w:rsid w:val="00C530F5"/>
    <w:rsid w:val="00C5320C"/>
    <w:rsid w:val="00C5342A"/>
    <w:rsid w:val="00C5381E"/>
    <w:rsid w:val="00C538EB"/>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5C4"/>
    <w:rsid w:val="00C556C7"/>
    <w:rsid w:val="00C55954"/>
    <w:rsid w:val="00C55B31"/>
    <w:rsid w:val="00C55F77"/>
    <w:rsid w:val="00C561D4"/>
    <w:rsid w:val="00C56214"/>
    <w:rsid w:val="00C5634A"/>
    <w:rsid w:val="00C56787"/>
    <w:rsid w:val="00C568C3"/>
    <w:rsid w:val="00C56D2F"/>
    <w:rsid w:val="00C56DDE"/>
    <w:rsid w:val="00C56E5D"/>
    <w:rsid w:val="00C56F89"/>
    <w:rsid w:val="00C57246"/>
    <w:rsid w:val="00C5736F"/>
    <w:rsid w:val="00C57590"/>
    <w:rsid w:val="00C575C5"/>
    <w:rsid w:val="00C5771D"/>
    <w:rsid w:val="00C577A9"/>
    <w:rsid w:val="00C577D2"/>
    <w:rsid w:val="00C57862"/>
    <w:rsid w:val="00C57933"/>
    <w:rsid w:val="00C57BDA"/>
    <w:rsid w:val="00C57BEF"/>
    <w:rsid w:val="00C57CC0"/>
    <w:rsid w:val="00C57DEF"/>
    <w:rsid w:val="00C57E2B"/>
    <w:rsid w:val="00C57E87"/>
    <w:rsid w:val="00C602ED"/>
    <w:rsid w:val="00C60324"/>
    <w:rsid w:val="00C60460"/>
    <w:rsid w:val="00C607E5"/>
    <w:rsid w:val="00C60831"/>
    <w:rsid w:val="00C60A39"/>
    <w:rsid w:val="00C60B9D"/>
    <w:rsid w:val="00C60BB1"/>
    <w:rsid w:val="00C60C28"/>
    <w:rsid w:val="00C60D21"/>
    <w:rsid w:val="00C60D7C"/>
    <w:rsid w:val="00C61002"/>
    <w:rsid w:val="00C61190"/>
    <w:rsid w:val="00C612B5"/>
    <w:rsid w:val="00C613E7"/>
    <w:rsid w:val="00C6148A"/>
    <w:rsid w:val="00C61567"/>
    <w:rsid w:val="00C615A9"/>
    <w:rsid w:val="00C615BF"/>
    <w:rsid w:val="00C61640"/>
    <w:rsid w:val="00C61761"/>
    <w:rsid w:val="00C617CA"/>
    <w:rsid w:val="00C61919"/>
    <w:rsid w:val="00C6199B"/>
    <w:rsid w:val="00C619FB"/>
    <w:rsid w:val="00C61A7F"/>
    <w:rsid w:val="00C61AE2"/>
    <w:rsid w:val="00C61FB0"/>
    <w:rsid w:val="00C6221B"/>
    <w:rsid w:val="00C623AC"/>
    <w:rsid w:val="00C62A82"/>
    <w:rsid w:val="00C62C04"/>
    <w:rsid w:val="00C62C9A"/>
    <w:rsid w:val="00C62F60"/>
    <w:rsid w:val="00C62FBF"/>
    <w:rsid w:val="00C63068"/>
    <w:rsid w:val="00C6322D"/>
    <w:rsid w:val="00C63387"/>
    <w:rsid w:val="00C634DE"/>
    <w:rsid w:val="00C636F7"/>
    <w:rsid w:val="00C637C1"/>
    <w:rsid w:val="00C6398B"/>
    <w:rsid w:val="00C63A45"/>
    <w:rsid w:val="00C63EAA"/>
    <w:rsid w:val="00C63ED2"/>
    <w:rsid w:val="00C63F95"/>
    <w:rsid w:val="00C640C2"/>
    <w:rsid w:val="00C64845"/>
    <w:rsid w:val="00C6492D"/>
    <w:rsid w:val="00C64AE5"/>
    <w:rsid w:val="00C64BFB"/>
    <w:rsid w:val="00C64FA4"/>
    <w:rsid w:val="00C65098"/>
    <w:rsid w:val="00C650F7"/>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CC3"/>
    <w:rsid w:val="00C65E09"/>
    <w:rsid w:val="00C65E4F"/>
    <w:rsid w:val="00C65EDC"/>
    <w:rsid w:val="00C65F33"/>
    <w:rsid w:val="00C65F4D"/>
    <w:rsid w:val="00C65FAE"/>
    <w:rsid w:val="00C66128"/>
    <w:rsid w:val="00C66241"/>
    <w:rsid w:val="00C66283"/>
    <w:rsid w:val="00C662B0"/>
    <w:rsid w:val="00C6639E"/>
    <w:rsid w:val="00C6642F"/>
    <w:rsid w:val="00C6659E"/>
    <w:rsid w:val="00C665B5"/>
    <w:rsid w:val="00C665E5"/>
    <w:rsid w:val="00C6662E"/>
    <w:rsid w:val="00C666D6"/>
    <w:rsid w:val="00C66803"/>
    <w:rsid w:val="00C66A22"/>
    <w:rsid w:val="00C66C44"/>
    <w:rsid w:val="00C66C97"/>
    <w:rsid w:val="00C66D53"/>
    <w:rsid w:val="00C66E21"/>
    <w:rsid w:val="00C66F55"/>
    <w:rsid w:val="00C66F65"/>
    <w:rsid w:val="00C66FC8"/>
    <w:rsid w:val="00C6706E"/>
    <w:rsid w:val="00C670BB"/>
    <w:rsid w:val="00C67121"/>
    <w:rsid w:val="00C67144"/>
    <w:rsid w:val="00C6725E"/>
    <w:rsid w:val="00C6728B"/>
    <w:rsid w:val="00C67307"/>
    <w:rsid w:val="00C67316"/>
    <w:rsid w:val="00C6735A"/>
    <w:rsid w:val="00C676AB"/>
    <w:rsid w:val="00C6773C"/>
    <w:rsid w:val="00C67829"/>
    <w:rsid w:val="00C6784E"/>
    <w:rsid w:val="00C67B0C"/>
    <w:rsid w:val="00C67B3B"/>
    <w:rsid w:val="00C7010F"/>
    <w:rsid w:val="00C7035A"/>
    <w:rsid w:val="00C70585"/>
    <w:rsid w:val="00C70619"/>
    <w:rsid w:val="00C70675"/>
    <w:rsid w:val="00C7071D"/>
    <w:rsid w:val="00C70922"/>
    <w:rsid w:val="00C70B1E"/>
    <w:rsid w:val="00C70D3A"/>
    <w:rsid w:val="00C70E76"/>
    <w:rsid w:val="00C71191"/>
    <w:rsid w:val="00C71561"/>
    <w:rsid w:val="00C71663"/>
    <w:rsid w:val="00C71720"/>
    <w:rsid w:val="00C717DC"/>
    <w:rsid w:val="00C71ACC"/>
    <w:rsid w:val="00C71D90"/>
    <w:rsid w:val="00C71F03"/>
    <w:rsid w:val="00C71F4F"/>
    <w:rsid w:val="00C72106"/>
    <w:rsid w:val="00C722BE"/>
    <w:rsid w:val="00C722E5"/>
    <w:rsid w:val="00C7268C"/>
    <w:rsid w:val="00C727DA"/>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6"/>
    <w:rsid w:val="00C73EC9"/>
    <w:rsid w:val="00C740E1"/>
    <w:rsid w:val="00C74178"/>
    <w:rsid w:val="00C7417A"/>
    <w:rsid w:val="00C7417B"/>
    <w:rsid w:val="00C741ED"/>
    <w:rsid w:val="00C743EA"/>
    <w:rsid w:val="00C7449C"/>
    <w:rsid w:val="00C745C5"/>
    <w:rsid w:val="00C74649"/>
    <w:rsid w:val="00C746A8"/>
    <w:rsid w:val="00C747F7"/>
    <w:rsid w:val="00C7484D"/>
    <w:rsid w:val="00C74885"/>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D79"/>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35"/>
    <w:rsid w:val="00C76C43"/>
    <w:rsid w:val="00C76DDB"/>
    <w:rsid w:val="00C76E55"/>
    <w:rsid w:val="00C77078"/>
    <w:rsid w:val="00C7720F"/>
    <w:rsid w:val="00C77446"/>
    <w:rsid w:val="00C77499"/>
    <w:rsid w:val="00C7761F"/>
    <w:rsid w:val="00C77699"/>
    <w:rsid w:val="00C77AF7"/>
    <w:rsid w:val="00C77D41"/>
    <w:rsid w:val="00C77D47"/>
    <w:rsid w:val="00C77D51"/>
    <w:rsid w:val="00C77DB7"/>
    <w:rsid w:val="00C77E0C"/>
    <w:rsid w:val="00C77E16"/>
    <w:rsid w:val="00C8017D"/>
    <w:rsid w:val="00C8020E"/>
    <w:rsid w:val="00C804DF"/>
    <w:rsid w:val="00C80708"/>
    <w:rsid w:val="00C80831"/>
    <w:rsid w:val="00C80877"/>
    <w:rsid w:val="00C80881"/>
    <w:rsid w:val="00C80A9C"/>
    <w:rsid w:val="00C80AAD"/>
    <w:rsid w:val="00C80D17"/>
    <w:rsid w:val="00C80F73"/>
    <w:rsid w:val="00C81242"/>
    <w:rsid w:val="00C81282"/>
    <w:rsid w:val="00C81373"/>
    <w:rsid w:val="00C814DA"/>
    <w:rsid w:val="00C814DE"/>
    <w:rsid w:val="00C814EB"/>
    <w:rsid w:val="00C81552"/>
    <w:rsid w:val="00C81636"/>
    <w:rsid w:val="00C81764"/>
    <w:rsid w:val="00C81860"/>
    <w:rsid w:val="00C81907"/>
    <w:rsid w:val="00C8190E"/>
    <w:rsid w:val="00C81950"/>
    <w:rsid w:val="00C8199D"/>
    <w:rsid w:val="00C819D5"/>
    <w:rsid w:val="00C819F4"/>
    <w:rsid w:val="00C81A64"/>
    <w:rsid w:val="00C81A7B"/>
    <w:rsid w:val="00C81AB0"/>
    <w:rsid w:val="00C81B0D"/>
    <w:rsid w:val="00C81B4F"/>
    <w:rsid w:val="00C81CF5"/>
    <w:rsid w:val="00C81EA9"/>
    <w:rsid w:val="00C8215F"/>
    <w:rsid w:val="00C8218C"/>
    <w:rsid w:val="00C827CE"/>
    <w:rsid w:val="00C8295E"/>
    <w:rsid w:val="00C82D33"/>
    <w:rsid w:val="00C82E9A"/>
    <w:rsid w:val="00C82F2F"/>
    <w:rsid w:val="00C83366"/>
    <w:rsid w:val="00C83413"/>
    <w:rsid w:val="00C83588"/>
    <w:rsid w:val="00C839FE"/>
    <w:rsid w:val="00C83A59"/>
    <w:rsid w:val="00C83C9F"/>
    <w:rsid w:val="00C83CF9"/>
    <w:rsid w:val="00C83D0A"/>
    <w:rsid w:val="00C83D0B"/>
    <w:rsid w:val="00C83D2B"/>
    <w:rsid w:val="00C83DA6"/>
    <w:rsid w:val="00C83F35"/>
    <w:rsid w:val="00C83FB1"/>
    <w:rsid w:val="00C84140"/>
    <w:rsid w:val="00C84462"/>
    <w:rsid w:val="00C84474"/>
    <w:rsid w:val="00C84649"/>
    <w:rsid w:val="00C849A8"/>
    <w:rsid w:val="00C84A05"/>
    <w:rsid w:val="00C84A61"/>
    <w:rsid w:val="00C84A62"/>
    <w:rsid w:val="00C84A6B"/>
    <w:rsid w:val="00C84D99"/>
    <w:rsid w:val="00C84E51"/>
    <w:rsid w:val="00C84ED3"/>
    <w:rsid w:val="00C84FAA"/>
    <w:rsid w:val="00C84FC3"/>
    <w:rsid w:val="00C852F2"/>
    <w:rsid w:val="00C854CA"/>
    <w:rsid w:val="00C857DA"/>
    <w:rsid w:val="00C858ED"/>
    <w:rsid w:val="00C85B88"/>
    <w:rsid w:val="00C86088"/>
    <w:rsid w:val="00C8608A"/>
    <w:rsid w:val="00C8613D"/>
    <w:rsid w:val="00C8638C"/>
    <w:rsid w:val="00C863F8"/>
    <w:rsid w:val="00C864DB"/>
    <w:rsid w:val="00C864F7"/>
    <w:rsid w:val="00C86545"/>
    <w:rsid w:val="00C86627"/>
    <w:rsid w:val="00C86695"/>
    <w:rsid w:val="00C867D6"/>
    <w:rsid w:val="00C8698D"/>
    <w:rsid w:val="00C86B34"/>
    <w:rsid w:val="00C86BE4"/>
    <w:rsid w:val="00C86BE5"/>
    <w:rsid w:val="00C86D38"/>
    <w:rsid w:val="00C8707C"/>
    <w:rsid w:val="00C872B1"/>
    <w:rsid w:val="00C87390"/>
    <w:rsid w:val="00C874BD"/>
    <w:rsid w:val="00C87513"/>
    <w:rsid w:val="00C87546"/>
    <w:rsid w:val="00C875A8"/>
    <w:rsid w:val="00C876F2"/>
    <w:rsid w:val="00C87818"/>
    <w:rsid w:val="00C87AFD"/>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AFB"/>
    <w:rsid w:val="00C91B2E"/>
    <w:rsid w:val="00C91BFA"/>
    <w:rsid w:val="00C91CF9"/>
    <w:rsid w:val="00C9205F"/>
    <w:rsid w:val="00C920EF"/>
    <w:rsid w:val="00C9210C"/>
    <w:rsid w:val="00C9223B"/>
    <w:rsid w:val="00C92348"/>
    <w:rsid w:val="00C92474"/>
    <w:rsid w:val="00C925CB"/>
    <w:rsid w:val="00C926D3"/>
    <w:rsid w:val="00C92710"/>
    <w:rsid w:val="00C927BB"/>
    <w:rsid w:val="00C92843"/>
    <w:rsid w:val="00C9294C"/>
    <w:rsid w:val="00C9295F"/>
    <w:rsid w:val="00C92989"/>
    <w:rsid w:val="00C929CF"/>
    <w:rsid w:val="00C92A3C"/>
    <w:rsid w:val="00C92C7D"/>
    <w:rsid w:val="00C92CCF"/>
    <w:rsid w:val="00C92D95"/>
    <w:rsid w:val="00C9305C"/>
    <w:rsid w:val="00C930FC"/>
    <w:rsid w:val="00C93137"/>
    <w:rsid w:val="00C931F9"/>
    <w:rsid w:val="00C933F0"/>
    <w:rsid w:val="00C93560"/>
    <w:rsid w:val="00C935D8"/>
    <w:rsid w:val="00C9361B"/>
    <w:rsid w:val="00C93870"/>
    <w:rsid w:val="00C93A90"/>
    <w:rsid w:val="00C93CB3"/>
    <w:rsid w:val="00C93D44"/>
    <w:rsid w:val="00C93DC4"/>
    <w:rsid w:val="00C93F71"/>
    <w:rsid w:val="00C942B0"/>
    <w:rsid w:val="00C943A0"/>
    <w:rsid w:val="00C944A5"/>
    <w:rsid w:val="00C94566"/>
    <w:rsid w:val="00C945CE"/>
    <w:rsid w:val="00C9462D"/>
    <w:rsid w:val="00C946C4"/>
    <w:rsid w:val="00C94700"/>
    <w:rsid w:val="00C94798"/>
    <w:rsid w:val="00C94CF1"/>
    <w:rsid w:val="00C94D52"/>
    <w:rsid w:val="00C94DD7"/>
    <w:rsid w:val="00C94F67"/>
    <w:rsid w:val="00C94FA0"/>
    <w:rsid w:val="00C9516B"/>
    <w:rsid w:val="00C952F5"/>
    <w:rsid w:val="00C95529"/>
    <w:rsid w:val="00C9570E"/>
    <w:rsid w:val="00C9571B"/>
    <w:rsid w:val="00C95737"/>
    <w:rsid w:val="00C957E3"/>
    <w:rsid w:val="00C95ACE"/>
    <w:rsid w:val="00C95B3D"/>
    <w:rsid w:val="00C95C96"/>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323"/>
    <w:rsid w:val="00C97626"/>
    <w:rsid w:val="00C976E4"/>
    <w:rsid w:val="00C97B25"/>
    <w:rsid w:val="00C97BF0"/>
    <w:rsid w:val="00C97C1A"/>
    <w:rsid w:val="00C97E58"/>
    <w:rsid w:val="00C97EBF"/>
    <w:rsid w:val="00CA03F7"/>
    <w:rsid w:val="00CA04BD"/>
    <w:rsid w:val="00CA04C4"/>
    <w:rsid w:val="00CA0519"/>
    <w:rsid w:val="00CA051D"/>
    <w:rsid w:val="00CA057C"/>
    <w:rsid w:val="00CA05F9"/>
    <w:rsid w:val="00CA0879"/>
    <w:rsid w:val="00CA089A"/>
    <w:rsid w:val="00CA09A1"/>
    <w:rsid w:val="00CA0EA9"/>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3BD"/>
    <w:rsid w:val="00CA3468"/>
    <w:rsid w:val="00CA3764"/>
    <w:rsid w:val="00CA3775"/>
    <w:rsid w:val="00CA380E"/>
    <w:rsid w:val="00CA39EC"/>
    <w:rsid w:val="00CA3AFB"/>
    <w:rsid w:val="00CA3BD0"/>
    <w:rsid w:val="00CA3C6C"/>
    <w:rsid w:val="00CA3C79"/>
    <w:rsid w:val="00CA3D1A"/>
    <w:rsid w:val="00CA3DA4"/>
    <w:rsid w:val="00CA3F25"/>
    <w:rsid w:val="00CA425C"/>
    <w:rsid w:val="00CA44FB"/>
    <w:rsid w:val="00CA450E"/>
    <w:rsid w:val="00CA45DB"/>
    <w:rsid w:val="00CA462E"/>
    <w:rsid w:val="00CA47CD"/>
    <w:rsid w:val="00CA47D4"/>
    <w:rsid w:val="00CA4801"/>
    <w:rsid w:val="00CA48CE"/>
    <w:rsid w:val="00CA4B4D"/>
    <w:rsid w:val="00CA4C23"/>
    <w:rsid w:val="00CA4D1C"/>
    <w:rsid w:val="00CA4F85"/>
    <w:rsid w:val="00CA536D"/>
    <w:rsid w:val="00CA550F"/>
    <w:rsid w:val="00CA55BB"/>
    <w:rsid w:val="00CA57C8"/>
    <w:rsid w:val="00CA57D3"/>
    <w:rsid w:val="00CA57F7"/>
    <w:rsid w:val="00CA590E"/>
    <w:rsid w:val="00CA5913"/>
    <w:rsid w:val="00CA59B9"/>
    <w:rsid w:val="00CA5A81"/>
    <w:rsid w:val="00CA5ACF"/>
    <w:rsid w:val="00CA5BDC"/>
    <w:rsid w:val="00CA5C30"/>
    <w:rsid w:val="00CA6015"/>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7B2"/>
    <w:rsid w:val="00CA79F6"/>
    <w:rsid w:val="00CA7BB6"/>
    <w:rsid w:val="00CB0071"/>
    <w:rsid w:val="00CB0316"/>
    <w:rsid w:val="00CB0806"/>
    <w:rsid w:val="00CB0A04"/>
    <w:rsid w:val="00CB0A32"/>
    <w:rsid w:val="00CB0C1E"/>
    <w:rsid w:val="00CB0C41"/>
    <w:rsid w:val="00CB0CAE"/>
    <w:rsid w:val="00CB0E26"/>
    <w:rsid w:val="00CB0E34"/>
    <w:rsid w:val="00CB0EF3"/>
    <w:rsid w:val="00CB100A"/>
    <w:rsid w:val="00CB12C3"/>
    <w:rsid w:val="00CB133F"/>
    <w:rsid w:val="00CB1471"/>
    <w:rsid w:val="00CB14CD"/>
    <w:rsid w:val="00CB15DD"/>
    <w:rsid w:val="00CB160C"/>
    <w:rsid w:val="00CB1774"/>
    <w:rsid w:val="00CB19F5"/>
    <w:rsid w:val="00CB19FE"/>
    <w:rsid w:val="00CB1CF2"/>
    <w:rsid w:val="00CB1E09"/>
    <w:rsid w:val="00CB1E76"/>
    <w:rsid w:val="00CB1F35"/>
    <w:rsid w:val="00CB1FAC"/>
    <w:rsid w:val="00CB21B9"/>
    <w:rsid w:val="00CB21F9"/>
    <w:rsid w:val="00CB23BB"/>
    <w:rsid w:val="00CB2829"/>
    <w:rsid w:val="00CB2972"/>
    <w:rsid w:val="00CB2C61"/>
    <w:rsid w:val="00CB2D8E"/>
    <w:rsid w:val="00CB2E1A"/>
    <w:rsid w:val="00CB2ED0"/>
    <w:rsid w:val="00CB2F36"/>
    <w:rsid w:val="00CB2F42"/>
    <w:rsid w:val="00CB31A3"/>
    <w:rsid w:val="00CB334D"/>
    <w:rsid w:val="00CB3558"/>
    <w:rsid w:val="00CB3564"/>
    <w:rsid w:val="00CB38E9"/>
    <w:rsid w:val="00CB3A18"/>
    <w:rsid w:val="00CB3A93"/>
    <w:rsid w:val="00CB3AD5"/>
    <w:rsid w:val="00CB3C4A"/>
    <w:rsid w:val="00CB3E0E"/>
    <w:rsid w:val="00CB4045"/>
    <w:rsid w:val="00CB40CE"/>
    <w:rsid w:val="00CB40D9"/>
    <w:rsid w:val="00CB42F2"/>
    <w:rsid w:val="00CB4766"/>
    <w:rsid w:val="00CB4846"/>
    <w:rsid w:val="00CB4924"/>
    <w:rsid w:val="00CB497E"/>
    <w:rsid w:val="00CB4A4B"/>
    <w:rsid w:val="00CB4A72"/>
    <w:rsid w:val="00CB4E27"/>
    <w:rsid w:val="00CB4E45"/>
    <w:rsid w:val="00CB4E4F"/>
    <w:rsid w:val="00CB4EE0"/>
    <w:rsid w:val="00CB4FB3"/>
    <w:rsid w:val="00CB504A"/>
    <w:rsid w:val="00CB5277"/>
    <w:rsid w:val="00CB54BC"/>
    <w:rsid w:val="00CB5511"/>
    <w:rsid w:val="00CB5534"/>
    <w:rsid w:val="00CB5738"/>
    <w:rsid w:val="00CB58C8"/>
    <w:rsid w:val="00CB58E1"/>
    <w:rsid w:val="00CB5A7B"/>
    <w:rsid w:val="00CB5D0D"/>
    <w:rsid w:val="00CB612A"/>
    <w:rsid w:val="00CB62CA"/>
    <w:rsid w:val="00CB6342"/>
    <w:rsid w:val="00CB6575"/>
    <w:rsid w:val="00CB65E4"/>
    <w:rsid w:val="00CB65FF"/>
    <w:rsid w:val="00CB6784"/>
    <w:rsid w:val="00CB68BE"/>
    <w:rsid w:val="00CB691E"/>
    <w:rsid w:val="00CB692B"/>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538"/>
    <w:rsid w:val="00CC195B"/>
    <w:rsid w:val="00CC196F"/>
    <w:rsid w:val="00CC1D4D"/>
    <w:rsid w:val="00CC1FAF"/>
    <w:rsid w:val="00CC1FBB"/>
    <w:rsid w:val="00CC2068"/>
    <w:rsid w:val="00CC249D"/>
    <w:rsid w:val="00CC24CF"/>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65"/>
    <w:rsid w:val="00CC3EBF"/>
    <w:rsid w:val="00CC3F3B"/>
    <w:rsid w:val="00CC3F49"/>
    <w:rsid w:val="00CC3FDA"/>
    <w:rsid w:val="00CC3FDC"/>
    <w:rsid w:val="00CC404E"/>
    <w:rsid w:val="00CC40E4"/>
    <w:rsid w:val="00CC43DF"/>
    <w:rsid w:val="00CC4411"/>
    <w:rsid w:val="00CC453A"/>
    <w:rsid w:val="00CC4603"/>
    <w:rsid w:val="00CC4675"/>
    <w:rsid w:val="00CC4746"/>
    <w:rsid w:val="00CC476C"/>
    <w:rsid w:val="00CC47BC"/>
    <w:rsid w:val="00CC492B"/>
    <w:rsid w:val="00CC4BF0"/>
    <w:rsid w:val="00CC4C0E"/>
    <w:rsid w:val="00CC4D23"/>
    <w:rsid w:val="00CC4D6C"/>
    <w:rsid w:val="00CC4E05"/>
    <w:rsid w:val="00CC4E0E"/>
    <w:rsid w:val="00CC4FB3"/>
    <w:rsid w:val="00CC4FD4"/>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16A"/>
    <w:rsid w:val="00CC7313"/>
    <w:rsid w:val="00CC7438"/>
    <w:rsid w:val="00CC7660"/>
    <w:rsid w:val="00CC772E"/>
    <w:rsid w:val="00CC7767"/>
    <w:rsid w:val="00CC782C"/>
    <w:rsid w:val="00CC78D1"/>
    <w:rsid w:val="00CC78EE"/>
    <w:rsid w:val="00CC79D0"/>
    <w:rsid w:val="00CC7AFF"/>
    <w:rsid w:val="00CC7BBE"/>
    <w:rsid w:val="00CC7BD5"/>
    <w:rsid w:val="00CC7F40"/>
    <w:rsid w:val="00CD03B8"/>
    <w:rsid w:val="00CD0762"/>
    <w:rsid w:val="00CD0C35"/>
    <w:rsid w:val="00CD0FA9"/>
    <w:rsid w:val="00CD0FB3"/>
    <w:rsid w:val="00CD0FE1"/>
    <w:rsid w:val="00CD1031"/>
    <w:rsid w:val="00CD12DF"/>
    <w:rsid w:val="00CD14F1"/>
    <w:rsid w:val="00CD17A4"/>
    <w:rsid w:val="00CD18F2"/>
    <w:rsid w:val="00CD1AE9"/>
    <w:rsid w:val="00CD1BF0"/>
    <w:rsid w:val="00CD1E5A"/>
    <w:rsid w:val="00CD1E63"/>
    <w:rsid w:val="00CD213C"/>
    <w:rsid w:val="00CD2171"/>
    <w:rsid w:val="00CD22B0"/>
    <w:rsid w:val="00CD236D"/>
    <w:rsid w:val="00CD2544"/>
    <w:rsid w:val="00CD288E"/>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577"/>
    <w:rsid w:val="00CD562B"/>
    <w:rsid w:val="00CD569C"/>
    <w:rsid w:val="00CD5793"/>
    <w:rsid w:val="00CD583A"/>
    <w:rsid w:val="00CD58F7"/>
    <w:rsid w:val="00CD59C9"/>
    <w:rsid w:val="00CD5A4A"/>
    <w:rsid w:val="00CD5B0A"/>
    <w:rsid w:val="00CD5CDD"/>
    <w:rsid w:val="00CD5D97"/>
    <w:rsid w:val="00CD5E13"/>
    <w:rsid w:val="00CD6034"/>
    <w:rsid w:val="00CD6049"/>
    <w:rsid w:val="00CD6063"/>
    <w:rsid w:val="00CD60A0"/>
    <w:rsid w:val="00CD60BD"/>
    <w:rsid w:val="00CD643E"/>
    <w:rsid w:val="00CD658B"/>
    <w:rsid w:val="00CD65F1"/>
    <w:rsid w:val="00CD6639"/>
    <w:rsid w:val="00CD68C4"/>
    <w:rsid w:val="00CD698B"/>
    <w:rsid w:val="00CD6A3B"/>
    <w:rsid w:val="00CD6A50"/>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3F1"/>
    <w:rsid w:val="00CE0578"/>
    <w:rsid w:val="00CE066B"/>
    <w:rsid w:val="00CE07EC"/>
    <w:rsid w:val="00CE088D"/>
    <w:rsid w:val="00CE08F9"/>
    <w:rsid w:val="00CE0A16"/>
    <w:rsid w:val="00CE0ABE"/>
    <w:rsid w:val="00CE0BAC"/>
    <w:rsid w:val="00CE0BF5"/>
    <w:rsid w:val="00CE0CD2"/>
    <w:rsid w:val="00CE0E62"/>
    <w:rsid w:val="00CE115D"/>
    <w:rsid w:val="00CE118A"/>
    <w:rsid w:val="00CE11B5"/>
    <w:rsid w:val="00CE1270"/>
    <w:rsid w:val="00CE128C"/>
    <w:rsid w:val="00CE147E"/>
    <w:rsid w:val="00CE1507"/>
    <w:rsid w:val="00CE1548"/>
    <w:rsid w:val="00CE15CF"/>
    <w:rsid w:val="00CE16C8"/>
    <w:rsid w:val="00CE16D8"/>
    <w:rsid w:val="00CE1877"/>
    <w:rsid w:val="00CE19CD"/>
    <w:rsid w:val="00CE1B83"/>
    <w:rsid w:val="00CE1BAB"/>
    <w:rsid w:val="00CE1C27"/>
    <w:rsid w:val="00CE1E4F"/>
    <w:rsid w:val="00CE20B6"/>
    <w:rsid w:val="00CE20EA"/>
    <w:rsid w:val="00CE20EB"/>
    <w:rsid w:val="00CE218E"/>
    <w:rsid w:val="00CE22D7"/>
    <w:rsid w:val="00CE2353"/>
    <w:rsid w:val="00CE2378"/>
    <w:rsid w:val="00CE238E"/>
    <w:rsid w:val="00CE2406"/>
    <w:rsid w:val="00CE2537"/>
    <w:rsid w:val="00CE26B7"/>
    <w:rsid w:val="00CE2847"/>
    <w:rsid w:val="00CE29C9"/>
    <w:rsid w:val="00CE29D0"/>
    <w:rsid w:val="00CE2A9F"/>
    <w:rsid w:val="00CE2C13"/>
    <w:rsid w:val="00CE2CF1"/>
    <w:rsid w:val="00CE2DE1"/>
    <w:rsid w:val="00CE2E24"/>
    <w:rsid w:val="00CE2EAF"/>
    <w:rsid w:val="00CE315B"/>
    <w:rsid w:val="00CE3236"/>
    <w:rsid w:val="00CE331D"/>
    <w:rsid w:val="00CE3447"/>
    <w:rsid w:val="00CE3479"/>
    <w:rsid w:val="00CE34B2"/>
    <w:rsid w:val="00CE3568"/>
    <w:rsid w:val="00CE3678"/>
    <w:rsid w:val="00CE36FA"/>
    <w:rsid w:val="00CE36FC"/>
    <w:rsid w:val="00CE3704"/>
    <w:rsid w:val="00CE376E"/>
    <w:rsid w:val="00CE37DB"/>
    <w:rsid w:val="00CE3969"/>
    <w:rsid w:val="00CE39DB"/>
    <w:rsid w:val="00CE3A6B"/>
    <w:rsid w:val="00CE3CF8"/>
    <w:rsid w:val="00CE3EBA"/>
    <w:rsid w:val="00CE3EE2"/>
    <w:rsid w:val="00CE3FA6"/>
    <w:rsid w:val="00CE4101"/>
    <w:rsid w:val="00CE419F"/>
    <w:rsid w:val="00CE4541"/>
    <w:rsid w:val="00CE4635"/>
    <w:rsid w:val="00CE4699"/>
    <w:rsid w:val="00CE493C"/>
    <w:rsid w:val="00CE495E"/>
    <w:rsid w:val="00CE4A58"/>
    <w:rsid w:val="00CE4A97"/>
    <w:rsid w:val="00CE4B31"/>
    <w:rsid w:val="00CE4BD2"/>
    <w:rsid w:val="00CE508D"/>
    <w:rsid w:val="00CE50D3"/>
    <w:rsid w:val="00CE532C"/>
    <w:rsid w:val="00CE54ED"/>
    <w:rsid w:val="00CE55C2"/>
    <w:rsid w:val="00CE55E0"/>
    <w:rsid w:val="00CE57EE"/>
    <w:rsid w:val="00CE5A01"/>
    <w:rsid w:val="00CE5A57"/>
    <w:rsid w:val="00CE5B49"/>
    <w:rsid w:val="00CE5BB4"/>
    <w:rsid w:val="00CE5C11"/>
    <w:rsid w:val="00CE5C36"/>
    <w:rsid w:val="00CE5C56"/>
    <w:rsid w:val="00CE5CB5"/>
    <w:rsid w:val="00CE5DBA"/>
    <w:rsid w:val="00CE5ED3"/>
    <w:rsid w:val="00CE5F90"/>
    <w:rsid w:val="00CE620A"/>
    <w:rsid w:val="00CE6260"/>
    <w:rsid w:val="00CE63C4"/>
    <w:rsid w:val="00CE63F7"/>
    <w:rsid w:val="00CE65F9"/>
    <w:rsid w:val="00CE674F"/>
    <w:rsid w:val="00CE677C"/>
    <w:rsid w:val="00CE677F"/>
    <w:rsid w:val="00CE69FD"/>
    <w:rsid w:val="00CE6A4C"/>
    <w:rsid w:val="00CE6B4D"/>
    <w:rsid w:val="00CE6BF9"/>
    <w:rsid w:val="00CE6CC1"/>
    <w:rsid w:val="00CE6F2A"/>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1D4"/>
    <w:rsid w:val="00CF030A"/>
    <w:rsid w:val="00CF0505"/>
    <w:rsid w:val="00CF056D"/>
    <w:rsid w:val="00CF0701"/>
    <w:rsid w:val="00CF08A2"/>
    <w:rsid w:val="00CF08B4"/>
    <w:rsid w:val="00CF0B9A"/>
    <w:rsid w:val="00CF0C9B"/>
    <w:rsid w:val="00CF0D31"/>
    <w:rsid w:val="00CF0EFE"/>
    <w:rsid w:val="00CF0F3B"/>
    <w:rsid w:val="00CF0FBB"/>
    <w:rsid w:val="00CF0FD6"/>
    <w:rsid w:val="00CF1044"/>
    <w:rsid w:val="00CF1047"/>
    <w:rsid w:val="00CF132D"/>
    <w:rsid w:val="00CF1500"/>
    <w:rsid w:val="00CF16C2"/>
    <w:rsid w:val="00CF18B7"/>
    <w:rsid w:val="00CF1960"/>
    <w:rsid w:val="00CF1A11"/>
    <w:rsid w:val="00CF1B99"/>
    <w:rsid w:val="00CF1BAC"/>
    <w:rsid w:val="00CF1C1E"/>
    <w:rsid w:val="00CF1D0F"/>
    <w:rsid w:val="00CF1FCB"/>
    <w:rsid w:val="00CF1FEE"/>
    <w:rsid w:val="00CF2071"/>
    <w:rsid w:val="00CF20A4"/>
    <w:rsid w:val="00CF2110"/>
    <w:rsid w:val="00CF2124"/>
    <w:rsid w:val="00CF2137"/>
    <w:rsid w:val="00CF217C"/>
    <w:rsid w:val="00CF21AB"/>
    <w:rsid w:val="00CF2249"/>
    <w:rsid w:val="00CF22DF"/>
    <w:rsid w:val="00CF2B8B"/>
    <w:rsid w:val="00CF2E19"/>
    <w:rsid w:val="00CF2FA9"/>
    <w:rsid w:val="00CF2FEB"/>
    <w:rsid w:val="00CF3099"/>
    <w:rsid w:val="00CF317C"/>
    <w:rsid w:val="00CF32D5"/>
    <w:rsid w:val="00CF360A"/>
    <w:rsid w:val="00CF3A2F"/>
    <w:rsid w:val="00CF3C72"/>
    <w:rsid w:val="00CF3F26"/>
    <w:rsid w:val="00CF404F"/>
    <w:rsid w:val="00CF409B"/>
    <w:rsid w:val="00CF40A3"/>
    <w:rsid w:val="00CF42F4"/>
    <w:rsid w:val="00CF4417"/>
    <w:rsid w:val="00CF44A0"/>
    <w:rsid w:val="00CF4541"/>
    <w:rsid w:val="00CF4665"/>
    <w:rsid w:val="00CF4717"/>
    <w:rsid w:val="00CF4761"/>
    <w:rsid w:val="00CF47BD"/>
    <w:rsid w:val="00CF4AEA"/>
    <w:rsid w:val="00CF4B90"/>
    <w:rsid w:val="00CF4D8C"/>
    <w:rsid w:val="00CF4ECC"/>
    <w:rsid w:val="00CF4FD6"/>
    <w:rsid w:val="00CF515A"/>
    <w:rsid w:val="00CF52EB"/>
    <w:rsid w:val="00CF5323"/>
    <w:rsid w:val="00CF53B7"/>
    <w:rsid w:val="00CF53C9"/>
    <w:rsid w:val="00CF53D3"/>
    <w:rsid w:val="00CF54A1"/>
    <w:rsid w:val="00CF54AB"/>
    <w:rsid w:val="00CF55B4"/>
    <w:rsid w:val="00CF599B"/>
    <w:rsid w:val="00CF5E5B"/>
    <w:rsid w:val="00CF5F7D"/>
    <w:rsid w:val="00CF6008"/>
    <w:rsid w:val="00CF601C"/>
    <w:rsid w:val="00CF6433"/>
    <w:rsid w:val="00CF6456"/>
    <w:rsid w:val="00CF64A5"/>
    <w:rsid w:val="00CF6648"/>
    <w:rsid w:val="00CF66A1"/>
    <w:rsid w:val="00CF67A3"/>
    <w:rsid w:val="00CF6A3A"/>
    <w:rsid w:val="00CF6A45"/>
    <w:rsid w:val="00CF6AAA"/>
    <w:rsid w:val="00CF6B42"/>
    <w:rsid w:val="00CF6BAB"/>
    <w:rsid w:val="00CF6CBF"/>
    <w:rsid w:val="00CF6F30"/>
    <w:rsid w:val="00CF7006"/>
    <w:rsid w:val="00CF745D"/>
    <w:rsid w:val="00CF745F"/>
    <w:rsid w:val="00CF7569"/>
    <w:rsid w:val="00CF75B0"/>
    <w:rsid w:val="00CF76D0"/>
    <w:rsid w:val="00CF76F6"/>
    <w:rsid w:val="00CF76F7"/>
    <w:rsid w:val="00CF77AE"/>
    <w:rsid w:val="00CF793D"/>
    <w:rsid w:val="00CF796C"/>
    <w:rsid w:val="00CF79F4"/>
    <w:rsid w:val="00CF7B72"/>
    <w:rsid w:val="00CF7BEB"/>
    <w:rsid w:val="00CF7D04"/>
    <w:rsid w:val="00CF7E91"/>
    <w:rsid w:val="00CF7EA8"/>
    <w:rsid w:val="00CF7F53"/>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39"/>
    <w:rsid w:val="00D018B5"/>
    <w:rsid w:val="00D01978"/>
    <w:rsid w:val="00D01B70"/>
    <w:rsid w:val="00D01D5D"/>
    <w:rsid w:val="00D02279"/>
    <w:rsid w:val="00D022B6"/>
    <w:rsid w:val="00D022EE"/>
    <w:rsid w:val="00D02322"/>
    <w:rsid w:val="00D0234F"/>
    <w:rsid w:val="00D02472"/>
    <w:rsid w:val="00D024ED"/>
    <w:rsid w:val="00D0254A"/>
    <w:rsid w:val="00D02668"/>
    <w:rsid w:val="00D0285E"/>
    <w:rsid w:val="00D0289D"/>
    <w:rsid w:val="00D02927"/>
    <w:rsid w:val="00D029A6"/>
    <w:rsid w:val="00D02A00"/>
    <w:rsid w:val="00D02A11"/>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4C"/>
    <w:rsid w:val="00D03DA1"/>
    <w:rsid w:val="00D03F10"/>
    <w:rsid w:val="00D03F59"/>
    <w:rsid w:val="00D0405A"/>
    <w:rsid w:val="00D04114"/>
    <w:rsid w:val="00D04283"/>
    <w:rsid w:val="00D043C6"/>
    <w:rsid w:val="00D043FA"/>
    <w:rsid w:val="00D04564"/>
    <w:rsid w:val="00D0470A"/>
    <w:rsid w:val="00D047F1"/>
    <w:rsid w:val="00D04810"/>
    <w:rsid w:val="00D04813"/>
    <w:rsid w:val="00D04B5B"/>
    <w:rsid w:val="00D04BB5"/>
    <w:rsid w:val="00D04DE6"/>
    <w:rsid w:val="00D04E33"/>
    <w:rsid w:val="00D04E3D"/>
    <w:rsid w:val="00D04F59"/>
    <w:rsid w:val="00D05121"/>
    <w:rsid w:val="00D05182"/>
    <w:rsid w:val="00D0526E"/>
    <w:rsid w:val="00D052D9"/>
    <w:rsid w:val="00D05555"/>
    <w:rsid w:val="00D055A1"/>
    <w:rsid w:val="00D05654"/>
    <w:rsid w:val="00D057CF"/>
    <w:rsid w:val="00D05ABD"/>
    <w:rsid w:val="00D05C9B"/>
    <w:rsid w:val="00D05CD9"/>
    <w:rsid w:val="00D05E4D"/>
    <w:rsid w:val="00D060FD"/>
    <w:rsid w:val="00D062C8"/>
    <w:rsid w:val="00D0635A"/>
    <w:rsid w:val="00D06488"/>
    <w:rsid w:val="00D064D8"/>
    <w:rsid w:val="00D067FF"/>
    <w:rsid w:val="00D06976"/>
    <w:rsid w:val="00D06A42"/>
    <w:rsid w:val="00D06C91"/>
    <w:rsid w:val="00D06DD0"/>
    <w:rsid w:val="00D06E28"/>
    <w:rsid w:val="00D06EA1"/>
    <w:rsid w:val="00D06EF5"/>
    <w:rsid w:val="00D06F55"/>
    <w:rsid w:val="00D06FCB"/>
    <w:rsid w:val="00D07034"/>
    <w:rsid w:val="00D070A7"/>
    <w:rsid w:val="00D070D3"/>
    <w:rsid w:val="00D07186"/>
    <w:rsid w:val="00D072F8"/>
    <w:rsid w:val="00D0746B"/>
    <w:rsid w:val="00D07719"/>
    <w:rsid w:val="00D0778C"/>
    <w:rsid w:val="00D079C2"/>
    <w:rsid w:val="00D07A81"/>
    <w:rsid w:val="00D07DDE"/>
    <w:rsid w:val="00D07E33"/>
    <w:rsid w:val="00D1004B"/>
    <w:rsid w:val="00D10211"/>
    <w:rsid w:val="00D10561"/>
    <w:rsid w:val="00D107EB"/>
    <w:rsid w:val="00D107F0"/>
    <w:rsid w:val="00D10A5B"/>
    <w:rsid w:val="00D10C93"/>
    <w:rsid w:val="00D10FF1"/>
    <w:rsid w:val="00D111D2"/>
    <w:rsid w:val="00D1131C"/>
    <w:rsid w:val="00D11334"/>
    <w:rsid w:val="00D11434"/>
    <w:rsid w:val="00D114C3"/>
    <w:rsid w:val="00D1157E"/>
    <w:rsid w:val="00D115FE"/>
    <w:rsid w:val="00D1168E"/>
    <w:rsid w:val="00D11820"/>
    <w:rsid w:val="00D118CD"/>
    <w:rsid w:val="00D11D56"/>
    <w:rsid w:val="00D11E9C"/>
    <w:rsid w:val="00D11F74"/>
    <w:rsid w:val="00D11F7E"/>
    <w:rsid w:val="00D11FA3"/>
    <w:rsid w:val="00D12018"/>
    <w:rsid w:val="00D12297"/>
    <w:rsid w:val="00D12314"/>
    <w:rsid w:val="00D12557"/>
    <w:rsid w:val="00D12566"/>
    <w:rsid w:val="00D1271D"/>
    <w:rsid w:val="00D127E3"/>
    <w:rsid w:val="00D130EB"/>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E9A"/>
    <w:rsid w:val="00D14E9E"/>
    <w:rsid w:val="00D14F42"/>
    <w:rsid w:val="00D15011"/>
    <w:rsid w:val="00D152B0"/>
    <w:rsid w:val="00D1554C"/>
    <w:rsid w:val="00D15719"/>
    <w:rsid w:val="00D15EDC"/>
    <w:rsid w:val="00D15F3C"/>
    <w:rsid w:val="00D160ED"/>
    <w:rsid w:val="00D1633A"/>
    <w:rsid w:val="00D1634A"/>
    <w:rsid w:val="00D16884"/>
    <w:rsid w:val="00D169F4"/>
    <w:rsid w:val="00D16A15"/>
    <w:rsid w:val="00D16AA3"/>
    <w:rsid w:val="00D16ACD"/>
    <w:rsid w:val="00D16BCC"/>
    <w:rsid w:val="00D16C03"/>
    <w:rsid w:val="00D17198"/>
    <w:rsid w:val="00D171E3"/>
    <w:rsid w:val="00D172E4"/>
    <w:rsid w:val="00D1733B"/>
    <w:rsid w:val="00D1744E"/>
    <w:rsid w:val="00D1758C"/>
    <w:rsid w:val="00D17715"/>
    <w:rsid w:val="00D1788C"/>
    <w:rsid w:val="00D178D9"/>
    <w:rsid w:val="00D17941"/>
    <w:rsid w:val="00D17A7B"/>
    <w:rsid w:val="00D17C19"/>
    <w:rsid w:val="00D17CCF"/>
    <w:rsid w:val="00D203F3"/>
    <w:rsid w:val="00D20456"/>
    <w:rsid w:val="00D2064C"/>
    <w:rsid w:val="00D2076E"/>
    <w:rsid w:val="00D207B3"/>
    <w:rsid w:val="00D208ED"/>
    <w:rsid w:val="00D20A4C"/>
    <w:rsid w:val="00D20BA2"/>
    <w:rsid w:val="00D20C0F"/>
    <w:rsid w:val="00D20C74"/>
    <w:rsid w:val="00D20C9B"/>
    <w:rsid w:val="00D20F89"/>
    <w:rsid w:val="00D2102E"/>
    <w:rsid w:val="00D210AA"/>
    <w:rsid w:val="00D210BA"/>
    <w:rsid w:val="00D211DE"/>
    <w:rsid w:val="00D21304"/>
    <w:rsid w:val="00D2141F"/>
    <w:rsid w:val="00D21462"/>
    <w:rsid w:val="00D214C5"/>
    <w:rsid w:val="00D216F9"/>
    <w:rsid w:val="00D21A82"/>
    <w:rsid w:val="00D21B9B"/>
    <w:rsid w:val="00D21C2A"/>
    <w:rsid w:val="00D21CC2"/>
    <w:rsid w:val="00D21D0A"/>
    <w:rsid w:val="00D21EE7"/>
    <w:rsid w:val="00D21F16"/>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033"/>
    <w:rsid w:val="00D233D4"/>
    <w:rsid w:val="00D234BF"/>
    <w:rsid w:val="00D235DB"/>
    <w:rsid w:val="00D23875"/>
    <w:rsid w:val="00D23A02"/>
    <w:rsid w:val="00D23A4D"/>
    <w:rsid w:val="00D23A5B"/>
    <w:rsid w:val="00D23AC9"/>
    <w:rsid w:val="00D23B05"/>
    <w:rsid w:val="00D23B5A"/>
    <w:rsid w:val="00D23B9A"/>
    <w:rsid w:val="00D240F2"/>
    <w:rsid w:val="00D241EB"/>
    <w:rsid w:val="00D24667"/>
    <w:rsid w:val="00D246BB"/>
    <w:rsid w:val="00D246BF"/>
    <w:rsid w:val="00D2483B"/>
    <w:rsid w:val="00D2491B"/>
    <w:rsid w:val="00D24990"/>
    <w:rsid w:val="00D24999"/>
    <w:rsid w:val="00D249DE"/>
    <w:rsid w:val="00D24A34"/>
    <w:rsid w:val="00D24A7F"/>
    <w:rsid w:val="00D24AAE"/>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8B1"/>
    <w:rsid w:val="00D25966"/>
    <w:rsid w:val="00D25C09"/>
    <w:rsid w:val="00D25D74"/>
    <w:rsid w:val="00D261E9"/>
    <w:rsid w:val="00D26209"/>
    <w:rsid w:val="00D26553"/>
    <w:rsid w:val="00D26584"/>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060"/>
    <w:rsid w:val="00D31316"/>
    <w:rsid w:val="00D31332"/>
    <w:rsid w:val="00D31345"/>
    <w:rsid w:val="00D31352"/>
    <w:rsid w:val="00D314B4"/>
    <w:rsid w:val="00D317F5"/>
    <w:rsid w:val="00D31A3C"/>
    <w:rsid w:val="00D31AB5"/>
    <w:rsid w:val="00D31B3E"/>
    <w:rsid w:val="00D31C38"/>
    <w:rsid w:val="00D31CFF"/>
    <w:rsid w:val="00D31DC2"/>
    <w:rsid w:val="00D31F77"/>
    <w:rsid w:val="00D32110"/>
    <w:rsid w:val="00D32148"/>
    <w:rsid w:val="00D321E4"/>
    <w:rsid w:val="00D321EF"/>
    <w:rsid w:val="00D323CC"/>
    <w:rsid w:val="00D32411"/>
    <w:rsid w:val="00D32479"/>
    <w:rsid w:val="00D3248C"/>
    <w:rsid w:val="00D3270E"/>
    <w:rsid w:val="00D3293B"/>
    <w:rsid w:val="00D32AB7"/>
    <w:rsid w:val="00D32B20"/>
    <w:rsid w:val="00D32B44"/>
    <w:rsid w:val="00D32B70"/>
    <w:rsid w:val="00D32C07"/>
    <w:rsid w:val="00D32C5C"/>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934"/>
    <w:rsid w:val="00D33A0B"/>
    <w:rsid w:val="00D33AD4"/>
    <w:rsid w:val="00D33B44"/>
    <w:rsid w:val="00D33D0A"/>
    <w:rsid w:val="00D33D3B"/>
    <w:rsid w:val="00D33E9E"/>
    <w:rsid w:val="00D33F00"/>
    <w:rsid w:val="00D33FB5"/>
    <w:rsid w:val="00D34141"/>
    <w:rsid w:val="00D34144"/>
    <w:rsid w:val="00D341D4"/>
    <w:rsid w:val="00D341E5"/>
    <w:rsid w:val="00D34279"/>
    <w:rsid w:val="00D34280"/>
    <w:rsid w:val="00D34522"/>
    <w:rsid w:val="00D34722"/>
    <w:rsid w:val="00D347F7"/>
    <w:rsid w:val="00D3485A"/>
    <w:rsid w:val="00D34942"/>
    <w:rsid w:val="00D349D1"/>
    <w:rsid w:val="00D34ACF"/>
    <w:rsid w:val="00D34C52"/>
    <w:rsid w:val="00D3506D"/>
    <w:rsid w:val="00D351AB"/>
    <w:rsid w:val="00D351D3"/>
    <w:rsid w:val="00D352D2"/>
    <w:rsid w:val="00D353A4"/>
    <w:rsid w:val="00D35597"/>
    <w:rsid w:val="00D355A2"/>
    <w:rsid w:val="00D355B3"/>
    <w:rsid w:val="00D35620"/>
    <w:rsid w:val="00D3562D"/>
    <w:rsid w:val="00D357D4"/>
    <w:rsid w:val="00D357D7"/>
    <w:rsid w:val="00D35998"/>
    <w:rsid w:val="00D35B05"/>
    <w:rsid w:val="00D35D11"/>
    <w:rsid w:val="00D35ED7"/>
    <w:rsid w:val="00D35F3F"/>
    <w:rsid w:val="00D35FD9"/>
    <w:rsid w:val="00D35FFA"/>
    <w:rsid w:val="00D36064"/>
    <w:rsid w:val="00D361B9"/>
    <w:rsid w:val="00D361F0"/>
    <w:rsid w:val="00D362C0"/>
    <w:rsid w:val="00D363A5"/>
    <w:rsid w:val="00D36608"/>
    <w:rsid w:val="00D36668"/>
    <w:rsid w:val="00D36A2B"/>
    <w:rsid w:val="00D36B17"/>
    <w:rsid w:val="00D36C29"/>
    <w:rsid w:val="00D36CAA"/>
    <w:rsid w:val="00D36D04"/>
    <w:rsid w:val="00D36DB2"/>
    <w:rsid w:val="00D36DB4"/>
    <w:rsid w:val="00D36DDD"/>
    <w:rsid w:val="00D37054"/>
    <w:rsid w:val="00D37202"/>
    <w:rsid w:val="00D3720A"/>
    <w:rsid w:val="00D3726F"/>
    <w:rsid w:val="00D372AF"/>
    <w:rsid w:val="00D372EB"/>
    <w:rsid w:val="00D374A2"/>
    <w:rsid w:val="00D37745"/>
    <w:rsid w:val="00D377DD"/>
    <w:rsid w:val="00D377EC"/>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04"/>
    <w:rsid w:val="00D40E4E"/>
    <w:rsid w:val="00D412CA"/>
    <w:rsid w:val="00D4166C"/>
    <w:rsid w:val="00D41702"/>
    <w:rsid w:val="00D41709"/>
    <w:rsid w:val="00D41762"/>
    <w:rsid w:val="00D4178B"/>
    <w:rsid w:val="00D417E6"/>
    <w:rsid w:val="00D41935"/>
    <w:rsid w:val="00D41B0A"/>
    <w:rsid w:val="00D41BC5"/>
    <w:rsid w:val="00D41C0B"/>
    <w:rsid w:val="00D41ED4"/>
    <w:rsid w:val="00D41EE9"/>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576"/>
    <w:rsid w:val="00D435FA"/>
    <w:rsid w:val="00D4368A"/>
    <w:rsid w:val="00D43A16"/>
    <w:rsid w:val="00D43AAD"/>
    <w:rsid w:val="00D43BAA"/>
    <w:rsid w:val="00D43C0C"/>
    <w:rsid w:val="00D43C82"/>
    <w:rsid w:val="00D43D56"/>
    <w:rsid w:val="00D43E0E"/>
    <w:rsid w:val="00D43F88"/>
    <w:rsid w:val="00D4418B"/>
    <w:rsid w:val="00D44227"/>
    <w:rsid w:val="00D442C6"/>
    <w:rsid w:val="00D44393"/>
    <w:rsid w:val="00D44438"/>
    <w:rsid w:val="00D444A6"/>
    <w:rsid w:val="00D44622"/>
    <w:rsid w:val="00D44683"/>
    <w:rsid w:val="00D448D5"/>
    <w:rsid w:val="00D448D6"/>
    <w:rsid w:val="00D448F9"/>
    <w:rsid w:val="00D44939"/>
    <w:rsid w:val="00D449B0"/>
    <w:rsid w:val="00D44A77"/>
    <w:rsid w:val="00D44B9F"/>
    <w:rsid w:val="00D44C65"/>
    <w:rsid w:val="00D44CA7"/>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AFD"/>
    <w:rsid w:val="00D46B99"/>
    <w:rsid w:val="00D46DD8"/>
    <w:rsid w:val="00D46DE3"/>
    <w:rsid w:val="00D46ED2"/>
    <w:rsid w:val="00D46FE9"/>
    <w:rsid w:val="00D47212"/>
    <w:rsid w:val="00D47268"/>
    <w:rsid w:val="00D47321"/>
    <w:rsid w:val="00D47356"/>
    <w:rsid w:val="00D47408"/>
    <w:rsid w:val="00D4766D"/>
    <w:rsid w:val="00D47947"/>
    <w:rsid w:val="00D479C5"/>
    <w:rsid w:val="00D47BEA"/>
    <w:rsid w:val="00D47D02"/>
    <w:rsid w:val="00D47ED4"/>
    <w:rsid w:val="00D47F0F"/>
    <w:rsid w:val="00D50173"/>
    <w:rsid w:val="00D50447"/>
    <w:rsid w:val="00D50558"/>
    <w:rsid w:val="00D50927"/>
    <w:rsid w:val="00D50AAC"/>
    <w:rsid w:val="00D50AE6"/>
    <w:rsid w:val="00D50B14"/>
    <w:rsid w:val="00D50BAA"/>
    <w:rsid w:val="00D50C72"/>
    <w:rsid w:val="00D50D29"/>
    <w:rsid w:val="00D50D49"/>
    <w:rsid w:val="00D50D62"/>
    <w:rsid w:val="00D50E9A"/>
    <w:rsid w:val="00D5100E"/>
    <w:rsid w:val="00D512DC"/>
    <w:rsid w:val="00D512EA"/>
    <w:rsid w:val="00D51394"/>
    <w:rsid w:val="00D513CE"/>
    <w:rsid w:val="00D5141D"/>
    <w:rsid w:val="00D51531"/>
    <w:rsid w:val="00D515E9"/>
    <w:rsid w:val="00D51A0F"/>
    <w:rsid w:val="00D51B2E"/>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45C"/>
    <w:rsid w:val="00D535A0"/>
    <w:rsid w:val="00D53616"/>
    <w:rsid w:val="00D5377D"/>
    <w:rsid w:val="00D53A54"/>
    <w:rsid w:val="00D53DCE"/>
    <w:rsid w:val="00D53EA6"/>
    <w:rsid w:val="00D53F7D"/>
    <w:rsid w:val="00D54195"/>
    <w:rsid w:val="00D54220"/>
    <w:rsid w:val="00D5424F"/>
    <w:rsid w:val="00D542CB"/>
    <w:rsid w:val="00D54436"/>
    <w:rsid w:val="00D545EB"/>
    <w:rsid w:val="00D546C3"/>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4FF"/>
    <w:rsid w:val="00D565CA"/>
    <w:rsid w:val="00D567C6"/>
    <w:rsid w:val="00D56944"/>
    <w:rsid w:val="00D5697C"/>
    <w:rsid w:val="00D56A3D"/>
    <w:rsid w:val="00D56C58"/>
    <w:rsid w:val="00D56F25"/>
    <w:rsid w:val="00D5700E"/>
    <w:rsid w:val="00D57090"/>
    <w:rsid w:val="00D5718F"/>
    <w:rsid w:val="00D5768A"/>
    <w:rsid w:val="00D577C2"/>
    <w:rsid w:val="00D57AD0"/>
    <w:rsid w:val="00D57BAE"/>
    <w:rsid w:val="00D57BF3"/>
    <w:rsid w:val="00D57C60"/>
    <w:rsid w:val="00D57C63"/>
    <w:rsid w:val="00D57C99"/>
    <w:rsid w:val="00D57CF8"/>
    <w:rsid w:val="00D57DFB"/>
    <w:rsid w:val="00D60042"/>
    <w:rsid w:val="00D60094"/>
    <w:rsid w:val="00D600A6"/>
    <w:rsid w:val="00D601F5"/>
    <w:rsid w:val="00D60251"/>
    <w:rsid w:val="00D6028B"/>
    <w:rsid w:val="00D603E8"/>
    <w:rsid w:val="00D604A4"/>
    <w:rsid w:val="00D604EE"/>
    <w:rsid w:val="00D60507"/>
    <w:rsid w:val="00D60591"/>
    <w:rsid w:val="00D60872"/>
    <w:rsid w:val="00D6094F"/>
    <w:rsid w:val="00D60C53"/>
    <w:rsid w:val="00D60D64"/>
    <w:rsid w:val="00D60D95"/>
    <w:rsid w:val="00D610B3"/>
    <w:rsid w:val="00D611ED"/>
    <w:rsid w:val="00D61301"/>
    <w:rsid w:val="00D6147F"/>
    <w:rsid w:val="00D614E8"/>
    <w:rsid w:val="00D61577"/>
    <w:rsid w:val="00D616D9"/>
    <w:rsid w:val="00D61822"/>
    <w:rsid w:val="00D61940"/>
    <w:rsid w:val="00D61994"/>
    <w:rsid w:val="00D61A0D"/>
    <w:rsid w:val="00D61A62"/>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2F"/>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A6C"/>
    <w:rsid w:val="00D64B33"/>
    <w:rsid w:val="00D64C3F"/>
    <w:rsid w:val="00D64D15"/>
    <w:rsid w:val="00D64DC3"/>
    <w:rsid w:val="00D64DD4"/>
    <w:rsid w:val="00D64F27"/>
    <w:rsid w:val="00D64F3A"/>
    <w:rsid w:val="00D64FE0"/>
    <w:rsid w:val="00D656CD"/>
    <w:rsid w:val="00D65872"/>
    <w:rsid w:val="00D65A2D"/>
    <w:rsid w:val="00D65C4F"/>
    <w:rsid w:val="00D65C72"/>
    <w:rsid w:val="00D65DAA"/>
    <w:rsid w:val="00D65F28"/>
    <w:rsid w:val="00D65F9C"/>
    <w:rsid w:val="00D6682E"/>
    <w:rsid w:val="00D66864"/>
    <w:rsid w:val="00D66A05"/>
    <w:rsid w:val="00D66A35"/>
    <w:rsid w:val="00D66B9E"/>
    <w:rsid w:val="00D66C7F"/>
    <w:rsid w:val="00D66E48"/>
    <w:rsid w:val="00D66EE7"/>
    <w:rsid w:val="00D6718B"/>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69B"/>
    <w:rsid w:val="00D70A31"/>
    <w:rsid w:val="00D70B5B"/>
    <w:rsid w:val="00D70B5F"/>
    <w:rsid w:val="00D70C0C"/>
    <w:rsid w:val="00D70C2F"/>
    <w:rsid w:val="00D70F17"/>
    <w:rsid w:val="00D71094"/>
    <w:rsid w:val="00D7115E"/>
    <w:rsid w:val="00D7120B"/>
    <w:rsid w:val="00D7120C"/>
    <w:rsid w:val="00D715EC"/>
    <w:rsid w:val="00D71619"/>
    <w:rsid w:val="00D71775"/>
    <w:rsid w:val="00D71883"/>
    <w:rsid w:val="00D71A4F"/>
    <w:rsid w:val="00D71CC1"/>
    <w:rsid w:val="00D71CDF"/>
    <w:rsid w:val="00D71D23"/>
    <w:rsid w:val="00D71E07"/>
    <w:rsid w:val="00D7200E"/>
    <w:rsid w:val="00D7219C"/>
    <w:rsid w:val="00D721A5"/>
    <w:rsid w:val="00D721E4"/>
    <w:rsid w:val="00D722A0"/>
    <w:rsid w:val="00D722D4"/>
    <w:rsid w:val="00D72441"/>
    <w:rsid w:val="00D725C0"/>
    <w:rsid w:val="00D72784"/>
    <w:rsid w:val="00D727D0"/>
    <w:rsid w:val="00D727DF"/>
    <w:rsid w:val="00D7282D"/>
    <w:rsid w:val="00D72BB9"/>
    <w:rsid w:val="00D72BE3"/>
    <w:rsid w:val="00D72D26"/>
    <w:rsid w:val="00D72DCF"/>
    <w:rsid w:val="00D72EC6"/>
    <w:rsid w:val="00D72EE5"/>
    <w:rsid w:val="00D72F8F"/>
    <w:rsid w:val="00D731E9"/>
    <w:rsid w:val="00D73257"/>
    <w:rsid w:val="00D73395"/>
    <w:rsid w:val="00D73636"/>
    <w:rsid w:val="00D7381E"/>
    <w:rsid w:val="00D739E5"/>
    <w:rsid w:val="00D73C4F"/>
    <w:rsid w:val="00D73D68"/>
    <w:rsid w:val="00D73FCC"/>
    <w:rsid w:val="00D7400C"/>
    <w:rsid w:val="00D7405F"/>
    <w:rsid w:val="00D741C0"/>
    <w:rsid w:val="00D74320"/>
    <w:rsid w:val="00D7447A"/>
    <w:rsid w:val="00D74784"/>
    <w:rsid w:val="00D7478C"/>
    <w:rsid w:val="00D74A24"/>
    <w:rsid w:val="00D74B73"/>
    <w:rsid w:val="00D74DAE"/>
    <w:rsid w:val="00D74DF0"/>
    <w:rsid w:val="00D74FE3"/>
    <w:rsid w:val="00D75412"/>
    <w:rsid w:val="00D755A1"/>
    <w:rsid w:val="00D7565F"/>
    <w:rsid w:val="00D75715"/>
    <w:rsid w:val="00D75861"/>
    <w:rsid w:val="00D75889"/>
    <w:rsid w:val="00D75A4B"/>
    <w:rsid w:val="00D75A5A"/>
    <w:rsid w:val="00D75B83"/>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35"/>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4EF"/>
    <w:rsid w:val="00D8154C"/>
    <w:rsid w:val="00D8163E"/>
    <w:rsid w:val="00D81678"/>
    <w:rsid w:val="00D81BDE"/>
    <w:rsid w:val="00D81C2D"/>
    <w:rsid w:val="00D81D4B"/>
    <w:rsid w:val="00D81E3F"/>
    <w:rsid w:val="00D81F28"/>
    <w:rsid w:val="00D823E0"/>
    <w:rsid w:val="00D8242E"/>
    <w:rsid w:val="00D82B85"/>
    <w:rsid w:val="00D82B98"/>
    <w:rsid w:val="00D82BB4"/>
    <w:rsid w:val="00D82D86"/>
    <w:rsid w:val="00D82F2A"/>
    <w:rsid w:val="00D82F62"/>
    <w:rsid w:val="00D82FCF"/>
    <w:rsid w:val="00D831DF"/>
    <w:rsid w:val="00D83344"/>
    <w:rsid w:val="00D8336B"/>
    <w:rsid w:val="00D8343B"/>
    <w:rsid w:val="00D8363A"/>
    <w:rsid w:val="00D8364E"/>
    <w:rsid w:val="00D8367F"/>
    <w:rsid w:val="00D837D8"/>
    <w:rsid w:val="00D838D2"/>
    <w:rsid w:val="00D83AFD"/>
    <w:rsid w:val="00D83B2C"/>
    <w:rsid w:val="00D83D1A"/>
    <w:rsid w:val="00D83F29"/>
    <w:rsid w:val="00D84009"/>
    <w:rsid w:val="00D84065"/>
    <w:rsid w:val="00D84122"/>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0AF"/>
    <w:rsid w:val="00D86120"/>
    <w:rsid w:val="00D86311"/>
    <w:rsid w:val="00D865F4"/>
    <w:rsid w:val="00D868C1"/>
    <w:rsid w:val="00D868D1"/>
    <w:rsid w:val="00D869BE"/>
    <w:rsid w:val="00D86A56"/>
    <w:rsid w:val="00D86ADA"/>
    <w:rsid w:val="00D86B99"/>
    <w:rsid w:val="00D86C0B"/>
    <w:rsid w:val="00D86C47"/>
    <w:rsid w:val="00D86FE2"/>
    <w:rsid w:val="00D87009"/>
    <w:rsid w:val="00D87156"/>
    <w:rsid w:val="00D873D9"/>
    <w:rsid w:val="00D8744C"/>
    <w:rsid w:val="00D87473"/>
    <w:rsid w:val="00D874F9"/>
    <w:rsid w:val="00D87591"/>
    <w:rsid w:val="00D878F3"/>
    <w:rsid w:val="00D87A2A"/>
    <w:rsid w:val="00D87A30"/>
    <w:rsid w:val="00D87BE1"/>
    <w:rsid w:val="00D87CF7"/>
    <w:rsid w:val="00D90015"/>
    <w:rsid w:val="00D900BF"/>
    <w:rsid w:val="00D900DE"/>
    <w:rsid w:val="00D901BB"/>
    <w:rsid w:val="00D903D5"/>
    <w:rsid w:val="00D903F0"/>
    <w:rsid w:val="00D9042F"/>
    <w:rsid w:val="00D9061A"/>
    <w:rsid w:val="00D90780"/>
    <w:rsid w:val="00D907B8"/>
    <w:rsid w:val="00D90A63"/>
    <w:rsid w:val="00D90AF9"/>
    <w:rsid w:val="00D90C32"/>
    <w:rsid w:val="00D90C3F"/>
    <w:rsid w:val="00D90DB6"/>
    <w:rsid w:val="00D90E0C"/>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2F48"/>
    <w:rsid w:val="00D92F66"/>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2"/>
    <w:rsid w:val="00D945E5"/>
    <w:rsid w:val="00D94678"/>
    <w:rsid w:val="00D946AE"/>
    <w:rsid w:val="00D948ED"/>
    <w:rsid w:val="00D9497D"/>
    <w:rsid w:val="00D94A8D"/>
    <w:rsid w:val="00D94C94"/>
    <w:rsid w:val="00D950B6"/>
    <w:rsid w:val="00D950BA"/>
    <w:rsid w:val="00D952DE"/>
    <w:rsid w:val="00D954AD"/>
    <w:rsid w:val="00D95957"/>
    <w:rsid w:val="00D959B3"/>
    <w:rsid w:val="00D95A1F"/>
    <w:rsid w:val="00D95AF0"/>
    <w:rsid w:val="00D95C0A"/>
    <w:rsid w:val="00D95C37"/>
    <w:rsid w:val="00D95C80"/>
    <w:rsid w:val="00D95C85"/>
    <w:rsid w:val="00D95C97"/>
    <w:rsid w:val="00D95D76"/>
    <w:rsid w:val="00D95F6A"/>
    <w:rsid w:val="00D961E7"/>
    <w:rsid w:val="00D96272"/>
    <w:rsid w:val="00D9629D"/>
    <w:rsid w:val="00D963AA"/>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97C72"/>
    <w:rsid w:val="00D97CE6"/>
    <w:rsid w:val="00D97E2B"/>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136"/>
    <w:rsid w:val="00DA21E8"/>
    <w:rsid w:val="00DA2205"/>
    <w:rsid w:val="00DA2349"/>
    <w:rsid w:val="00DA23B0"/>
    <w:rsid w:val="00DA23F8"/>
    <w:rsid w:val="00DA2417"/>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1B3"/>
    <w:rsid w:val="00DA420B"/>
    <w:rsid w:val="00DA4451"/>
    <w:rsid w:val="00DA46F7"/>
    <w:rsid w:val="00DA496D"/>
    <w:rsid w:val="00DA49AE"/>
    <w:rsid w:val="00DA4AFE"/>
    <w:rsid w:val="00DA4D26"/>
    <w:rsid w:val="00DA4D6A"/>
    <w:rsid w:val="00DA4E63"/>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16F"/>
    <w:rsid w:val="00DA6264"/>
    <w:rsid w:val="00DA62A0"/>
    <w:rsid w:val="00DA63AF"/>
    <w:rsid w:val="00DA63F5"/>
    <w:rsid w:val="00DA6734"/>
    <w:rsid w:val="00DA67C3"/>
    <w:rsid w:val="00DA690B"/>
    <w:rsid w:val="00DA6A1E"/>
    <w:rsid w:val="00DA6ABC"/>
    <w:rsid w:val="00DA7039"/>
    <w:rsid w:val="00DA7097"/>
    <w:rsid w:val="00DA7173"/>
    <w:rsid w:val="00DA718C"/>
    <w:rsid w:val="00DA71D8"/>
    <w:rsid w:val="00DA7624"/>
    <w:rsid w:val="00DA7652"/>
    <w:rsid w:val="00DA7679"/>
    <w:rsid w:val="00DA76D5"/>
    <w:rsid w:val="00DA7764"/>
    <w:rsid w:val="00DA79D3"/>
    <w:rsid w:val="00DA7A02"/>
    <w:rsid w:val="00DA7AA7"/>
    <w:rsid w:val="00DA7ACE"/>
    <w:rsid w:val="00DA7B36"/>
    <w:rsid w:val="00DA7C5D"/>
    <w:rsid w:val="00DA7E82"/>
    <w:rsid w:val="00DA7EB5"/>
    <w:rsid w:val="00DB01D7"/>
    <w:rsid w:val="00DB0246"/>
    <w:rsid w:val="00DB025A"/>
    <w:rsid w:val="00DB025C"/>
    <w:rsid w:val="00DB0353"/>
    <w:rsid w:val="00DB03D7"/>
    <w:rsid w:val="00DB03FC"/>
    <w:rsid w:val="00DB04BD"/>
    <w:rsid w:val="00DB062E"/>
    <w:rsid w:val="00DB0836"/>
    <w:rsid w:val="00DB0A1B"/>
    <w:rsid w:val="00DB0A4A"/>
    <w:rsid w:val="00DB0EEC"/>
    <w:rsid w:val="00DB0F4B"/>
    <w:rsid w:val="00DB0F8E"/>
    <w:rsid w:val="00DB0FFA"/>
    <w:rsid w:val="00DB13B0"/>
    <w:rsid w:val="00DB146E"/>
    <w:rsid w:val="00DB14B9"/>
    <w:rsid w:val="00DB16B5"/>
    <w:rsid w:val="00DB174E"/>
    <w:rsid w:val="00DB1A07"/>
    <w:rsid w:val="00DB1B8B"/>
    <w:rsid w:val="00DB1CDE"/>
    <w:rsid w:val="00DB1DED"/>
    <w:rsid w:val="00DB1E15"/>
    <w:rsid w:val="00DB20B1"/>
    <w:rsid w:val="00DB20B4"/>
    <w:rsid w:val="00DB20F5"/>
    <w:rsid w:val="00DB21CD"/>
    <w:rsid w:val="00DB2220"/>
    <w:rsid w:val="00DB2224"/>
    <w:rsid w:val="00DB228A"/>
    <w:rsid w:val="00DB22C7"/>
    <w:rsid w:val="00DB23B0"/>
    <w:rsid w:val="00DB2465"/>
    <w:rsid w:val="00DB2476"/>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7AD"/>
    <w:rsid w:val="00DB39D4"/>
    <w:rsid w:val="00DB3A1C"/>
    <w:rsid w:val="00DB3A4E"/>
    <w:rsid w:val="00DB3A9E"/>
    <w:rsid w:val="00DB3AC1"/>
    <w:rsid w:val="00DB3AE4"/>
    <w:rsid w:val="00DB3C25"/>
    <w:rsid w:val="00DB3D56"/>
    <w:rsid w:val="00DB3E7F"/>
    <w:rsid w:val="00DB450C"/>
    <w:rsid w:val="00DB462B"/>
    <w:rsid w:val="00DB4720"/>
    <w:rsid w:val="00DB48AB"/>
    <w:rsid w:val="00DB4992"/>
    <w:rsid w:val="00DB4C48"/>
    <w:rsid w:val="00DB4C69"/>
    <w:rsid w:val="00DB4CA3"/>
    <w:rsid w:val="00DB50BD"/>
    <w:rsid w:val="00DB5234"/>
    <w:rsid w:val="00DB52D1"/>
    <w:rsid w:val="00DB5598"/>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4A3"/>
    <w:rsid w:val="00DB6668"/>
    <w:rsid w:val="00DB6745"/>
    <w:rsid w:val="00DB67DF"/>
    <w:rsid w:val="00DB683B"/>
    <w:rsid w:val="00DB6865"/>
    <w:rsid w:val="00DB68D6"/>
    <w:rsid w:val="00DB6ABA"/>
    <w:rsid w:val="00DB6C36"/>
    <w:rsid w:val="00DB6D3D"/>
    <w:rsid w:val="00DB6D8F"/>
    <w:rsid w:val="00DB6E32"/>
    <w:rsid w:val="00DB6EC8"/>
    <w:rsid w:val="00DB748C"/>
    <w:rsid w:val="00DB762C"/>
    <w:rsid w:val="00DB7854"/>
    <w:rsid w:val="00DB789F"/>
    <w:rsid w:val="00DB7BD5"/>
    <w:rsid w:val="00DB7D7B"/>
    <w:rsid w:val="00DB7E0B"/>
    <w:rsid w:val="00DB7E34"/>
    <w:rsid w:val="00DB7FA8"/>
    <w:rsid w:val="00DC00D3"/>
    <w:rsid w:val="00DC0213"/>
    <w:rsid w:val="00DC0509"/>
    <w:rsid w:val="00DC07FF"/>
    <w:rsid w:val="00DC08B9"/>
    <w:rsid w:val="00DC08E7"/>
    <w:rsid w:val="00DC0A52"/>
    <w:rsid w:val="00DC0A60"/>
    <w:rsid w:val="00DC0CD6"/>
    <w:rsid w:val="00DC0EAE"/>
    <w:rsid w:val="00DC0ED9"/>
    <w:rsid w:val="00DC1022"/>
    <w:rsid w:val="00DC107E"/>
    <w:rsid w:val="00DC10F6"/>
    <w:rsid w:val="00DC114F"/>
    <w:rsid w:val="00DC133A"/>
    <w:rsid w:val="00DC1467"/>
    <w:rsid w:val="00DC15AB"/>
    <w:rsid w:val="00DC15CA"/>
    <w:rsid w:val="00DC1646"/>
    <w:rsid w:val="00DC166E"/>
    <w:rsid w:val="00DC16D1"/>
    <w:rsid w:val="00DC195F"/>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2FA"/>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34"/>
    <w:rsid w:val="00DC54E0"/>
    <w:rsid w:val="00DC57E0"/>
    <w:rsid w:val="00DC5888"/>
    <w:rsid w:val="00DC5D65"/>
    <w:rsid w:val="00DC5D9E"/>
    <w:rsid w:val="00DC5DBD"/>
    <w:rsid w:val="00DC6177"/>
    <w:rsid w:val="00DC62C4"/>
    <w:rsid w:val="00DC63FA"/>
    <w:rsid w:val="00DC6447"/>
    <w:rsid w:val="00DC659F"/>
    <w:rsid w:val="00DC65AA"/>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521"/>
    <w:rsid w:val="00DD0672"/>
    <w:rsid w:val="00DD06C0"/>
    <w:rsid w:val="00DD0718"/>
    <w:rsid w:val="00DD087C"/>
    <w:rsid w:val="00DD0B31"/>
    <w:rsid w:val="00DD0D04"/>
    <w:rsid w:val="00DD0E41"/>
    <w:rsid w:val="00DD0F8D"/>
    <w:rsid w:val="00DD1082"/>
    <w:rsid w:val="00DD12E0"/>
    <w:rsid w:val="00DD177B"/>
    <w:rsid w:val="00DD18AA"/>
    <w:rsid w:val="00DD1A71"/>
    <w:rsid w:val="00DD1AD0"/>
    <w:rsid w:val="00DD1C48"/>
    <w:rsid w:val="00DD1EF8"/>
    <w:rsid w:val="00DD1F2D"/>
    <w:rsid w:val="00DD21B7"/>
    <w:rsid w:val="00DD22E6"/>
    <w:rsid w:val="00DD230F"/>
    <w:rsid w:val="00DD2360"/>
    <w:rsid w:val="00DD243D"/>
    <w:rsid w:val="00DD2497"/>
    <w:rsid w:val="00DD2574"/>
    <w:rsid w:val="00DD2691"/>
    <w:rsid w:val="00DD274A"/>
    <w:rsid w:val="00DD28D1"/>
    <w:rsid w:val="00DD295E"/>
    <w:rsid w:val="00DD2995"/>
    <w:rsid w:val="00DD2BC2"/>
    <w:rsid w:val="00DD2FE5"/>
    <w:rsid w:val="00DD3054"/>
    <w:rsid w:val="00DD3112"/>
    <w:rsid w:val="00DD326E"/>
    <w:rsid w:val="00DD33BA"/>
    <w:rsid w:val="00DD3609"/>
    <w:rsid w:val="00DD36AF"/>
    <w:rsid w:val="00DD3705"/>
    <w:rsid w:val="00DD3733"/>
    <w:rsid w:val="00DD37B9"/>
    <w:rsid w:val="00DD39C4"/>
    <w:rsid w:val="00DD3B11"/>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878"/>
    <w:rsid w:val="00DD498A"/>
    <w:rsid w:val="00DD4BC6"/>
    <w:rsid w:val="00DD4BDF"/>
    <w:rsid w:val="00DD4C08"/>
    <w:rsid w:val="00DD4DCC"/>
    <w:rsid w:val="00DD4EF3"/>
    <w:rsid w:val="00DD5077"/>
    <w:rsid w:val="00DD5148"/>
    <w:rsid w:val="00DD51CD"/>
    <w:rsid w:val="00DD5267"/>
    <w:rsid w:val="00DD526F"/>
    <w:rsid w:val="00DD5318"/>
    <w:rsid w:val="00DD5397"/>
    <w:rsid w:val="00DD55B1"/>
    <w:rsid w:val="00DD5679"/>
    <w:rsid w:val="00DD56E2"/>
    <w:rsid w:val="00DD5A5E"/>
    <w:rsid w:val="00DD5BA9"/>
    <w:rsid w:val="00DD5D79"/>
    <w:rsid w:val="00DD5E7F"/>
    <w:rsid w:val="00DD5EDF"/>
    <w:rsid w:val="00DD5F36"/>
    <w:rsid w:val="00DD6012"/>
    <w:rsid w:val="00DD60A0"/>
    <w:rsid w:val="00DD63D8"/>
    <w:rsid w:val="00DD6491"/>
    <w:rsid w:val="00DD6650"/>
    <w:rsid w:val="00DD66C1"/>
    <w:rsid w:val="00DD6708"/>
    <w:rsid w:val="00DD6849"/>
    <w:rsid w:val="00DD691C"/>
    <w:rsid w:val="00DD6943"/>
    <w:rsid w:val="00DD694A"/>
    <w:rsid w:val="00DD6A3D"/>
    <w:rsid w:val="00DD6B85"/>
    <w:rsid w:val="00DD6CC3"/>
    <w:rsid w:val="00DD70A9"/>
    <w:rsid w:val="00DD7101"/>
    <w:rsid w:val="00DD7117"/>
    <w:rsid w:val="00DD712B"/>
    <w:rsid w:val="00DD73B5"/>
    <w:rsid w:val="00DD758B"/>
    <w:rsid w:val="00DD7631"/>
    <w:rsid w:val="00DD78A4"/>
    <w:rsid w:val="00DD790E"/>
    <w:rsid w:val="00DD7980"/>
    <w:rsid w:val="00DD7BEA"/>
    <w:rsid w:val="00DD7F7B"/>
    <w:rsid w:val="00DD7FB0"/>
    <w:rsid w:val="00DE002E"/>
    <w:rsid w:val="00DE016D"/>
    <w:rsid w:val="00DE0346"/>
    <w:rsid w:val="00DE041D"/>
    <w:rsid w:val="00DE0436"/>
    <w:rsid w:val="00DE04AA"/>
    <w:rsid w:val="00DE051F"/>
    <w:rsid w:val="00DE0621"/>
    <w:rsid w:val="00DE072E"/>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680"/>
    <w:rsid w:val="00DE2819"/>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2FF"/>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9F2"/>
    <w:rsid w:val="00DE5A65"/>
    <w:rsid w:val="00DE5AF3"/>
    <w:rsid w:val="00DE5CBE"/>
    <w:rsid w:val="00DE5DF5"/>
    <w:rsid w:val="00DE5ED8"/>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E7F07"/>
    <w:rsid w:val="00DF0088"/>
    <w:rsid w:val="00DF00D4"/>
    <w:rsid w:val="00DF020D"/>
    <w:rsid w:val="00DF0579"/>
    <w:rsid w:val="00DF0743"/>
    <w:rsid w:val="00DF076B"/>
    <w:rsid w:val="00DF0840"/>
    <w:rsid w:val="00DF08BC"/>
    <w:rsid w:val="00DF0902"/>
    <w:rsid w:val="00DF09FB"/>
    <w:rsid w:val="00DF0CD8"/>
    <w:rsid w:val="00DF0E63"/>
    <w:rsid w:val="00DF0E8C"/>
    <w:rsid w:val="00DF0ED3"/>
    <w:rsid w:val="00DF0F57"/>
    <w:rsid w:val="00DF104F"/>
    <w:rsid w:val="00DF1149"/>
    <w:rsid w:val="00DF1184"/>
    <w:rsid w:val="00DF11E1"/>
    <w:rsid w:val="00DF129D"/>
    <w:rsid w:val="00DF1617"/>
    <w:rsid w:val="00DF16D2"/>
    <w:rsid w:val="00DF1837"/>
    <w:rsid w:val="00DF18D9"/>
    <w:rsid w:val="00DF1A48"/>
    <w:rsid w:val="00DF1C80"/>
    <w:rsid w:val="00DF1CFE"/>
    <w:rsid w:val="00DF2146"/>
    <w:rsid w:val="00DF2192"/>
    <w:rsid w:val="00DF2205"/>
    <w:rsid w:val="00DF22EE"/>
    <w:rsid w:val="00DF2322"/>
    <w:rsid w:val="00DF236E"/>
    <w:rsid w:val="00DF2428"/>
    <w:rsid w:val="00DF2570"/>
    <w:rsid w:val="00DF25AC"/>
    <w:rsid w:val="00DF269A"/>
    <w:rsid w:val="00DF295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059"/>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8DA"/>
    <w:rsid w:val="00DF59A8"/>
    <w:rsid w:val="00DF5BF1"/>
    <w:rsid w:val="00DF5C64"/>
    <w:rsid w:val="00DF5E18"/>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1F7"/>
    <w:rsid w:val="00E003F0"/>
    <w:rsid w:val="00E00462"/>
    <w:rsid w:val="00E00558"/>
    <w:rsid w:val="00E00786"/>
    <w:rsid w:val="00E00931"/>
    <w:rsid w:val="00E00AF1"/>
    <w:rsid w:val="00E00D21"/>
    <w:rsid w:val="00E00EA1"/>
    <w:rsid w:val="00E01204"/>
    <w:rsid w:val="00E013D4"/>
    <w:rsid w:val="00E0140A"/>
    <w:rsid w:val="00E015C4"/>
    <w:rsid w:val="00E017B0"/>
    <w:rsid w:val="00E018E8"/>
    <w:rsid w:val="00E01A06"/>
    <w:rsid w:val="00E01A3A"/>
    <w:rsid w:val="00E01BB3"/>
    <w:rsid w:val="00E01BE4"/>
    <w:rsid w:val="00E01BF9"/>
    <w:rsid w:val="00E01C3F"/>
    <w:rsid w:val="00E01E28"/>
    <w:rsid w:val="00E01FA3"/>
    <w:rsid w:val="00E02240"/>
    <w:rsid w:val="00E02278"/>
    <w:rsid w:val="00E0229B"/>
    <w:rsid w:val="00E0236F"/>
    <w:rsid w:val="00E023AC"/>
    <w:rsid w:val="00E02538"/>
    <w:rsid w:val="00E025BA"/>
    <w:rsid w:val="00E02670"/>
    <w:rsid w:val="00E026F6"/>
    <w:rsid w:val="00E02749"/>
    <w:rsid w:val="00E028DD"/>
    <w:rsid w:val="00E028FE"/>
    <w:rsid w:val="00E02B35"/>
    <w:rsid w:val="00E02C7C"/>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3E6"/>
    <w:rsid w:val="00E04497"/>
    <w:rsid w:val="00E04725"/>
    <w:rsid w:val="00E048F2"/>
    <w:rsid w:val="00E04A99"/>
    <w:rsid w:val="00E04B8F"/>
    <w:rsid w:val="00E04BBB"/>
    <w:rsid w:val="00E04D11"/>
    <w:rsid w:val="00E04D59"/>
    <w:rsid w:val="00E0535A"/>
    <w:rsid w:val="00E05576"/>
    <w:rsid w:val="00E05657"/>
    <w:rsid w:val="00E0597E"/>
    <w:rsid w:val="00E05AB5"/>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1FE"/>
    <w:rsid w:val="00E0729F"/>
    <w:rsid w:val="00E07386"/>
    <w:rsid w:val="00E073CF"/>
    <w:rsid w:val="00E076E5"/>
    <w:rsid w:val="00E07AF2"/>
    <w:rsid w:val="00E07CCA"/>
    <w:rsid w:val="00E07D35"/>
    <w:rsid w:val="00E07E6B"/>
    <w:rsid w:val="00E07EFF"/>
    <w:rsid w:val="00E10076"/>
    <w:rsid w:val="00E10090"/>
    <w:rsid w:val="00E100B7"/>
    <w:rsid w:val="00E1013A"/>
    <w:rsid w:val="00E10198"/>
    <w:rsid w:val="00E101BA"/>
    <w:rsid w:val="00E101E6"/>
    <w:rsid w:val="00E1053B"/>
    <w:rsid w:val="00E1065B"/>
    <w:rsid w:val="00E1081D"/>
    <w:rsid w:val="00E10A16"/>
    <w:rsid w:val="00E10B01"/>
    <w:rsid w:val="00E10B41"/>
    <w:rsid w:val="00E10BF3"/>
    <w:rsid w:val="00E10CAB"/>
    <w:rsid w:val="00E10D0D"/>
    <w:rsid w:val="00E10D21"/>
    <w:rsid w:val="00E10EE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1DC3"/>
    <w:rsid w:val="00E12279"/>
    <w:rsid w:val="00E122AF"/>
    <w:rsid w:val="00E12382"/>
    <w:rsid w:val="00E124C0"/>
    <w:rsid w:val="00E124D7"/>
    <w:rsid w:val="00E12AC7"/>
    <w:rsid w:val="00E12F68"/>
    <w:rsid w:val="00E13262"/>
    <w:rsid w:val="00E13267"/>
    <w:rsid w:val="00E135A9"/>
    <w:rsid w:val="00E13619"/>
    <w:rsid w:val="00E1364A"/>
    <w:rsid w:val="00E136BF"/>
    <w:rsid w:val="00E13745"/>
    <w:rsid w:val="00E138A4"/>
    <w:rsid w:val="00E139ED"/>
    <w:rsid w:val="00E13B8A"/>
    <w:rsid w:val="00E13BBE"/>
    <w:rsid w:val="00E13BBF"/>
    <w:rsid w:val="00E13C4A"/>
    <w:rsid w:val="00E13C4E"/>
    <w:rsid w:val="00E13CA2"/>
    <w:rsid w:val="00E13D24"/>
    <w:rsid w:val="00E13F29"/>
    <w:rsid w:val="00E14003"/>
    <w:rsid w:val="00E14135"/>
    <w:rsid w:val="00E14144"/>
    <w:rsid w:val="00E142E1"/>
    <w:rsid w:val="00E14368"/>
    <w:rsid w:val="00E1437D"/>
    <w:rsid w:val="00E146C6"/>
    <w:rsid w:val="00E147D7"/>
    <w:rsid w:val="00E14BF3"/>
    <w:rsid w:val="00E14D84"/>
    <w:rsid w:val="00E15017"/>
    <w:rsid w:val="00E15158"/>
    <w:rsid w:val="00E15451"/>
    <w:rsid w:val="00E15721"/>
    <w:rsid w:val="00E159E5"/>
    <w:rsid w:val="00E15A89"/>
    <w:rsid w:val="00E15BE1"/>
    <w:rsid w:val="00E15EC4"/>
    <w:rsid w:val="00E15EE0"/>
    <w:rsid w:val="00E16003"/>
    <w:rsid w:val="00E16249"/>
    <w:rsid w:val="00E1629D"/>
    <w:rsid w:val="00E162B8"/>
    <w:rsid w:val="00E162D3"/>
    <w:rsid w:val="00E1644D"/>
    <w:rsid w:val="00E16682"/>
    <w:rsid w:val="00E1670A"/>
    <w:rsid w:val="00E16790"/>
    <w:rsid w:val="00E167D0"/>
    <w:rsid w:val="00E16A50"/>
    <w:rsid w:val="00E16D00"/>
    <w:rsid w:val="00E16F3E"/>
    <w:rsid w:val="00E1702E"/>
    <w:rsid w:val="00E17124"/>
    <w:rsid w:val="00E1725F"/>
    <w:rsid w:val="00E1727C"/>
    <w:rsid w:val="00E17435"/>
    <w:rsid w:val="00E17A38"/>
    <w:rsid w:val="00E17A73"/>
    <w:rsid w:val="00E17AC7"/>
    <w:rsid w:val="00E17BCC"/>
    <w:rsid w:val="00E17D35"/>
    <w:rsid w:val="00E17D99"/>
    <w:rsid w:val="00E17E33"/>
    <w:rsid w:val="00E17E40"/>
    <w:rsid w:val="00E17E84"/>
    <w:rsid w:val="00E201E3"/>
    <w:rsid w:val="00E202D0"/>
    <w:rsid w:val="00E202E1"/>
    <w:rsid w:val="00E2061C"/>
    <w:rsid w:val="00E206A8"/>
    <w:rsid w:val="00E207B0"/>
    <w:rsid w:val="00E20832"/>
    <w:rsid w:val="00E2086B"/>
    <w:rsid w:val="00E208E3"/>
    <w:rsid w:val="00E208FE"/>
    <w:rsid w:val="00E2097C"/>
    <w:rsid w:val="00E209F8"/>
    <w:rsid w:val="00E20D4B"/>
    <w:rsid w:val="00E21016"/>
    <w:rsid w:val="00E210C5"/>
    <w:rsid w:val="00E211FD"/>
    <w:rsid w:val="00E21229"/>
    <w:rsid w:val="00E21316"/>
    <w:rsid w:val="00E2133A"/>
    <w:rsid w:val="00E21357"/>
    <w:rsid w:val="00E213BC"/>
    <w:rsid w:val="00E213D9"/>
    <w:rsid w:val="00E21623"/>
    <w:rsid w:val="00E2185A"/>
    <w:rsid w:val="00E21AE8"/>
    <w:rsid w:val="00E21B16"/>
    <w:rsid w:val="00E21BC1"/>
    <w:rsid w:val="00E21C2B"/>
    <w:rsid w:val="00E21D8F"/>
    <w:rsid w:val="00E21DD5"/>
    <w:rsid w:val="00E21DF2"/>
    <w:rsid w:val="00E21E5C"/>
    <w:rsid w:val="00E21F21"/>
    <w:rsid w:val="00E221B0"/>
    <w:rsid w:val="00E221D7"/>
    <w:rsid w:val="00E222A1"/>
    <w:rsid w:val="00E22347"/>
    <w:rsid w:val="00E2245A"/>
    <w:rsid w:val="00E2248D"/>
    <w:rsid w:val="00E2256F"/>
    <w:rsid w:val="00E227CD"/>
    <w:rsid w:val="00E22864"/>
    <w:rsid w:val="00E2291A"/>
    <w:rsid w:val="00E22AAA"/>
    <w:rsid w:val="00E22C6E"/>
    <w:rsid w:val="00E22CFC"/>
    <w:rsid w:val="00E22D8B"/>
    <w:rsid w:val="00E22EA8"/>
    <w:rsid w:val="00E22EEE"/>
    <w:rsid w:val="00E230AE"/>
    <w:rsid w:val="00E23168"/>
    <w:rsid w:val="00E231DA"/>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5C9"/>
    <w:rsid w:val="00E24685"/>
    <w:rsid w:val="00E24831"/>
    <w:rsid w:val="00E248A6"/>
    <w:rsid w:val="00E24932"/>
    <w:rsid w:val="00E24A7B"/>
    <w:rsid w:val="00E24A9D"/>
    <w:rsid w:val="00E24CD7"/>
    <w:rsid w:val="00E24F39"/>
    <w:rsid w:val="00E250F9"/>
    <w:rsid w:val="00E25111"/>
    <w:rsid w:val="00E251BF"/>
    <w:rsid w:val="00E2530F"/>
    <w:rsid w:val="00E2546F"/>
    <w:rsid w:val="00E25470"/>
    <w:rsid w:val="00E257A6"/>
    <w:rsid w:val="00E25996"/>
    <w:rsid w:val="00E259D1"/>
    <w:rsid w:val="00E25BFC"/>
    <w:rsid w:val="00E25D2F"/>
    <w:rsid w:val="00E260CA"/>
    <w:rsid w:val="00E2610F"/>
    <w:rsid w:val="00E26242"/>
    <w:rsid w:val="00E265A2"/>
    <w:rsid w:val="00E265A4"/>
    <w:rsid w:val="00E265C0"/>
    <w:rsid w:val="00E267EE"/>
    <w:rsid w:val="00E26B32"/>
    <w:rsid w:val="00E26C35"/>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65D"/>
    <w:rsid w:val="00E27946"/>
    <w:rsid w:val="00E27C5C"/>
    <w:rsid w:val="00E27CC3"/>
    <w:rsid w:val="00E27E69"/>
    <w:rsid w:val="00E27EAD"/>
    <w:rsid w:val="00E30045"/>
    <w:rsid w:val="00E300C6"/>
    <w:rsid w:val="00E30144"/>
    <w:rsid w:val="00E301D1"/>
    <w:rsid w:val="00E30261"/>
    <w:rsid w:val="00E302DC"/>
    <w:rsid w:val="00E30328"/>
    <w:rsid w:val="00E303FD"/>
    <w:rsid w:val="00E30427"/>
    <w:rsid w:val="00E3042E"/>
    <w:rsid w:val="00E3045D"/>
    <w:rsid w:val="00E30470"/>
    <w:rsid w:val="00E30692"/>
    <w:rsid w:val="00E307E7"/>
    <w:rsid w:val="00E308E3"/>
    <w:rsid w:val="00E30950"/>
    <w:rsid w:val="00E30996"/>
    <w:rsid w:val="00E309B9"/>
    <w:rsid w:val="00E30C80"/>
    <w:rsid w:val="00E30CAA"/>
    <w:rsid w:val="00E30CFB"/>
    <w:rsid w:val="00E30ECC"/>
    <w:rsid w:val="00E30FBD"/>
    <w:rsid w:val="00E31005"/>
    <w:rsid w:val="00E31139"/>
    <w:rsid w:val="00E31212"/>
    <w:rsid w:val="00E315CA"/>
    <w:rsid w:val="00E3173F"/>
    <w:rsid w:val="00E317C3"/>
    <w:rsid w:val="00E318CA"/>
    <w:rsid w:val="00E31B31"/>
    <w:rsid w:val="00E31BF7"/>
    <w:rsid w:val="00E31C56"/>
    <w:rsid w:val="00E31D90"/>
    <w:rsid w:val="00E31FD4"/>
    <w:rsid w:val="00E320B3"/>
    <w:rsid w:val="00E321D6"/>
    <w:rsid w:val="00E3232A"/>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E5"/>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3DF"/>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BA1"/>
    <w:rsid w:val="00E36C00"/>
    <w:rsid w:val="00E36C2A"/>
    <w:rsid w:val="00E37077"/>
    <w:rsid w:val="00E3709F"/>
    <w:rsid w:val="00E372E0"/>
    <w:rsid w:val="00E37398"/>
    <w:rsid w:val="00E37638"/>
    <w:rsid w:val="00E37646"/>
    <w:rsid w:val="00E377C2"/>
    <w:rsid w:val="00E378B8"/>
    <w:rsid w:val="00E37950"/>
    <w:rsid w:val="00E37A8C"/>
    <w:rsid w:val="00E37AE6"/>
    <w:rsid w:val="00E37B13"/>
    <w:rsid w:val="00E37BF1"/>
    <w:rsid w:val="00E37C68"/>
    <w:rsid w:val="00E37C7A"/>
    <w:rsid w:val="00E37CBE"/>
    <w:rsid w:val="00E37D48"/>
    <w:rsid w:val="00E37D60"/>
    <w:rsid w:val="00E37DAE"/>
    <w:rsid w:val="00E37FB5"/>
    <w:rsid w:val="00E400BC"/>
    <w:rsid w:val="00E4013F"/>
    <w:rsid w:val="00E40567"/>
    <w:rsid w:val="00E40672"/>
    <w:rsid w:val="00E406DB"/>
    <w:rsid w:val="00E406E5"/>
    <w:rsid w:val="00E408AF"/>
    <w:rsid w:val="00E40B1B"/>
    <w:rsid w:val="00E40DB7"/>
    <w:rsid w:val="00E40DC6"/>
    <w:rsid w:val="00E40E2B"/>
    <w:rsid w:val="00E4108C"/>
    <w:rsid w:val="00E41098"/>
    <w:rsid w:val="00E41252"/>
    <w:rsid w:val="00E4128D"/>
    <w:rsid w:val="00E4131D"/>
    <w:rsid w:val="00E41328"/>
    <w:rsid w:val="00E41333"/>
    <w:rsid w:val="00E41397"/>
    <w:rsid w:val="00E4145A"/>
    <w:rsid w:val="00E4148B"/>
    <w:rsid w:val="00E415E0"/>
    <w:rsid w:val="00E41659"/>
    <w:rsid w:val="00E416E8"/>
    <w:rsid w:val="00E4174A"/>
    <w:rsid w:val="00E417D5"/>
    <w:rsid w:val="00E41819"/>
    <w:rsid w:val="00E41850"/>
    <w:rsid w:val="00E41C8F"/>
    <w:rsid w:val="00E41CD8"/>
    <w:rsid w:val="00E41E3A"/>
    <w:rsid w:val="00E420C8"/>
    <w:rsid w:val="00E42148"/>
    <w:rsid w:val="00E42160"/>
    <w:rsid w:val="00E421DA"/>
    <w:rsid w:val="00E42626"/>
    <w:rsid w:val="00E42854"/>
    <w:rsid w:val="00E429FD"/>
    <w:rsid w:val="00E42A36"/>
    <w:rsid w:val="00E42B1D"/>
    <w:rsid w:val="00E42B24"/>
    <w:rsid w:val="00E42BA3"/>
    <w:rsid w:val="00E42DC7"/>
    <w:rsid w:val="00E42F96"/>
    <w:rsid w:val="00E43148"/>
    <w:rsid w:val="00E431CF"/>
    <w:rsid w:val="00E43225"/>
    <w:rsid w:val="00E433CD"/>
    <w:rsid w:val="00E43403"/>
    <w:rsid w:val="00E4341E"/>
    <w:rsid w:val="00E434B6"/>
    <w:rsid w:val="00E43704"/>
    <w:rsid w:val="00E4386C"/>
    <w:rsid w:val="00E43895"/>
    <w:rsid w:val="00E438D3"/>
    <w:rsid w:val="00E43AAA"/>
    <w:rsid w:val="00E43AF6"/>
    <w:rsid w:val="00E43B47"/>
    <w:rsid w:val="00E43C40"/>
    <w:rsid w:val="00E43C4B"/>
    <w:rsid w:val="00E43D22"/>
    <w:rsid w:val="00E43D45"/>
    <w:rsid w:val="00E43DEE"/>
    <w:rsid w:val="00E43F1A"/>
    <w:rsid w:val="00E43F34"/>
    <w:rsid w:val="00E43F7B"/>
    <w:rsid w:val="00E44160"/>
    <w:rsid w:val="00E44245"/>
    <w:rsid w:val="00E44270"/>
    <w:rsid w:val="00E442AB"/>
    <w:rsid w:val="00E44319"/>
    <w:rsid w:val="00E443BD"/>
    <w:rsid w:val="00E443D6"/>
    <w:rsid w:val="00E444A3"/>
    <w:rsid w:val="00E446C1"/>
    <w:rsid w:val="00E4473A"/>
    <w:rsid w:val="00E447C3"/>
    <w:rsid w:val="00E4493A"/>
    <w:rsid w:val="00E44950"/>
    <w:rsid w:val="00E44C41"/>
    <w:rsid w:val="00E44CB6"/>
    <w:rsid w:val="00E44E2F"/>
    <w:rsid w:val="00E44E53"/>
    <w:rsid w:val="00E44E88"/>
    <w:rsid w:val="00E45040"/>
    <w:rsid w:val="00E450B5"/>
    <w:rsid w:val="00E45293"/>
    <w:rsid w:val="00E452CC"/>
    <w:rsid w:val="00E45318"/>
    <w:rsid w:val="00E45392"/>
    <w:rsid w:val="00E45418"/>
    <w:rsid w:val="00E4548C"/>
    <w:rsid w:val="00E457B8"/>
    <w:rsid w:val="00E457CB"/>
    <w:rsid w:val="00E45DC4"/>
    <w:rsid w:val="00E45EBD"/>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4"/>
    <w:rsid w:val="00E479DC"/>
    <w:rsid w:val="00E47AE8"/>
    <w:rsid w:val="00E47BB4"/>
    <w:rsid w:val="00E47D0C"/>
    <w:rsid w:val="00E47DD1"/>
    <w:rsid w:val="00E47E55"/>
    <w:rsid w:val="00E47EA2"/>
    <w:rsid w:val="00E47EBA"/>
    <w:rsid w:val="00E50074"/>
    <w:rsid w:val="00E500C7"/>
    <w:rsid w:val="00E5020C"/>
    <w:rsid w:val="00E50343"/>
    <w:rsid w:val="00E503BD"/>
    <w:rsid w:val="00E50630"/>
    <w:rsid w:val="00E50BD0"/>
    <w:rsid w:val="00E50C2E"/>
    <w:rsid w:val="00E50C5A"/>
    <w:rsid w:val="00E50EA5"/>
    <w:rsid w:val="00E50FF4"/>
    <w:rsid w:val="00E51112"/>
    <w:rsid w:val="00E51234"/>
    <w:rsid w:val="00E512D2"/>
    <w:rsid w:val="00E512FB"/>
    <w:rsid w:val="00E513F8"/>
    <w:rsid w:val="00E51511"/>
    <w:rsid w:val="00E5161A"/>
    <w:rsid w:val="00E5167E"/>
    <w:rsid w:val="00E51C76"/>
    <w:rsid w:val="00E51CA1"/>
    <w:rsid w:val="00E51D7D"/>
    <w:rsid w:val="00E523AA"/>
    <w:rsid w:val="00E523FE"/>
    <w:rsid w:val="00E52497"/>
    <w:rsid w:val="00E52668"/>
    <w:rsid w:val="00E526C0"/>
    <w:rsid w:val="00E52775"/>
    <w:rsid w:val="00E52A69"/>
    <w:rsid w:val="00E52AB7"/>
    <w:rsid w:val="00E52B20"/>
    <w:rsid w:val="00E52B27"/>
    <w:rsid w:val="00E52C08"/>
    <w:rsid w:val="00E52E21"/>
    <w:rsid w:val="00E52EE1"/>
    <w:rsid w:val="00E52F0C"/>
    <w:rsid w:val="00E52F1F"/>
    <w:rsid w:val="00E52FB2"/>
    <w:rsid w:val="00E531E5"/>
    <w:rsid w:val="00E53586"/>
    <w:rsid w:val="00E53725"/>
    <w:rsid w:val="00E53744"/>
    <w:rsid w:val="00E537B1"/>
    <w:rsid w:val="00E5387B"/>
    <w:rsid w:val="00E5393F"/>
    <w:rsid w:val="00E539EF"/>
    <w:rsid w:val="00E53AF9"/>
    <w:rsid w:val="00E53B2B"/>
    <w:rsid w:val="00E53B51"/>
    <w:rsid w:val="00E53C57"/>
    <w:rsid w:val="00E53EEC"/>
    <w:rsid w:val="00E53F81"/>
    <w:rsid w:val="00E54157"/>
    <w:rsid w:val="00E54224"/>
    <w:rsid w:val="00E542FF"/>
    <w:rsid w:val="00E543FF"/>
    <w:rsid w:val="00E5442B"/>
    <w:rsid w:val="00E54467"/>
    <w:rsid w:val="00E54860"/>
    <w:rsid w:val="00E54B22"/>
    <w:rsid w:val="00E54B34"/>
    <w:rsid w:val="00E54CA1"/>
    <w:rsid w:val="00E54CC8"/>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2B8"/>
    <w:rsid w:val="00E574F3"/>
    <w:rsid w:val="00E5750C"/>
    <w:rsid w:val="00E575E0"/>
    <w:rsid w:val="00E5781C"/>
    <w:rsid w:val="00E57C55"/>
    <w:rsid w:val="00E57CB1"/>
    <w:rsid w:val="00E57CC1"/>
    <w:rsid w:val="00E57CD8"/>
    <w:rsid w:val="00E57D36"/>
    <w:rsid w:val="00E57E41"/>
    <w:rsid w:val="00E57E9B"/>
    <w:rsid w:val="00E57EA5"/>
    <w:rsid w:val="00E60166"/>
    <w:rsid w:val="00E601AF"/>
    <w:rsid w:val="00E60331"/>
    <w:rsid w:val="00E605B5"/>
    <w:rsid w:val="00E60631"/>
    <w:rsid w:val="00E6063E"/>
    <w:rsid w:val="00E608D6"/>
    <w:rsid w:val="00E60960"/>
    <w:rsid w:val="00E60BF9"/>
    <w:rsid w:val="00E60CEB"/>
    <w:rsid w:val="00E60E99"/>
    <w:rsid w:val="00E61901"/>
    <w:rsid w:val="00E61AF0"/>
    <w:rsid w:val="00E61BFC"/>
    <w:rsid w:val="00E61E00"/>
    <w:rsid w:val="00E61E66"/>
    <w:rsid w:val="00E6204B"/>
    <w:rsid w:val="00E620A2"/>
    <w:rsid w:val="00E620C9"/>
    <w:rsid w:val="00E620F5"/>
    <w:rsid w:val="00E621E9"/>
    <w:rsid w:val="00E624D9"/>
    <w:rsid w:val="00E62579"/>
    <w:rsid w:val="00E625A0"/>
    <w:rsid w:val="00E62655"/>
    <w:rsid w:val="00E627C6"/>
    <w:rsid w:val="00E62AC6"/>
    <w:rsid w:val="00E62BDD"/>
    <w:rsid w:val="00E62BEC"/>
    <w:rsid w:val="00E62DA4"/>
    <w:rsid w:val="00E62DEF"/>
    <w:rsid w:val="00E62EA8"/>
    <w:rsid w:val="00E62F72"/>
    <w:rsid w:val="00E6340D"/>
    <w:rsid w:val="00E6346E"/>
    <w:rsid w:val="00E634CD"/>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775"/>
    <w:rsid w:val="00E6479E"/>
    <w:rsid w:val="00E64ACE"/>
    <w:rsid w:val="00E64C80"/>
    <w:rsid w:val="00E64C8D"/>
    <w:rsid w:val="00E64CEC"/>
    <w:rsid w:val="00E64DE8"/>
    <w:rsid w:val="00E64E19"/>
    <w:rsid w:val="00E64E45"/>
    <w:rsid w:val="00E64EC5"/>
    <w:rsid w:val="00E64F60"/>
    <w:rsid w:val="00E6541B"/>
    <w:rsid w:val="00E65686"/>
    <w:rsid w:val="00E658DB"/>
    <w:rsid w:val="00E65A3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6DF1"/>
    <w:rsid w:val="00E66F7F"/>
    <w:rsid w:val="00E6704A"/>
    <w:rsid w:val="00E6708D"/>
    <w:rsid w:val="00E670A9"/>
    <w:rsid w:val="00E6718E"/>
    <w:rsid w:val="00E67260"/>
    <w:rsid w:val="00E6736F"/>
    <w:rsid w:val="00E67551"/>
    <w:rsid w:val="00E6757F"/>
    <w:rsid w:val="00E675FE"/>
    <w:rsid w:val="00E6786A"/>
    <w:rsid w:val="00E678B9"/>
    <w:rsid w:val="00E67AC7"/>
    <w:rsid w:val="00E67ADD"/>
    <w:rsid w:val="00E67BEB"/>
    <w:rsid w:val="00E67C61"/>
    <w:rsid w:val="00E67E1E"/>
    <w:rsid w:val="00E67E6E"/>
    <w:rsid w:val="00E7006E"/>
    <w:rsid w:val="00E7011C"/>
    <w:rsid w:val="00E702F9"/>
    <w:rsid w:val="00E705CA"/>
    <w:rsid w:val="00E705F5"/>
    <w:rsid w:val="00E70615"/>
    <w:rsid w:val="00E7066B"/>
    <w:rsid w:val="00E706F2"/>
    <w:rsid w:val="00E70725"/>
    <w:rsid w:val="00E707E4"/>
    <w:rsid w:val="00E7082B"/>
    <w:rsid w:val="00E70888"/>
    <w:rsid w:val="00E7095A"/>
    <w:rsid w:val="00E70A0A"/>
    <w:rsid w:val="00E70AE2"/>
    <w:rsid w:val="00E70B0D"/>
    <w:rsid w:val="00E70B45"/>
    <w:rsid w:val="00E70D7B"/>
    <w:rsid w:val="00E70DA1"/>
    <w:rsid w:val="00E71289"/>
    <w:rsid w:val="00E71391"/>
    <w:rsid w:val="00E71586"/>
    <w:rsid w:val="00E719C7"/>
    <w:rsid w:val="00E719E1"/>
    <w:rsid w:val="00E71EC1"/>
    <w:rsid w:val="00E721FA"/>
    <w:rsid w:val="00E72332"/>
    <w:rsid w:val="00E723CC"/>
    <w:rsid w:val="00E72413"/>
    <w:rsid w:val="00E7244E"/>
    <w:rsid w:val="00E725CF"/>
    <w:rsid w:val="00E725DB"/>
    <w:rsid w:val="00E72746"/>
    <w:rsid w:val="00E72758"/>
    <w:rsid w:val="00E7277F"/>
    <w:rsid w:val="00E727F7"/>
    <w:rsid w:val="00E7286C"/>
    <w:rsid w:val="00E72906"/>
    <w:rsid w:val="00E7298D"/>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26D"/>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39"/>
    <w:rsid w:val="00E75B75"/>
    <w:rsid w:val="00E75BB4"/>
    <w:rsid w:val="00E75D6C"/>
    <w:rsid w:val="00E75E28"/>
    <w:rsid w:val="00E760A4"/>
    <w:rsid w:val="00E763E2"/>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2D"/>
    <w:rsid w:val="00E77F50"/>
    <w:rsid w:val="00E80073"/>
    <w:rsid w:val="00E8014C"/>
    <w:rsid w:val="00E802B3"/>
    <w:rsid w:val="00E8035A"/>
    <w:rsid w:val="00E803FE"/>
    <w:rsid w:val="00E8044A"/>
    <w:rsid w:val="00E80752"/>
    <w:rsid w:val="00E808A1"/>
    <w:rsid w:val="00E809A5"/>
    <w:rsid w:val="00E809D1"/>
    <w:rsid w:val="00E809EE"/>
    <w:rsid w:val="00E80A58"/>
    <w:rsid w:val="00E80B21"/>
    <w:rsid w:val="00E80EAD"/>
    <w:rsid w:val="00E812D3"/>
    <w:rsid w:val="00E812DC"/>
    <w:rsid w:val="00E812ED"/>
    <w:rsid w:val="00E8134E"/>
    <w:rsid w:val="00E81514"/>
    <w:rsid w:val="00E816BE"/>
    <w:rsid w:val="00E81720"/>
    <w:rsid w:val="00E81744"/>
    <w:rsid w:val="00E81840"/>
    <w:rsid w:val="00E81955"/>
    <w:rsid w:val="00E81A57"/>
    <w:rsid w:val="00E81B81"/>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BF"/>
    <w:rsid w:val="00E82AFD"/>
    <w:rsid w:val="00E82B1C"/>
    <w:rsid w:val="00E82B26"/>
    <w:rsid w:val="00E82CB8"/>
    <w:rsid w:val="00E82F40"/>
    <w:rsid w:val="00E83295"/>
    <w:rsid w:val="00E832D0"/>
    <w:rsid w:val="00E832F6"/>
    <w:rsid w:val="00E83323"/>
    <w:rsid w:val="00E83704"/>
    <w:rsid w:val="00E83A1E"/>
    <w:rsid w:val="00E83A7A"/>
    <w:rsid w:val="00E83B11"/>
    <w:rsid w:val="00E83BC5"/>
    <w:rsid w:val="00E83C5C"/>
    <w:rsid w:val="00E83D01"/>
    <w:rsid w:val="00E83D88"/>
    <w:rsid w:val="00E83EEE"/>
    <w:rsid w:val="00E83F42"/>
    <w:rsid w:val="00E83FD7"/>
    <w:rsid w:val="00E8401F"/>
    <w:rsid w:val="00E840D1"/>
    <w:rsid w:val="00E840DC"/>
    <w:rsid w:val="00E84220"/>
    <w:rsid w:val="00E842A8"/>
    <w:rsid w:val="00E84648"/>
    <w:rsid w:val="00E846CA"/>
    <w:rsid w:val="00E84779"/>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48C"/>
    <w:rsid w:val="00E8556C"/>
    <w:rsid w:val="00E8559B"/>
    <w:rsid w:val="00E85649"/>
    <w:rsid w:val="00E858A7"/>
    <w:rsid w:val="00E85CB3"/>
    <w:rsid w:val="00E85D5F"/>
    <w:rsid w:val="00E85EBC"/>
    <w:rsid w:val="00E86240"/>
    <w:rsid w:val="00E863CA"/>
    <w:rsid w:val="00E864EB"/>
    <w:rsid w:val="00E8667D"/>
    <w:rsid w:val="00E8678D"/>
    <w:rsid w:val="00E867E5"/>
    <w:rsid w:val="00E86AC4"/>
    <w:rsid w:val="00E8728E"/>
    <w:rsid w:val="00E87654"/>
    <w:rsid w:val="00E8767D"/>
    <w:rsid w:val="00E87A21"/>
    <w:rsid w:val="00E87AE3"/>
    <w:rsid w:val="00E87B24"/>
    <w:rsid w:val="00E87C54"/>
    <w:rsid w:val="00E87DA3"/>
    <w:rsid w:val="00E87E8B"/>
    <w:rsid w:val="00E90271"/>
    <w:rsid w:val="00E90334"/>
    <w:rsid w:val="00E90366"/>
    <w:rsid w:val="00E90382"/>
    <w:rsid w:val="00E90385"/>
    <w:rsid w:val="00E903F0"/>
    <w:rsid w:val="00E904AF"/>
    <w:rsid w:val="00E90C0C"/>
    <w:rsid w:val="00E90C74"/>
    <w:rsid w:val="00E90CD3"/>
    <w:rsid w:val="00E90E43"/>
    <w:rsid w:val="00E90F20"/>
    <w:rsid w:val="00E91180"/>
    <w:rsid w:val="00E91184"/>
    <w:rsid w:val="00E91397"/>
    <w:rsid w:val="00E913D6"/>
    <w:rsid w:val="00E9147D"/>
    <w:rsid w:val="00E9149A"/>
    <w:rsid w:val="00E916D3"/>
    <w:rsid w:val="00E91729"/>
    <w:rsid w:val="00E91988"/>
    <w:rsid w:val="00E919E2"/>
    <w:rsid w:val="00E91A0C"/>
    <w:rsid w:val="00E91B56"/>
    <w:rsid w:val="00E91B9F"/>
    <w:rsid w:val="00E91CD2"/>
    <w:rsid w:val="00E920AE"/>
    <w:rsid w:val="00E920B2"/>
    <w:rsid w:val="00E9213A"/>
    <w:rsid w:val="00E9223E"/>
    <w:rsid w:val="00E9225C"/>
    <w:rsid w:val="00E92307"/>
    <w:rsid w:val="00E92318"/>
    <w:rsid w:val="00E9236A"/>
    <w:rsid w:val="00E9247C"/>
    <w:rsid w:val="00E92849"/>
    <w:rsid w:val="00E92855"/>
    <w:rsid w:val="00E92B46"/>
    <w:rsid w:val="00E92BF7"/>
    <w:rsid w:val="00E92CDB"/>
    <w:rsid w:val="00E92D28"/>
    <w:rsid w:val="00E92D70"/>
    <w:rsid w:val="00E930E8"/>
    <w:rsid w:val="00E9316C"/>
    <w:rsid w:val="00E932CE"/>
    <w:rsid w:val="00E93529"/>
    <w:rsid w:val="00E937A6"/>
    <w:rsid w:val="00E93877"/>
    <w:rsid w:val="00E9395A"/>
    <w:rsid w:val="00E939AA"/>
    <w:rsid w:val="00E93D5F"/>
    <w:rsid w:val="00E93E1C"/>
    <w:rsid w:val="00E93E63"/>
    <w:rsid w:val="00E93F0F"/>
    <w:rsid w:val="00E94141"/>
    <w:rsid w:val="00E9422D"/>
    <w:rsid w:val="00E942C9"/>
    <w:rsid w:val="00E94521"/>
    <w:rsid w:val="00E94667"/>
    <w:rsid w:val="00E946C7"/>
    <w:rsid w:val="00E94867"/>
    <w:rsid w:val="00E948E9"/>
    <w:rsid w:val="00E94B1E"/>
    <w:rsid w:val="00E94B8E"/>
    <w:rsid w:val="00E94CE4"/>
    <w:rsid w:val="00E94D28"/>
    <w:rsid w:val="00E94E15"/>
    <w:rsid w:val="00E94E92"/>
    <w:rsid w:val="00E94FF4"/>
    <w:rsid w:val="00E95423"/>
    <w:rsid w:val="00E9543D"/>
    <w:rsid w:val="00E954AF"/>
    <w:rsid w:val="00E9552B"/>
    <w:rsid w:val="00E95586"/>
    <w:rsid w:val="00E955A8"/>
    <w:rsid w:val="00E95748"/>
    <w:rsid w:val="00E9574D"/>
    <w:rsid w:val="00E9592B"/>
    <w:rsid w:val="00E95A90"/>
    <w:rsid w:val="00E95F02"/>
    <w:rsid w:val="00E95FA5"/>
    <w:rsid w:val="00E96151"/>
    <w:rsid w:val="00E9628A"/>
    <w:rsid w:val="00E962BB"/>
    <w:rsid w:val="00E965B9"/>
    <w:rsid w:val="00E96664"/>
    <w:rsid w:val="00E96924"/>
    <w:rsid w:val="00E969E8"/>
    <w:rsid w:val="00E96C55"/>
    <w:rsid w:val="00E96E1F"/>
    <w:rsid w:val="00E96F00"/>
    <w:rsid w:val="00E971D9"/>
    <w:rsid w:val="00E97245"/>
    <w:rsid w:val="00E97376"/>
    <w:rsid w:val="00E97412"/>
    <w:rsid w:val="00E97478"/>
    <w:rsid w:val="00E97621"/>
    <w:rsid w:val="00E9763C"/>
    <w:rsid w:val="00E977BC"/>
    <w:rsid w:val="00E97807"/>
    <w:rsid w:val="00E97887"/>
    <w:rsid w:val="00E97964"/>
    <w:rsid w:val="00E97AB2"/>
    <w:rsid w:val="00E97AD8"/>
    <w:rsid w:val="00E97B09"/>
    <w:rsid w:val="00E97B0B"/>
    <w:rsid w:val="00E97D4E"/>
    <w:rsid w:val="00E97F97"/>
    <w:rsid w:val="00EA0264"/>
    <w:rsid w:val="00EA0351"/>
    <w:rsid w:val="00EA03DA"/>
    <w:rsid w:val="00EA058D"/>
    <w:rsid w:val="00EA05A8"/>
    <w:rsid w:val="00EA0730"/>
    <w:rsid w:val="00EA078B"/>
    <w:rsid w:val="00EA07F2"/>
    <w:rsid w:val="00EA0B21"/>
    <w:rsid w:val="00EA0B69"/>
    <w:rsid w:val="00EA0DBD"/>
    <w:rsid w:val="00EA0DEF"/>
    <w:rsid w:val="00EA10A1"/>
    <w:rsid w:val="00EA10CE"/>
    <w:rsid w:val="00EA1827"/>
    <w:rsid w:val="00EA1888"/>
    <w:rsid w:val="00EA1B22"/>
    <w:rsid w:val="00EA1C94"/>
    <w:rsid w:val="00EA1CE4"/>
    <w:rsid w:val="00EA2621"/>
    <w:rsid w:val="00EA274D"/>
    <w:rsid w:val="00EA2806"/>
    <w:rsid w:val="00EA2939"/>
    <w:rsid w:val="00EA2951"/>
    <w:rsid w:val="00EA2BBE"/>
    <w:rsid w:val="00EA2C7A"/>
    <w:rsid w:val="00EA2E47"/>
    <w:rsid w:val="00EA2E5D"/>
    <w:rsid w:val="00EA2E9F"/>
    <w:rsid w:val="00EA2F36"/>
    <w:rsid w:val="00EA307A"/>
    <w:rsid w:val="00EA3343"/>
    <w:rsid w:val="00EA339E"/>
    <w:rsid w:val="00EA35E6"/>
    <w:rsid w:val="00EA3621"/>
    <w:rsid w:val="00EA3778"/>
    <w:rsid w:val="00EA3B58"/>
    <w:rsid w:val="00EA3C47"/>
    <w:rsid w:val="00EA3F7E"/>
    <w:rsid w:val="00EA405E"/>
    <w:rsid w:val="00EA422E"/>
    <w:rsid w:val="00EA445B"/>
    <w:rsid w:val="00EA460B"/>
    <w:rsid w:val="00EA479B"/>
    <w:rsid w:val="00EA47C3"/>
    <w:rsid w:val="00EA4867"/>
    <w:rsid w:val="00EA48D8"/>
    <w:rsid w:val="00EA48ED"/>
    <w:rsid w:val="00EA4A14"/>
    <w:rsid w:val="00EA4AA0"/>
    <w:rsid w:val="00EA4C89"/>
    <w:rsid w:val="00EA4CDB"/>
    <w:rsid w:val="00EA4E0D"/>
    <w:rsid w:val="00EA4E72"/>
    <w:rsid w:val="00EA4FAF"/>
    <w:rsid w:val="00EA5016"/>
    <w:rsid w:val="00EA5043"/>
    <w:rsid w:val="00EA5244"/>
    <w:rsid w:val="00EA5248"/>
    <w:rsid w:val="00EA5259"/>
    <w:rsid w:val="00EA5292"/>
    <w:rsid w:val="00EA54DC"/>
    <w:rsid w:val="00EA564C"/>
    <w:rsid w:val="00EA56D2"/>
    <w:rsid w:val="00EA56FC"/>
    <w:rsid w:val="00EA5734"/>
    <w:rsid w:val="00EA5A05"/>
    <w:rsid w:val="00EA5A74"/>
    <w:rsid w:val="00EA5B63"/>
    <w:rsid w:val="00EA5C98"/>
    <w:rsid w:val="00EA5CA9"/>
    <w:rsid w:val="00EA5CB9"/>
    <w:rsid w:val="00EA5DBF"/>
    <w:rsid w:val="00EA5F19"/>
    <w:rsid w:val="00EA6023"/>
    <w:rsid w:val="00EA60B1"/>
    <w:rsid w:val="00EA60BB"/>
    <w:rsid w:val="00EA6135"/>
    <w:rsid w:val="00EA6168"/>
    <w:rsid w:val="00EA62DB"/>
    <w:rsid w:val="00EA6506"/>
    <w:rsid w:val="00EA6800"/>
    <w:rsid w:val="00EA6A00"/>
    <w:rsid w:val="00EA6B1E"/>
    <w:rsid w:val="00EA6CFC"/>
    <w:rsid w:val="00EA6D2A"/>
    <w:rsid w:val="00EA6E5E"/>
    <w:rsid w:val="00EA7042"/>
    <w:rsid w:val="00EA7270"/>
    <w:rsid w:val="00EA7398"/>
    <w:rsid w:val="00EA73EC"/>
    <w:rsid w:val="00EA749A"/>
    <w:rsid w:val="00EA7549"/>
    <w:rsid w:val="00EA769B"/>
    <w:rsid w:val="00EA77F6"/>
    <w:rsid w:val="00EA7851"/>
    <w:rsid w:val="00EA7C7A"/>
    <w:rsid w:val="00EA7E7A"/>
    <w:rsid w:val="00EA7ECB"/>
    <w:rsid w:val="00EB01EE"/>
    <w:rsid w:val="00EB028C"/>
    <w:rsid w:val="00EB02B2"/>
    <w:rsid w:val="00EB02C8"/>
    <w:rsid w:val="00EB043A"/>
    <w:rsid w:val="00EB05DD"/>
    <w:rsid w:val="00EB0617"/>
    <w:rsid w:val="00EB0631"/>
    <w:rsid w:val="00EB0823"/>
    <w:rsid w:val="00EB13CF"/>
    <w:rsid w:val="00EB14BA"/>
    <w:rsid w:val="00EB1552"/>
    <w:rsid w:val="00EB1581"/>
    <w:rsid w:val="00EB1647"/>
    <w:rsid w:val="00EB16A5"/>
    <w:rsid w:val="00EB17FD"/>
    <w:rsid w:val="00EB1944"/>
    <w:rsid w:val="00EB1A3D"/>
    <w:rsid w:val="00EB1B4D"/>
    <w:rsid w:val="00EB1B8E"/>
    <w:rsid w:val="00EB1CE8"/>
    <w:rsid w:val="00EB1D37"/>
    <w:rsid w:val="00EB1DC1"/>
    <w:rsid w:val="00EB1DF8"/>
    <w:rsid w:val="00EB1FBA"/>
    <w:rsid w:val="00EB2027"/>
    <w:rsid w:val="00EB20F1"/>
    <w:rsid w:val="00EB2315"/>
    <w:rsid w:val="00EB247E"/>
    <w:rsid w:val="00EB24F8"/>
    <w:rsid w:val="00EB2519"/>
    <w:rsid w:val="00EB271B"/>
    <w:rsid w:val="00EB2821"/>
    <w:rsid w:val="00EB2855"/>
    <w:rsid w:val="00EB2862"/>
    <w:rsid w:val="00EB2A0D"/>
    <w:rsid w:val="00EB2BB4"/>
    <w:rsid w:val="00EB2BF3"/>
    <w:rsid w:val="00EB2C82"/>
    <w:rsid w:val="00EB2DD9"/>
    <w:rsid w:val="00EB2E2F"/>
    <w:rsid w:val="00EB2FE0"/>
    <w:rsid w:val="00EB2FE7"/>
    <w:rsid w:val="00EB33DC"/>
    <w:rsid w:val="00EB33F3"/>
    <w:rsid w:val="00EB36E8"/>
    <w:rsid w:val="00EB36F7"/>
    <w:rsid w:val="00EB37DF"/>
    <w:rsid w:val="00EB3898"/>
    <w:rsid w:val="00EB3A22"/>
    <w:rsid w:val="00EB3C43"/>
    <w:rsid w:val="00EB3CA9"/>
    <w:rsid w:val="00EB4095"/>
    <w:rsid w:val="00EB4199"/>
    <w:rsid w:val="00EB448A"/>
    <w:rsid w:val="00EB44F9"/>
    <w:rsid w:val="00EB4625"/>
    <w:rsid w:val="00EB472F"/>
    <w:rsid w:val="00EB48C3"/>
    <w:rsid w:val="00EB49E0"/>
    <w:rsid w:val="00EB4A69"/>
    <w:rsid w:val="00EB4B5A"/>
    <w:rsid w:val="00EB4C1B"/>
    <w:rsid w:val="00EB4D8D"/>
    <w:rsid w:val="00EB4D97"/>
    <w:rsid w:val="00EB4FB0"/>
    <w:rsid w:val="00EB4FB2"/>
    <w:rsid w:val="00EB5062"/>
    <w:rsid w:val="00EB5125"/>
    <w:rsid w:val="00EB5207"/>
    <w:rsid w:val="00EB52C1"/>
    <w:rsid w:val="00EB5551"/>
    <w:rsid w:val="00EB55E3"/>
    <w:rsid w:val="00EB587F"/>
    <w:rsid w:val="00EB59C5"/>
    <w:rsid w:val="00EB5A6F"/>
    <w:rsid w:val="00EB5AD6"/>
    <w:rsid w:val="00EB5B66"/>
    <w:rsid w:val="00EB5E79"/>
    <w:rsid w:val="00EB5EFF"/>
    <w:rsid w:val="00EB5F6B"/>
    <w:rsid w:val="00EB6138"/>
    <w:rsid w:val="00EB613F"/>
    <w:rsid w:val="00EB61C6"/>
    <w:rsid w:val="00EB65F1"/>
    <w:rsid w:val="00EB6669"/>
    <w:rsid w:val="00EB6872"/>
    <w:rsid w:val="00EB6CE6"/>
    <w:rsid w:val="00EB6CF7"/>
    <w:rsid w:val="00EB6DE5"/>
    <w:rsid w:val="00EB6F6C"/>
    <w:rsid w:val="00EB6FE6"/>
    <w:rsid w:val="00EB711A"/>
    <w:rsid w:val="00EB7235"/>
    <w:rsid w:val="00EB72CC"/>
    <w:rsid w:val="00EB7419"/>
    <w:rsid w:val="00EB75B8"/>
    <w:rsid w:val="00EB776E"/>
    <w:rsid w:val="00EB77BC"/>
    <w:rsid w:val="00EB78A1"/>
    <w:rsid w:val="00EB78AA"/>
    <w:rsid w:val="00EB7A15"/>
    <w:rsid w:val="00EB7BFC"/>
    <w:rsid w:val="00EB7C5A"/>
    <w:rsid w:val="00EB7CCC"/>
    <w:rsid w:val="00EB7DF2"/>
    <w:rsid w:val="00EB7F3B"/>
    <w:rsid w:val="00EC000D"/>
    <w:rsid w:val="00EC0051"/>
    <w:rsid w:val="00EC0063"/>
    <w:rsid w:val="00EC0080"/>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02"/>
    <w:rsid w:val="00EC1983"/>
    <w:rsid w:val="00EC1B1B"/>
    <w:rsid w:val="00EC1B84"/>
    <w:rsid w:val="00EC1C06"/>
    <w:rsid w:val="00EC1C5C"/>
    <w:rsid w:val="00EC1CB4"/>
    <w:rsid w:val="00EC1D1C"/>
    <w:rsid w:val="00EC1DFF"/>
    <w:rsid w:val="00EC1E8B"/>
    <w:rsid w:val="00EC1FC5"/>
    <w:rsid w:val="00EC212C"/>
    <w:rsid w:val="00EC2240"/>
    <w:rsid w:val="00EC22C9"/>
    <w:rsid w:val="00EC233B"/>
    <w:rsid w:val="00EC2373"/>
    <w:rsid w:val="00EC247C"/>
    <w:rsid w:val="00EC2580"/>
    <w:rsid w:val="00EC2694"/>
    <w:rsid w:val="00EC289F"/>
    <w:rsid w:val="00EC297A"/>
    <w:rsid w:val="00EC29E4"/>
    <w:rsid w:val="00EC2A56"/>
    <w:rsid w:val="00EC2A6B"/>
    <w:rsid w:val="00EC2D2B"/>
    <w:rsid w:val="00EC2E72"/>
    <w:rsid w:val="00EC2FE2"/>
    <w:rsid w:val="00EC31A9"/>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036"/>
    <w:rsid w:val="00EC41C2"/>
    <w:rsid w:val="00EC473A"/>
    <w:rsid w:val="00EC489A"/>
    <w:rsid w:val="00EC49FC"/>
    <w:rsid w:val="00EC4A54"/>
    <w:rsid w:val="00EC4AC1"/>
    <w:rsid w:val="00EC4AC9"/>
    <w:rsid w:val="00EC4BA5"/>
    <w:rsid w:val="00EC4C6F"/>
    <w:rsid w:val="00EC4D57"/>
    <w:rsid w:val="00EC4D5C"/>
    <w:rsid w:val="00EC5092"/>
    <w:rsid w:val="00EC5161"/>
    <w:rsid w:val="00EC5252"/>
    <w:rsid w:val="00EC53D8"/>
    <w:rsid w:val="00EC5424"/>
    <w:rsid w:val="00EC5979"/>
    <w:rsid w:val="00EC59A2"/>
    <w:rsid w:val="00EC5EAE"/>
    <w:rsid w:val="00EC60A8"/>
    <w:rsid w:val="00EC6152"/>
    <w:rsid w:val="00EC6269"/>
    <w:rsid w:val="00EC64E2"/>
    <w:rsid w:val="00EC65F1"/>
    <w:rsid w:val="00EC67AF"/>
    <w:rsid w:val="00EC68CF"/>
    <w:rsid w:val="00EC6B46"/>
    <w:rsid w:val="00EC6E3A"/>
    <w:rsid w:val="00EC6F5C"/>
    <w:rsid w:val="00EC7009"/>
    <w:rsid w:val="00EC7068"/>
    <w:rsid w:val="00EC7263"/>
    <w:rsid w:val="00EC73A7"/>
    <w:rsid w:val="00EC7826"/>
    <w:rsid w:val="00EC7944"/>
    <w:rsid w:val="00EC7A2C"/>
    <w:rsid w:val="00EC7CE8"/>
    <w:rsid w:val="00EC7D5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B2"/>
    <w:rsid w:val="00ED1BCB"/>
    <w:rsid w:val="00ED1CD1"/>
    <w:rsid w:val="00ED1E41"/>
    <w:rsid w:val="00ED1E44"/>
    <w:rsid w:val="00ED1FF5"/>
    <w:rsid w:val="00ED21B0"/>
    <w:rsid w:val="00ED22E4"/>
    <w:rsid w:val="00ED2346"/>
    <w:rsid w:val="00ED2449"/>
    <w:rsid w:val="00ED24E2"/>
    <w:rsid w:val="00ED2553"/>
    <w:rsid w:val="00ED25F0"/>
    <w:rsid w:val="00ED25FC"/>
    <w:rsid w:val="00ED27A2"/>
    <w:rsid w:val="00ED2BE5"/>
    <w:rsid w:val="00ED2C1A"/>
    <w:rsid w:val="00ED2C3D"/>
    <w:rsid w:val="00ED2E5B"/>
    <w:rsid w:val="00ED2E72"/>
    <w:rsid w:val="00ED2F3F"/>
    <w:rsid w:val="00ED2F47"/>
    <w:rsid w:val="00ED30D9"/>
    <w:rsid w:val="00ED32DB"/>
    <w:rsid w:val="00ED3541"/>
    <w:rsid w:val="00ED369D"/>
    <w:rsid w:val="00ED36DD"/>
    <w:rsid w:val="00ED385B"/>
    <w:rsid w:val="00ED38AB"/>
    <w:rsid w:val="00ED3AD6"/>
    <w:rsid w:val="00ED3B84"/>
    <w:rsid w:val="00ED3C25"/>
    <w:rsid w:val="00ED3E51"/>
    <w:rsid w:val="00ED3E63"/>
    <w:rsid w:val="00ED4198"/>
    <w:rsid w:val="00ED4207"/>
    <w:rsid w:val="00ED42E1"/>
    <w:rsid w:val="00ED44D9"/>
    <w:rsid w:val="00ED4589"/>
    <w:rsid w:val="00ED4612"/>
    <w:rsid w:val="00ED46DB"/>
    <w:rsid w:val="00ED48BE"/>
    <w:rsid w:val="00ED498E"/>
    <w:rsid w:val="00ED4BE4"/>
    <w:rsid w:val="00ED4D79"/>
    <w:rsid w:val="00ED4EC0"/>
    <w:rsid w:val="00ED4F66"/>
    <w:rsid w:val="00ED4FAA"/>
    <w:rsid w:val="00ED5040"/>
    <w:rsid w:val="00ED50A8"/>
    <w:rsid w:val="00ED50B1"/>
    <w:rsid w:val="00ED5172"/>
    <w:rsid w:val="00ED52AA"/>
    <w:rsid w:val="00ED540A"/>
    <w:rsid w:val="00ED551D"/>
    <w:rsid w:val="00ED58AB"/>
    <w:rsid w:val="00ED5997"/>
    <w:rsid w:val="00ED5A67"/>
    <w:rsid w:val="00ED5BBE"/>
    <w:rsid w:val="00ED5C2D"/>
    <w:rsid w:val="00ED5EAC"/>
    <w:rsid w:val="00ED619E"/>
    <w:rsid w:val="00ED62EF"/>
    <w:rsid w:val="00ED6311"/>
    <w:rsid w:val="00ED6479"/>
    <w:rsid w:val="00ED6494"/>
    <w:rsid w:val="00ED681D"/>
    <w:rsid w:val="00ED6911"/>
    <w:rsid w:val="00ED6B20"/>
    <w:rsid w:val="00ED6CAA"/>
    <w:rsid w:val="00ED6D37"/>
    <w:rsid w:val="00ED6F32"/>
    <w:rsid w:val="00ED70A3"/>
    <w:rsid w:val="00ED70C0"/>
    <w:rsid w:val="00ED7153"/>
    <w:rsid w:val="00ED7173"/>
    <w:rsid w:val="00ED719D"/>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B9"/>
    <w:rsid w:val="00EE01C3"/>
    <w:rsid w:val="00EE03A1"/>
    <w:rsid w:val="00EE0434"/>
    <w:rsid w:val="00EE0436"/>
    <w:rsid w:val="00EE0A43"/>
    <w:rsid w:val="00EE0AFC"/>
    <w:rsid w:val="00EE0B28"/>
    <w:rsid w:val="00EE1067"/>
    <w:rsid w:val="00EE1229"/>
    <w:rsid w:val="00EE123E"/>
    <w:rsid w:val="00EE15F6"/>
    <w:rsid w:val="00EE174D"/>
    <w:rsid w:val="00EE18C9"/>
    <w:rsid w:val="00EE19F0"/>
    <w:rsid w:val="00EE1EC5"/>
    <w:rsid w:val="00EE1F18"/>
    <w:rsid w:val="00EE1F91"/>
    <w:rsid w:val="00EE2004"/>
    <w:rsid w:val="00EE2049"/>
    <w:rsid w:val="00EE222A"/>
    <w:rsid w:val="00EE227B"/>
    <w:rsid w:val="00EE22BD"/>
    <w:rsid w:val="00EE25E9"/>
    <w:rsid w:val="00EE2603"/>
    <w:rsid w:val="00EE26BF"/>
    <w:rsid w:val="00EE28EA"/>
    <w:rsid w:val="00EE296B"/>
    <w:rsid w:val="00EE2BAD"/>
    <w:rsid w:val="00EE2CD0"/>
    <w:rsid w:val="00EE2E37"/>
    <w:rsid w:val="00EE2E56"/>
    <w:rsid w:val="00EE2F53"/>
    <w:rsid w:val="00EE300A"/>
    <w:rsid w:val="00EE31D2"/>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205"/>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45"/>
    <w:rsid w:val="00EF0586"/>
    <w:rsid w:val="00EF06BF"/>
    <w:rsid w:val="00EF06D2"/>
    <w:rsid w:val="00EF0723"/>
    <w:rsid w:val="00EF0747"/>
    <w:rsid w:val="00EF0768"/>
    <w:rsid w:val="00EF086A"/>
    <w:rsid w:val="00EF0872"/>
    <w:rsid w:val="00EF0961"/>
    <w:rsid w:val="00EF0966"/>
    <w:rsid w:val="00EF0A0C"/>
    <w:rsid w:val="00EF0A96"/>
    <w:rsid w:val="00EF0E46"/>
    <w:rsid w:val="00EF0EE3"/>
    <w:rsid w:val="00EF0F05"/>
    <w:rsid w:val="00EF11EE"/>
    <w:rsid w:val="00EF1980"/>
    <w:rsid w:val="00EF1A1F"/>
    <w:rsid w:val="00EF1B3C"/>
    <w:rsid w:val="00EF1B9B"/>
    <w:rsid w:val="00EF1C82"/>
    <w:rsid w:val="00EF1EBC"/>
    <w:rsid w:val="00EF1EDF"/>
    <w:rsid w:val="00EF1F6C"/>
    <w:rsid w:val="00EF1F9C"/>
    <w:rsid w:val="00EF221D"/>
    <w:rsid w:val="00EF2419"/>
    <w:rsid w:val="00EF24C3"/>
    <w:rsid w:val="00EF255C"/>
    <w:rsid w:val="00EF25A9"/>
    <w:rsid w:val="00EF25EB"/>
    <w:rsid w:val="00EF2733"/>
    <w:rsid w:val="00EF28E4"/>
    <w:rsid w:val="00EF2997"/>
    <w:rsid w:val="00EF29FE"/>
    <w:rsid w:val="00EF2A53"/>
    <w:rsid w:val="00EF2AEB"/>
    <w:rsid w:val="00EF2B0F"/>
    <w:rsid w:val="00EF2C20"/>
    <w:rsid w:val="00EF2C2B"/>
    <w:rsid w:val="00EF2CAF"/>
    <w:rsid w:val="00EF2EF2"/>
    <w:rsid w:val="00EF2F3D"/>
    <w:rsid w:val="00EF3088"/>
    <w:rsid w:val="00EF3194"/>
    <w:rsid w:val="00EF32E6"/>
    <w:rsid w:val="00EF3306"/>
    <w:rsid w:val="00EF342B"/>
    <w:rsid w:val="00EF37CC"/>
    <w:rsid w:val="00EF37D3"/>
    <w:rsid w:val="00EF383E"/>
    <w:rsid w:val="00EF3AE2"/>
    <w:rsid w:val="00EF3C77"/>
    <w:rsid w:val="00EF402F"/>
    <w:rsid w:val="00EF406A"/>
    <w:rsid w:val="00EF40B0"/>
    <w:rsid w:val="00EF4218"/>
    <w:rsid w:val="00EF430C"/>
    <w:rsid w:val="00EF4478"/>
    <w:rsid w:val="00EF44E5"/>
    <w:rsid w:val="00EF450A"/>
    <w:rsid w:val="00EF48DB"/>
    <w:rsid w:val="00EF4B95"/>
    <w:rsid w:val="00EF4CDB"/>
    <w:rsid w:val="00EF4EE2"/>
    <w:rsid w:val="00EF4F9B"/>
    <w:rsid w:val="00EF505A"/>
    <w:rsid w:val="00EF54AD"/>
    <w:rsid w:val="00EF56F7"/>
    <w:rsid w:val="00EF5729"/>
    <w:rsid w:val="00EF587B"/>
    <w:rsid w:val="00EF59F9"/>
    <w:rsid w:val="00EF5D10"/>
    <w:rsid w:val="00EF5D6C"/>
    <w:rsid w:val="00EF5DC0"/>
    <w:rsid w:val="00EF5E9E"/>
    <w:rsid w:val="00EF5F2D"/>
    <w:rsid w:val="00EF6114"/>
    <w:rsid w:val="00EF6312"/>
    <w:rsid w:val="00EF64AC"/>
    <w:rsid w:val="00EF64F5"/>
    <w:rsid w:val="00EF66B7"/>
    <w:rsid w:val="00EF688C"/>
    <w:rsid w:val="00EF695F"/>
    <w:rsid w:val="00EF6A64"/>
    <w:rsid w:val="00EF6A71"/>
    <w:rsid w:val="00EF6A7D"/>
    <w:rsid w:val="00EF6B15"/>
    <w:rsid w:val="00EF6B88"/>
    <w:rsid w:val="00EF6CC9"/>
    <w:rsid w:val="00EF6CF6"/>
    <w:rsid w:val="00EF6D5B"/>
    <w:rsid w:val="00EF6EC6"/>
    <w:rsid w:val="00EF6F2A"/>
    <w:rsid w:val="00EF6F8B"/>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38D"/>
    <w:rsid w:val="00F014A5"/>
    <w:rsid w:val="00F014F0"/>
    <w:rsid w:val="00F01547"/>
    <w:rsid w:val="00F015E4"/>
    <w:rsid w:val="00F01A42"/>
    <w:rsid w:val="00F01E96"/>
    <w:rsid w:val="00F01F65"/>
    <w:rsid w:val="00F01F6D"/>
    <w:rsid w:val="00F02195"/>
    <w:rsid w:val="00F02307"/>
    <w:rsid w:val="00F0232C"/>
    <w:rsid w:val="00F02400"/>
    <w:rsid w:val="00F02524"/>
    <w:rsid w:val="00F02755"/>
    <w:rsid w:val="00F0278D"/>
    <w:rsid w:val="00F02835"/>
    <w:rsid w:val="00F02867"/>
    <w:rsid w:val="00F0291D"/>
    <w:rsid w:val="00F02BD6"/>
    <w:rsid w:val="00F02C12"/>
    <w:rsid w:val="00F02E15"/>
    <w:rsid w:val="00F02EC7"/>
    <w:rsid w:val="00F02F7A"/>
    <w:rsid w:val="00F02FD4"/>
    <w:rsid w:val="00F03146"/>
    <w:rsid w:val="00F03270"/>
    <w:rsid w:val="00F033BB"/>
    <w:rsid w:val="00F033C5"/>
    <w:rsid w:val="00F034E6"/>
    <w:rsid w:val="00F035A9"/>
    <w:rsid w:val="00F0379A"/>
    <w:rsid w:val="00F03908"/>
    <w:rsid w:val="00F0395A"/>
    <w:rsid w:val="00F03B98"/>
    <w:rsid w:val="00F03BE0"/>
    <w:rsid w:val="00F03CA8"/>
    <w:rsid w:val="00F03D85"/>
    <w:rsid w:val="00F04051"/>
    <w:rsid w:val="00F04082"/>
    <w:rsid w:val="00F040E7"/>
    <w:rsid w:val="00F04203"/>
    <w:rsid w:val="00F042F8"/>
    <w:rsid w:val="00F04510"/>
    <w:rsid w:val="00F0458F"/>
    <w:rsid w:val="00F045C7"/>
    <w:rsid w:val="00F04870"/>
    <w:rsid w:val="00F049E2"/>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08"/>
    <w:rsid w:val="00F05FF2"/>
    <w:rsid w:val="00F06044"/>
    <w:rsid w:val="00F0628F"/>
    <w:rsid w:val="00F06305"/>
    <w:rsid w:val="00F06421"/>
    <w:rsid w:val="00F06664"/>
    <w:rsid w:val="00F067B8"/>
    <w:rsid w:val="00F068A9"/>
    <w:rsid w:val="00F0691F"/>
    <w:rsid w:val="00F069F3"/>
    <w:rsid w:val="00F06A6F"/>
    <w:rsid w:val="00F06A7C"/>
    <w:rsid w:val="00F06B55"/>
    <w:rsid w:val="00F06DD9"/>
    <w:rsid w:val="00F06ECD"/>
    <w:rsid w:val="00F06FAC"/>
    <w:rsid w:val="00F070D3"/>
    <w:rsid w:val="00F071E0"/>
    <w:rsid w:val="00F07259"/>
    <w:rsid w:val="00F0728C"/>
    <w:rsid w:val="00F07466"/>
    <w:rsid w:val="00F074A0"/>
    <w:rsid w:val="00F07962"/>
    <w:rsid w:val="00F07FEB"/>
    <w:rsid w:val="00F1018E"/>
    <w:rsid w:val="00F102AF"/>
    <w:rsid w:val="00F102FB"/>
    <w:rsid w:val="00F103A3"/>
    <w:rsid w:val="00F10492"/>
    <w:rsid w:val="00F10768"/>
    <w:rsid w:val="00F1078E"/>
    <w:rsid w:val="00F10A25"/>
    <w:rsid w:val="00F10C70"/>
    <w:rsid w:val="00F10CD6"/>
    <w:rsid w:val="00F10DD2"/>
    <w:rsid w:val="00F10F06"/>
    <w:rsid w:val="00F110D3"/>
    <w:rsid w:val="00F1111F"/>
    <w:rsid w:val="00F11198"/>
    <w:rsid w:val="00F1128E"/>
    <w:rsid w:val="00F1134A"/>
    <w:rsid w:val="00F11456"/>
    <w:rsid w:val="00F11502"/>
    <w:rsid w:val="00F1154D"/>
    <w:rsid w:val="00F115B2"/>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A60"/>
    <w:rsid w:val="00F12B5C"/>
    <w:rsid w:val="00F12C79"/>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B22"/>
    <w:rsid w:val="00F14D5A"/>
    <w:rsid w:val="00F14EDB"/>
    <w:rsid w:val="00F14FC2"/>
    <w:rsid w:val="00F15045"/>
    <w:rsid w:val="00F15075"/>
    <w:rsid w:val="00F150DA"/>
    <w:rsid w:val="00F15138"/>
    <w:rsid w:val="00F15233"/>
    <w:rsid w:val="00F15566"/>
    <w:rsid w:val="00F15622"/>
    <w:rsid w:val="00F158B9"/>
    <w:rsid w:val="00F158C7"/>
    <w:rsid w:val="00F15C12"/>
    <w:rsid w:val="00F15C80"/>
    <w:rsid w:val="00F15DEE"/>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6FF"/>
    <w:rsid w:val="00F178FF"/>
    <w:rsid w:val="00F17959"/>
    <w:rsid w:val="00F179B0"/>
    <w:rsid w:val="00F17BDE"/>
    <w:rsid w:val="00F17D2E"/>
    <w:rsid w:val="00F17EA2"/>
    <w:rsid w:val="00F200CD"/>
    <w:rsid w:val="00F2011D"/>
    <w:rsid w:val="00F20135"/>
    <w:rsid w:val="00F201BF"/>
    <w:rsid w:val="00F201E4"/>
    <w:rsid w:val="00F20207"/>
    <w:rsid w:val="00F20210"/>
    <w:rsid w:val="00F203C6"/>
    <w:rsid w:val="00F2055A"/>
    <w:rsid w:val="00F2060D"/>
    <w:rsid w:val="00F20792"/>
    <w:rsid w:val="00F208B5"/>
    <w:rsid w:val="00F20A96"/>
    <w:rsid w:val="00F20AB8"/>
    <w:rsid w:val="00F20CDF"/>
    <w:rsid w:val="00F20F4B"/>
    <w:rsid w:val="00F2102E"/>
    <w:rsid w:val="00F2103A"/>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77F"/>
    <w:rsid w:val="00F238A8"/>
    <w:rsid w:val="00F23A36"/>
    <w:rsid w:val="00F23A6A"/>
    <w:rsid w:val="00F23B79"/>
    <w:rsid w:val="00F23C6D"/>
    <w:rsid w:val="00F23CF2"/>
    <w:rsid w:val="00F23D57"/>
    <w:rsid w:val="00F23E1A"/>
    <w:rsid w:val="00F23F47"/>
    <w:rsid w:val="00F23F68"/>
    <w:rsid w:val="00F23FD9"/>
    <w:rsid w:val="00F241FF"/>
    <w:rsid w:val="00F242A5"/>
    <w:rsid w:val="00F242DB"/>
    <w:rsid w:val="00F2451B"/>
    <w:rsid w:val="00F2455C"/>
    <w:rsid w:val="00F2471C"/>
    <w:rsid w:val="00F24932"/>
    <w:rsid w:val="00F24958"/>
    <w:rsid w:val="00F24961"/>
    <w:rsid w:val="00F249FB"/>
    <w:rsid w:val="00F24B6F"/>
    <w:rsid w:val="00F24BA5"/>
    <w:rsid w:val="00F24D7A"/>
    <w:rsid w:val="00F24F31"/>
    <w:rsid w:val="00F24F54"/>
    <w:rsid w:val="00F24FF5"/>
    <w:rsid w:val="00F25300"/>
    <w:rsid w:val="00F2533A"/>
    <w:rsid w:val="00F2536F"/>
    <w:rsid w:val="00F256A4"/>
    <w:rsid w:val="00F25767"/>
    <w:rsid w:val="00F257EA"/>
    <w:rsid w:val="00F25800"/>
    <w:rsid w:val="00F258C4"/>
    <w:rsid w:val="00F25D2D"/>
    <w:rsid w:val="00F25E38"/>
    <w:rsid w:val="00F2625F"/>
    <w:rsid w:val="00F262D9"/>
    <w:rsid w:val="00F26463"/>
    <w:rsid w:val="00F264AB"/>
    <w:rsid w:val="00F26526"/>
    <w:rsid w:val="00F2653F"/>
    <w:rsid w:val="00F26951"/>
    <w:rsid w:val="00F269F7"/>
    <w:rsid w:val="00F26D91"/>
    <w:rsid w:val="00F26E29"/>
    <w:rsid w:val="00F26EBF"/>
    <w:rsid w:val="00F26FA4"/>
    <w:rsid w:val="00F26FCA"/>
    <w:rsid w:val="00F27078"/>
    <w:rsid w:val="00F270A3"/>
    <w:rsid w:val="00F270CA"/>
    <w:rsid w:val="00F2713B"/>
    <w:rsid w:val="00F27291"/>
    <w:rsid w:val="00F27334"/>
    <w:rsid w:val="00F273F3"/>
    <w:rsid w:val="00F275CE"/>
    <w:rsid w:val="00F2765F"/>
    <w:rsid w:val="00F27927"/>
    <w:rsid w:val="00F279C5"/>
    <w:rsid w:val="00F279F3"/>
    <w:rsid w:val="00F27A8C"/>
    <w:rsid w:val="00F27B85"/>
    <w:rsid w:val="00F27B97"/>
    <w:rsid w:val="00F27D3B"/>
    <w:rsid w:val="00F27E29"/>
    <w:rsid w:val="00F27E85"/>
    <w:rsid w:val="00F300A2"/>
    <w:rsid w:val="00F3010A"/>
    <w:rsid w:val="00F3010E"/>
    <w:rsid w:val="00F30166"/>
    <w:rsid w:val="00F30184"/>
    <w:rsid w:val="00F302BD"/>
    <w:rsid w:val="00F30691"/>
    <w:rsid w:val="00F3096D"/>
    <w:rsid w:val="00F309D5"/>
    <w:rsid w:val="00F30A40"/>
    <w:rsid w:val="00F30B71"/>
    <w:rsid w:val="00F30C14"/>
    <w:rsid w:val="00F30C4B"/>
    <w:rsid w:val="00F30E93"/>
    <w:rsid w:val="00F30F13"/>
    <w:rsid w:val="00F30FBA"/>
    <w:rsid w:val="00F315A9"/>
    <w:rsid w:val="00F31617"/>
    <w:rsid w:val="00F318A9"/>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97C"/>
    <w:rsid w:val="00F34B11"/>
    <w:rsid w:val="00F34D3A"/>
    <w:rsid w:val="00F3502D"/>
    <w:rsid w:val="00F350F6"/>
    <w:rsid w:val="00F3534D"/>
    <w:rsid w:val="00F354B6"/>
    <w:rsid w:val="00F356F1"/>
    <w:rsid w:val="00F3585C"/>
    <w:rsid w:val="00F35AF9"/>
    <w:rsid w:val="00F35D35"/>
    <w:rsid w:val="00F35D66"/>
    <w:rsid w:val="00F35EE3"/>
    <w:rsid w:val="00F35F39"/>
    <w:rsid w:val="00F362A0"/>
    <w:rsid w:val="00F364D0"/>
    <w:rsid w:val="00F36647"/>
    <w:rsid w:val="00F3668C"/>
    <w:rsid w:val="00F3674B"/>
    <w:rsid w:val="00F367A4"/>
    <w:rsid w:val="00F367C3"/>
    <w:rsid w:val="00F36A6C"/>
    <w:rsid w:val="00F36E0A"/>
    <w:rsid w:val="00F36F9E"/>
    <w:rsid w:val="00F36FE3"/>
    <w:rsid w:val="00F37163"/>
    <w:rsid w:val="00F374CD"/>
    <w:rsid w:val="00F37742"/>
    <w:rsid w:val="00F37766"/>
    <w:rsid w:val="00F37828"/>
    <w:rsid w:val="00F37B23"/>
    <w:rsid w:val="00F37B96"/>
    <w:rsid w:val="00F37BD3"/>
    <w:rsid w:val="00F37E94"/>
    <w:rsid w:val="00F4008E"/>
    <w:rsid w:val="00F4019A"/>
    <w:rsid w:val="00F40322"/>
    <w:rsid w:val="00F4043A"/>
    <w:rsid w:val="00F4044F"/>
    <w:rsid w:val="00F40544"/>
    <w:rsid w:val="00F40643"/>
    <w:rsid w:val="00F40663"/>
    <w:rsid w:val="00F40778"/>
    <w:rsid w:val="00F40783"/>
    <w:rsid w:val="00F4088B"/>
    <w:rsid w:val="00F409A7"/>
    <w:rsid w:val="00F409F2"/>
    <w:rsid w:val="00F40E9A"/>
    <w:rsid w:val="00F412D9"/>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4B4"/>
    <w:rsid w:val="00F4259E"/>
    <w:rsid w:val="00F426AB"/>
    <w:rsid w:val="00F4284A"/>
    <w:rsid w:val="00F42B6F"/>
    <w:rsid w:val="00F42EC1"/>
    <w:rsid w:val="00F42F81"/>
    <w:rsid w:val="00F43008"/>
    <w:rsid w:val="00F43150"/>
    <w:rsid w:val="00F43157"/>
    <w:rsid w:val="00F43337"/>
    <w:rsid w:val="00F43446"/>
    <w:rsid w:val="00F4353A"/>
    <w:rsid w:val="00F4359C"/>
    <w:rsid w:val="00F4370D"/>
    <w:rsid w:val="00F43918"/>
    <w:rsid w:val="00F43926"/>
    <w:rsid w:val="00F43AF7"/>
    <w:rsid w:val="00F43D46"/>
    <w:rsid w:val="00F43E66"/>
    <w:rsid w:val="00F43F3D"/>
    <w:rsid w:val="00F43FCC"/>
    <w:rsid w:val="00F44162"/>
    <w:rsid w:val="00F4437A"/>
    <w:rsid w:val="00F4467F"/>
    <w:rsid w:val="00F44835"/>
    <w:rsid w:val="00F44838"/>
    <w:rsid w:val="00F4497C"/>
    <w:rsid w:val="00F44A09"/>
    <w:rsid w:val="00F44B64"/>
    <w:rsid w:val="00F44C13"/>
    <w:rsid w:val="00F44CFD"/>
    <w:rsid w:val="00F44F37"/>
    <w:rsid w:val="00F44F3E"/>
    <w:rsid w:val="00F45226"/>
    <w:rsid w:val="00F45540"/>
    <w:rsid w:val="00F45698"/>
    <w:rsid w:val="00F45836"/>
    <w:rsid w:val="00F45863"/>
    <w:rsid w:val="00F459EF"/>
    <w:rsid w:val="00F45A63"/>
    <w:rsid w:val="00F45D3B"/>
    <w:rsid w:val="00F45D44"/>
    <w:rsid w:val="00F45E74"/>
    <w:rsid w:val="00F45E83"/>
    <w:rsid w:val="00F45EF3"/>
    <w:rsid w:val="00F46251"/>
    <w:rsid w:val="00F46735"/>
    <w:rsid w:val="00F46760"/>
    <w:rsid w:val="00F469D5"/>
    <w:rsid w:val="00F46A25"/>
    <w:rsid w:val="00F46AB5"/>
    <w:rsid w:val="00F46CEB"/>
    <w:rsid w:val="00F46E94"/>
    <w:rsid w:val="00F4713E"/>
    <w:rsid w:val="00F47332"/>
    <w:rsid w:val="00F4759D"/>
    <w:rsid w:val="00F475D8"/>
    <w:rsid w:val="00F476EB"/>
    <w:rsid w:val="00F4778A"/>
    <w:rsid w:val="00F477D2"/>
    <w:rsid w:val="00F4782A"/>
    <w:rsid w:val="00F478A4"/>
    <w:rsid w:val="00F4798A"/>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EF1"/>
    <w:rsid w:val="00F51F25"/>
    <w:rsid w:val="00F51FA6"/>
    <w:rsid w:val="00F522B9"/>
    <w:rsid w:val="00F52302"/>
    <w:rsid w:val="00F523A1"/>
    <w:rsid w:val="00F52826"/>
    <w:rsid w:val="00F52831"/>
    <w:rsid w:val="00F529F5"/>
    <w:rsid w:val="00F52B04"/>
    <w:rsid w:val="00F52C5A"/>
    <w:rsid w:val="00F52C96"/>
    <w:rsid w:val="00F52DD4"/>
    <w:rsid w:val="00F52E01"/>
    <w:rsid w:val="00F52FA5"/>
    <w:rsid w:val="00F52FB2"/>
    <w:rsid w:val="00F530D2"/>
    <w:rsid w:val="00F530E1"/>
    <w:rsid w:val="00F532D1"/>
    <w:rsid w:val="00F532E1"/>
    <w:rsid w:val="00F53342"/>
    <w:rsid w:val="00F533B5"/>
    <w:rsid w:val="00F533BD"/>
    <w:rsid w:val="00F53961"/>
    <w:rsid w:val="00F5397F"/>
    <w:rsid w:val="00F539A7"/>
    <w:rsid w:val="00F539CC"/>
    <w:rsid w:val="00F539CE"/>
    <w:rsid w:val="00F53A5C"/>
    <w:rsid w:val="00F53B24"/>
    <w:rsid w:val="00F53BA2"/>
    <w:rsid w:val="00F53CF6"/>
    <w:rsid w:val="00F5434B"/>
    <w:rsid w:val="00F5435A"/>
    <w:rsid w:val="00F544B1"/>
    <w:rsid w:val="00F5492E"/>
    <w:rsid w:val="00F54953"/>
    <w:rsid w:val="00F54AB2"/>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97"/>
    <w:rsid w:val="00F560A1"/>
    <w:rsid w:val="00F56108"/>
    <w:rsid w:val="00F561D7"/>
    <w:rsid w:val="00F56286"/>
    <w:rsid w:val="00F5634B"/>
    <w:rsid w:val="00F5635B"/>
    <w:rsid w:val="00F56395"/>
    <w:rsid w:val="00F564BB"/>
    <w:rsid w:val="00F56546"/>
    <w:rsid w:val="00F5669D"/>
    <w:rsid w:val="00F56721"/>
    <w:rsid w:val="00F56730"/>
    <w:rsid w:val="00F567E1"/>
    <w:rsid w:val="00F5683D"/>
    <w:rsid w:val="00F56877"/>
    <w:rsid w:val="00F56A19"/>
    <w:rsid w:val="00F56B79"/>
    <w:rsid w:val="00F56C2C"/>
    <w:rsid w:val="00F56C3D"/>
    <w:rsid w:val="00F56D1D"/>
    <w:rsid w:val="00F56F12"/>
    <w:rsid w:val="00F56F42"/>
    <w:rsid w:val="00F5708A"/>
    <w:rsid w:val="00F57094"/>
    <w:rsid w:val="00F5735D"/>
    <w:rsid w:val="00F5752C"/>
    <w:rsid w:val="00F57549"/>
    <w:rsid w:val="00F575C5"/>
    <w:rsid w:val="00F57900"/>
    <w:rsid w:val="00F5793D"/>
    <w:rsid w:val="00F5798E"/>
    <w:rsid w:val="00F579EE"/>
    <w:rsid w:val="00F57A58"/>
    <w:rsid w:val="00F57ADE"/>
    <w:rsid w:val="00F57D60"/>
    <w:rsid w:val="00F57D68"/>
    <w:rsid w:val="00F57E83"/>
    <w:rsid w:val="00F57E8A"/>
    <w:rsid w:val="00F57F3E"/>
    <w:rsid w:val="00F6004D"/>
    <w:rsid w:val="00F6039B"/>
    <w:rsid w:val="00F6040F"/>
    <w:rsid w:val="00F604A6"/>
    <w:rsid w:val="00F60978"/>
    <w:rsid w:val="00F609F2"/>
    <w:rsid w:val="00F60AD7"/>
    <w:rsid w:val="00F60AE6"/>
    <w:rsid w:val="00F60BC6"/>
    <w:rsid w:val="00F60C34"/>
    <w:rsid w:val="00F60C7A"/>
    <w:rsid w:val="00F60EA8"/>
    <w:rsid w:val="00F60FD6"/>
    <w:rsid w:val="00F61123"/>
    <w:rsid w:val="00F612D9"/>
    <w:rsid w:val="00F612DD"/>
    <w:rsid w:val="00F61378"/>
    <w:rsid w:val="00F614AA"/>
    <w:rsid w:val="00F614B3"/>
    <w:rsid w:val="00F614E2"/>
    <w:rsid w:val="00F6159C"/>
    <w:rsid w:val="00F6174D"/>
    <w:rsid w:val="00F61767"/>
    <w:rsid w:val="00F617C9"/>
    <w:rsid w:val="00F61899"/>
    <w:rsid w:val="00F618CC"/>
    <w:rsid w:val="00F619DB"/>
    <w:rsid w:val="00F61A30"/>
    <w:rsid w:val="00F61AE1"/>
    <w:rsid w:val="00F61C18"/>
    <w:rsid w:val="00F61D49"/>
    <w:rsid w:val="00F61D7B"/>
    <w:rsid w:val="00F61F6D"/>
    <w:rsid w:val="00F6209F"/>
    <w:rsid w:val="00F620BF"/>
    <w:rsid w:val="00F6223D"/>
    <w:rsid w:val="00F62465"/>
    <w:rsid w:val="00F62A84"/>
    <w:rsid w:val="00F62D83"/>
    <w:rsid w:val="00F62DE7"/>
    <w:rsid w:val="00F63112"/>
    <w:rsid w:val="00F63125"/>
    <w:rsid w:val="00F63270"/>
    <w:rsid w:val="00F633EB"/>
    <w:rsid w:val="00F633FD"/>
    <w:rsid w:val="00F63451"/>
    <w:rsid w:val="00F634BA"/>
    <w:rsid w:val="00F63657"/>
    <w:rsid w:val="00F6375E"/>
    <w:rsid w:val="00F637F6"/>
    <w:rsid w:val="00F638CB"/>
    <w:rsid w:val="00F639E0"/>
    <w:rsid w:val="00F63A5C"/>
    <w:rsid w:val="00F63AD8"/>
    <w:rsid w:val="00F63AE8"/>
    <w:rsid w:val="00F63BE4"/>
    <w:rsid w:val="00F63D2E"/>
    <w:rsid w:val="00F63E98"/>
    <w:rsid w:val="00F6420D"/>
    <w:rsid w:val="00F6452E"/>
    <w:rsid w:val="00F645C1"/>
    <w:rsid w:val="00F647C0"/>
    <w:rsid w:val="00F64A4E"/>
    <w:rsid w:val="00F64BBE"/>
    <w:rsid w:val="00F64D4C"/>
    <w:rsid w:val="00F65120"/>
    <w:rsid w:val="00F65237"/>
    <w:rsid w:val="00F65497"/>
    <w:rsid w:val="00F6556F"/>
    <w:rsid w:val="00F655C7"/>
    <w:rsid w:val="00F65763"/>
    <w:rsid w:val="00F65830"/>
    <w:rsid w:val="00F65867"/>
    <w:rsid w:val="00F65996"/>
    <w:rsid w:val="00F65998"/>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6E65"/>
    <w:rsid w:val="00F66FB4"/>
    <w:rsid w:val="00F67235"/>
    <w:rsid w:val="00F675BB"/>
    <w:rsid w:val="00F676FE"/>
    <w:rsid w:val="00F67C7C"/>
    <w:rsid w:val="00F67F67"/>
    <w:rsid w:val="00F700C1"/>
    <w:rsid w:val="00F700D0"/>
    <w:rsid w:val="00F70195"/>
    <w:rsid w:val="00F701C5"/>
    <w:rsid w:val="00F70255"/>
    <w:rsid w:val="00F70333"/>
    <w:rsid w:val="00F704A4"/>
    <w:rsid w:val="00F706B6"/>
    <w:rsid w:val="00F70761"/>
    <w:rsid w:val="00F707E0"/>
    <w:rsid w:val="00F70853"/>
    <w:rsid w:val="00F7096C"/>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20"/>
    <w:rsid w:val="00F714AD"/>
    <w:rsid w:val="00F7180A"/>
    <w:rsid w:val="00F71852"/>
    <w:rsid w:val="00F71CA5"/>
    <w:rsid w:val="00F71D6B"/>
    <w:rsid w:val="00F71D86"/>
    <w:rsid w:val="00F71FBD"/>
    <w:rsid w:val="00F71FFD"/>
    <w:rsid w:val="00F72301"/>
    <w:rsid w:val="00F72343"/>
    <w:rsid w:val="00F7235E"/>
    <w:rsid w:val="00F723C5"/>
    <w:rsid w:val="00F72640"/>
    <w:rsid w:val="00F72A94"/>
    <w:rsid w:val="00F72D00"/>
    <w:rsid w:val="00F72F39"/>
    <w:rsid w:val="00F72F57"/>
    <w:rsid w:val="00F732E1"/>
    <w:rsid w:val="00F733F5"/>
    <w:rsid w:val="00F73526"/>
    <w:rsid w:val="00F73607"/>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9EA"/>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C18"/>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306"/>
    <w:rsid w:val="00F77445"/>
    <w:rsid w:val="00F774D6"/>
    <w:rsid w:val="00F775FE"/>
    <w:rsid w:val="00F77660"/>
    <w:rsid w:val="00F7770A"/>
    <w:rsid w:val="00F77864"/>
    <w:rsid w:val="00F778D2"/>
    <w:rsid w:val="00F778FF"/>
    <w:rsid w:val="00F77950"/>
    <w:rsid w:val="00F77AE9"/>
    <w:rsid w:val="00F77C22"/>
    <w:rsid w:val="00F77C40"/>
    <w:rsid w:val="00F77D01"/>
    <w:rsid w:val="00F77D55"/>
    <w:rsid w:val="00F77DF7"/>
    <w:rsid w:val="00F77F6D"/>
    <w:rsid w:val="00F80021"/>
    <w:rsid w:val="00F8004B"/>
    <w:rsid w:val="00F8018E"/>
    <w:rsid w:val="00F80561"/>
    <w:rsid w:val="00F808EA"/>
    <w:rsid w:val="00F80A8E"/>
    <w:rsid w:val="00F80B3B"/>
    <w:rsid w:val="00F80D92"/>
    <w:rsid w:val="00F80EB0"/>
    <w:rsid w:val="00F80F36"/>
    <w:rsid w:val="00F80F77"/>
    <w:rsid w:val="00F80FC8"/>
    <w:rsid w:val="00F81037"/>
    <w:rsid w:val="00F811DF"/>
    <w:rsid w:val="00F813AB"/>
    <w:rsid w:val="00F814F7"/>
    <w:rsid w:val="00F815EB"/>
    <w:rsid w:val="00F81672"/>
    <w:rsid w:val="00F81CEC"/>
    <w:rsid w:val="00F81EB1"/>
    <w:rsid w:val="00F81FE7"/>
    <w:rsid w:val="00F8212D"/>
    <w:rsid w:val="00F82209"/>
    <w:rsid w:val="00F82269"/>
    <w:rsid w:val="00F824D9"/>
    <w:rsid w:val="00F8256F"/>
    <w:rsid w:val="00F82574"/>
    <w:rsid w:val="00F8261E"/>
    <w:rsid w:val="00F82629"/>
    <w:rsid w:val="00F82677"/>
    <w:rsid w:val="00F82764"/>
    <w:rsid w:val="00F827B4"/>
    <w:rsid w:val="00F82877"/>
    <w:rsid w:val="00F82A7E"/>
    <w:rsid w:val="00F82AEA"/>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53"/>
    <w:rsid w:val="00F84376"/>
    <w:rsid w:val="00F84668"/>
    <w:rsid w:val="00F846DF"/>
    <w:rsid w:val="00F8473B"/>
    <w:rsid w:val="00F84965"/>
    <w:rsid w:val="00F84A98"/>
    <w:rsid w:val="00F84CC8"/>
    <w:rsid w:val="00F84EA9"/>
    <w:rsid w:val="00F84F39"/>
    <w:rsid w:val="00F84F53"/>
    <w:rsid w:val="00F85059"/>
    <w:rsid w:val="00F851C3"/>
    <w:rsid w:val="00F85445"/>
    <w:rsid w:val="00F85462"/>
    <w:rsid w:val="00F858B4"/>
    <w:rsid w:val="00F858EF"/>
    <w:rsid w:val="00F859A5"/>
    <w:rsid w:val="00F85A93"/>
    <w:rsid w:val="00F85B8F"/>
    <w:rsid w:val="00F85D60"/>
    <w:rsid w:val="00F85E75"/>
    <w:rsid w:val="00F85FA9"/>
    <w:rsid w:val="00F864C2"/>
    <w:rsid w:val="00F864DF"/>
    <w:rsid w:val="00F86557"/>
    <w:rsid w:val="00F868F1"/>
    <w:rsid w:val="00F86983"/>
    <w:rsid w:val="00F86CBF"/>
    <w:rsid w:val="00F87013"/>
    <w:rsid w:val="00F8703F"/>
    <w:rsid w:val="00F87073"/>
    <w:rsid w:val="00F8720C"/>
    <w:rsid w:val="00F87257"/>
    <w:rsid w:val="00F87265"/>
    <w:rsid w:val="00F87453"/>
    <w:rsid w:val="00F87553"/>
    <w:rsid w:val="00F876EE"/>
    <w:rsid w:val="00F87A69"/>
    <w:rsid w:val="00F900DB"/>
    <w:rsid w:val="00F901CE"/>
    <w:rsid w:val="00F903C7"/>
    <w:rsid w:val="00F90507"/>
    <w:rsid w:val="00F90873"/>
    <w:rsid w:val="00F909AE"/>
    <w:rsid w:val="00F90AD2"/>
    <w:rsid w:val="00F90C67"/>
    <w:rsid w:val="00F90CF5"/>
    <w:rsid w:val="00F90D9B"/>
    <w:rsid w:val="00F90DAD"/>
    <w:rsid w:val="00F91329"/>
    <w:rsid w:val="00F91374"/>
    <w:rsid w:val="00F91415"/>
    <w:rsid w:val="00F91604"/>
    <w:rsid w:val="00F91681"/>
    <w:rsid w:val="00F916E9"/>
    <w:rsid w:val="00F91715"/>
    <w:rsid w:val="00F91974"/>
    <w:rsid w:val="00F91A44"/>
    <w:rsid w:val="00F91A8C"/>
    <w:rsid w:val="00F91CE6"/>
    <w:rsid w:val="00F91E38"/>
    <w:rsid w:val="00F91FB5"/>
    <w:rsid w:val="00F9204A"/>
    <w:rsid w:val="00F92136"/>
    <w:rsid w:val="00F9215E"/>
    <w:rsid w:val="00F924E7"/>
    <w:rsid w:val="00F92637"/>
    <w:rsid w:val="00F92691"/>
    <w:rsid w:val="00F926A5"/>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74"/>
    <w:rsid w:val="00F942DF"/>
    <w:rsid w:val="00F94332"/>
    <w:rsid w:val="00F94674"/>
    <w:rsid w:val="00F946C9"/>
    <w:rsid w:val="00F94712"/>
    <w:rsid w:val="00F94803"/>
    <w:rsid w:val="00F94815"/>
    <w:rsid w:val="00F948E6"/>
    <w:rsid w:val="00F94905"/>
    <w:rsid w:val="00F94A48"/>
    <w:rsid w:val="00F94A53"/>
    <w:rsid w:val="00F94A5C"/>
    <w:rsid w:val="00F94A7C"/>
    <w:rsid w:val="00F94EFF"/>
    <w:rsid w:val="00F95084"/>
    <w:rsid w:val="00F95086"/>
    <w:rsid w:val="00F95104"/>
    <w:rsid w:val="00F951FE"/>
    <w:rsid w:val="00F95363"/>
    <w:rsid w:val="00F95461"/>
    <w:rsid w:val="00F954C3"/>
    <w:rsid w:val="00F9563C"/>
    <w:rsid w:val="00F95644"/>
    <w:rsid w:val="00F9598C"/>
    <w:rsid w:val="00F95B62"/>
    <w:rsid w:val="00F95D28"/>
    <w:rsid w:val="00F95DA1"/>
    <w:rsid w:val="00F96576"/>
    <w:rsid w:val="00F965F9"/>
    <w:rsid w:val="00F9669D"/>
    <w:rsid w:val="00F9677E"/>
    <w:rsid w:val="00F9684B"/>
    <w:rsid w:val="00F96895"/>
    <w:rsid w:val="00F969A2"/>
    <w:rsid w:val="00F96BD3"/>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31"/>
    <w:rsid w:val="00F97E7D"/>
    <w:rsid w:val="00FA0034"/>
    <w:rsid w:val="00FA03D7"/>
    <w:rsid w:val="00FA0580"/>
    <w:rsid w:val="00FA070C"/>
    <w:rsid w:val="00FA0785"/>
    <w:rsid w:val="00FA0AF5"/>
    <w:rsid w:val="00FA0B3B"/>
    <w:rsid w:val="00FA0C8D"/>
    <w:rsid w:val="00FA0D4E"/>
    <w:rsid w:val="00FA0E55"/>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D94"/>
    <w:rsid w:val="00FA2E3A"/>
    <w:rsid w:val="00FA2EC4"/>
    <w:rsid w:val="00FA3077"/>
    <w:rsid w:val="00FA315F"/>
    <w:rsid w:val="00FA3165"/>
    <w:rsid w:val="00FA32D5"/>
    <w:rsid w:val="00FA381E"/>
    <w:rsid w:val="00FA383D"/>
    <w:rsid w:val="00FA38CD"/>
    <w:rsid w:val="00FA39F5"/>
    <w:rsid w:val="00FA3A4C"/>
    <w:rsid w:val="00FA3B80"/>
    <w:rsid w:val="00FA3C94"/>
    <w:rsid w:val="00FA3F04"/>
    <w:rsid w:val="00FA3FAB"/>
    <w:rsid w:val="00FA3FB0"/>
    <w:rsid w:val="00FA4108"/>
    <w:rsid w:val="00FA41A1"/>
    <w:rsid w:val="00FA41D3"/>
    <w:rsid w:val="00FA4268"/>
    <w:rsid w:val="00FA4275"/>
    <w:rsid w:val="00FA42A6"/>
    <w:rsid w:val="00FA4836"/>
    <w:rsid w:val="00FA4A66"/>
    <w:rsid w:val="00FA4C64"/>
    <w:rsid w:val="00FA4E97"/>
    <w:rsid w:val="00FA51A1"/>
    <w:rsid w:val="00FA5258"/>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99F"/>
    <w:rsid w:val="00FA6A25"/>
    <w:rsid w:val="00FA6A29"/>
    <w:rsid w:val="00FA6C69"/>
    <w:rsid w:val="00FA6E35"/>
    <w:rsid w:val="00FA6F17"/>
    <w:rsid w:val="00FA6F65"/>
    <w:rsid w:val="00FA6FA8"/>
    <w:rsid w:val="00FA7258"/>
    <w:rsid w:val="00FA7273"/>
    <w:rsid w:val="00FA7289"/>
    <w:rsid w:val="00FA72BF"/>
    <w:rsid w:val="00FA7507"/>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2F1"/>
    <w:rsid w:val="00FB03B6"/>
    <w:rsid w:val="00FB0460"/>
    <w:rsid w:val="00FB0555"/>
    <w:rsid w:val="00FB055F"/>
    <w:rsid w:val="00FB0739"/>
    <w:rsid w:val="00FB075E"/>
    <w:rsid w:val="00FB0D2A"/>
    <w:rsid w:val="00FB0D78"/>
    <w:rsid w:val="00FB0E87"/>
    <w:rsid w:val="00FB0EDA"/>
    <w:rsid w:val="00FB1163"/>
    <w:rsid w:val="00FB1297"/>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2F20"/>
    <w:rsid w:val="00FB301E"/>
    <w:rsid w:val="00FB3174"/>
    <w:rsid w:val="00FB319B"/>
    <w:rsid w:val="00FB3532"/>
    <w:rsid w:val="00FB3664"/>
    <w:rsid w:val="00FB3726"/>
    <w:rsid w:val="00FB38F4"/>
    <w:rsid w:val="00FB3913"/>
    <w:rsid w:val="00FB3938"/>
    <w:rsid w:val="00FB3A74"/>
    <w:rsid w:val="00FB3B31"/>
    <w:rsid w:val="00FB3D05"/>
    <w:rsid w:val="00FB3DF6"/>
    <w:rsid w:val="00FB3F63"/>
    <w:rsid w:val="00FB4082"/>
    <w:rsid w:val="00FB42C5"/>
    <w:rsid w:val="00FB42CF"/>
    <w:rsid w:val="00FB4346"/>
    <w:rsid w:val="00FB4353"/>
    <w:rsid w:val="00FB437A"/>
    <w:rsid w:val="00FB43E3"/>
    <w:rsid w:val="00FB4745"/>
    <w:rsid w:val="00FB4922"/>
    <w:rsid w:val="00FB49C5"/>
    <w:rsid w:val="00FB4C88"/>
    <w:rsid w:val="00FB4CAD"/>
    <w:rsid w:val="00FB4CC8"/>
    <w:rsid w:val="00FB4D4F"/>
    <w:rsid w:val="00FB505D"/>
    <w:rsid w:val="00FB5080"/>
    <w:rsid w:val="00FB5152"/>
    <w:rsid w:val="00FB54EA"/>
    <w:rsid w:val="00FB558F"/>
    <w:rsid w:val="00FB5707"/>
    <w:rsid w:val="00FB57B1"/>
    <w:rsid w:val="00FB5A87"/>
    <w:rsid w:val="00FB5C0D"/>
    <w:rsid w:val="00FB5F73"/>
    <w:rsid w:val="00FB61A8"/>
    <w:rsid w:val="00FB6258"/>
    <w:rsid w:val="00FB6451"/>
    <w:rsid w:val="00FB675D"/>
    <w:rsid w:val="00FB6768"/>
    <w:rsid w:val="00FB6AAE"/>
    <w:rsid w:val="00FB6BD7"/>
    <w:rsid w:val="00FB6D4F"/>
    <w:rsid w:val="00FB6ED2"/>
    <w:rsid w:val="00FB6F23"/>
    <w:rsid w:val="00FB7063"/>
    <w:rsid w:val="00FB7175"/>
    <w:rsid w:val="00FB717D"/>
    <w:rsid w:val="00FB72B6"/>
    <w:rsid w:val="00FB73A3"/>
    <w:rsid w:val="00FB73E5"/>
    <w:rsid w:val="00FB771F"/>
    <w:rsid w:val="00FB77DA"/>
    <w:rsid w:val="00FB78A7"/>
    <w:rsid w:val="00FB7A26"/>
    <w:rsid w:val="00FB7A39"/>
    <w:rsid w:val="00FB7A3C"/>
    <w:rsid w:val="00FB7A9D"/>
    <w:rsid w:val="00FB7AEF"/>
    <w:rsid w:val="00FB7B1A"/>
    <w:rsid w:val="00FB7B75"/>
    <w:rsid w:val="00FB7C4C"/>
    <w:rsid w:val="00FB7CE0"/>
    <w:rsid w:val="00FB7DBE"/>
    <w:rsid w:val="00FB7EE5"/>
    <w:rsid w:val="00FB7F50"/>
    <w:rsid w:val="00FC015F"/>
    <w:rsid w:val="00FC01AA"/>
    <w:rsid w:val="00FC0261"/>
    <w:rsid w:val="00FC02A3"/>
    <w:rsid w:val="00FC0417"/>
    <w:rsid w:val="00FC04C4"/>
    <w:rsid w:val="00FC0537"/>
    <w:rsid w:val="00FC0625"/>
    <w:rsid w:val="00FC0680"/>
    <w:rsid w:val="00FC0761"/>
    <w:rsid w:val="00FC07E5"/>
    <w:rsid w:val="00FC0920"/>
    <w:rsid w:val="00FC09C1"/>
    <w:rsid w:val="00FC0ADB"/>
    <w:rsid w:val="00FC0B6E"/>
    <w:rsid w:val="00FC0D73"/>
    <w:rsid w:val="00FC0E46"/>
    <w:rsid w:val="00FC0F2A"/>
    <w:rsid w:val="00FC0F46"/>
    <w:rsid w:val="00FC1465"/>
    <w:rsid w:val="00FC1496"/>
    <w:rsid w:val="00FC155B"/>
    <w:rsid w:val="00FC1627"/>
    <w:rsid w:val="00FC1694"/>
    <w:rsid w:val="00FC17F6"/>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C85"/>
    <w:rsid w:val="00FC2E1D"/>
    <w:rsid w:val="00FC2E7B"/>
    <w:rsid w:val="00FC2F36"/>
    <w:rsid w:val="00FC2F44"/>
    <w:rsid w:val="00FC307F"/>
    <w:rsid w:val="00FC3103"/>
    <w:rsid w:val="00FC332B"/>
    <w:rsid w:val="00FC33AC"/>
    <w:rsid w:val="00FC3478"/>
    <w:rsid w:val="00FC36B0"/>
    <w:rsid w:val="00FC379B"/>
    <w:rsid w:val="00FC38C2"/>
    <w:rsid w:val="00FC38DA"/>
    <w:rsid w:val="00FC38E9"/>
    <w:rsid w:val="00FC3940"/>
    <w:rsid w:val="00FC3A67"/>
    <w:rsid w:val="00FC3B02"/>
    <w:rsid w:val="00FC3B43"/>
    <w:rsid w:val="00FC412F"/>
    <w:rsid w:val="00FC416D"/>
    <w:rsid w:val="00FC416F"/>
    <w:rsid w:val="00FC4273"/>
    <w:rsid w:val="00FC432F"/>
    <w:rsid w:val="00FC44F1"/>
    <w:rsid w:val="00FC4661"/>
    <w:rsid w:val="00FC4668"/>
    <w:rsid w:val="00FC48CB"/>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C3E"/>
    <w:rsid w:val="00FC5D39"/>
    <w:rsid w:val="00FC5EBE"/>
    <w:rsid w:val="00FC5F89"/>
    <w:rsid w:val="00FC5F96"/>
    <w:rsid w:val="00FC601F"/>
    <w:rsid w:val="00FC637B"/>
    <w:rsid w:val="00FC64C5"/>
    <w:rsid w:val="00FC655E"/>
    <w:rsid w:val="00FC671F"/>
    <w:rsid w:val="00FC678E"/>
    <w:rsid w:val="00FC6895"/>
    <w:rsid w:val="00FC6D81"/>
    <w:rsid w:val="00FC6FA0"/>
    <w:rsid w:val="00FC6FF0"/>
    <w:rsid w:val="00FC7170"/>
    <w:rsid w:val="00FC739C"/>
    <w:rsid w:val="00FC739D"/>
    <w:rsid w:val="00FC73BE"/>
    <w:rsid w:val="00FC76A8"/>
    <w:rsid w:val="00FC77D3"/>
    <w:rsid w:val="00FC78E8"/>
    <w:rsid w:val="00FC7952"/>
    <w:rsid w:val="00FC7C89"/>
    <w:rsid w:val="00FC7F00"/>
    <w:rsid w:val="00FC7F35"/>
    <w:rsid w:val="00FC7F94"/>
    <w:rsid w:val="00FD02C0"/>
    <w:rsid w:val="00FD048A"/>
    <w:rsid w:val="00FD05D3"/>
    <w:rsid w:val="00FD06D6"/>
    <w:rsid w:val="00FD09D2"/>
    <w:rsid w:val="00FD0BE7"/>
    <w:rsid w:val="00FD0CF8"/>
    <w:rsid w:val="00FD0E1C"/>
    <w:rsid w:val="00FD0F8F"/>
    <w:rsid w:val="00FD10C3"/>
    <w:rsid w:val="00FD1294"/>
    <w:rsid w:val="00FD13BA"/>
    <w:rsid w:val="00FD147E"/>
    <w:rsid w:val="00FD14AC"/>
    <w:rsid w:val="00FD15ED"/>
    <w:rsid w:val="00FD1739"/>
    <w:rsid w:val="00FD179C"/>
    <w:rsid w:val="00FD197D"/>
    <w:rsid w:val="00FD1AA4"/>
    <w:rsid w:val="00FD1AB2"/>
    <w:rsid w:val="00FD1B48"/>
    <w:rsid w:val="00FD1BB5"/>
    <w:rsid w:val="00FD20CC"/>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2F8B"/>
    <w:rsid w:val="00FD3186"/>
    <w:rsid w:val="00FD318A"/>
    <w:rsid w:val="00FD31B9"/>
    <w:rsid w:val="00FD3388"/>
    <w:rsid w:val="00FD3419"/>
    <w:rsid w:val="00FD360B"/>
    <w:rsid w:val="00FD3678"/>
    <w:rsid w:val="00FD371D"/>
    <w:rsid w:val="00FD38FC"/>
    <w:rsid w:val="00FD399D"/>
    <w:rsid w:val="00FD3A39"/>
    <w:rsid w:val="00FD3ABF"/>
    <w:rsid w:val="00FD3C75"/>
    <w:rsid w:val="00FD3C87"/>
    <w:rsid w:val="00FD41F8"/>
    <w:rsid w:val="00FD443A"/>
    <w:rsid w:val="00FD4690"/>
    <w:rsid w:val="00FD46F8"/>
    <w:rsid w:val="00FD47B0"/>
    <w:rsid w:val="00FD4952"/>
    <w:rsid w:val="00FD49B7"/>
    <w:rsid w:val="00FD49C1"/>
    <w:rsid w:val="00FD4A59"/>
    <w:rsid w:val="00FD4B6E"/>
    <w:rsid w:val="00FD4C91"/>
    <w:rsid w:val="00FD4CBA"/>
    <w:rsid w:val="00FD4CBE"/>
    <w:rsid w:val="00FD4D7E"/>
    <w:rsid w:val="00FD5038"/>
    <w:rsid w:val="00FD5259"/>
    <w:rsid w:val="00FD5443"/>
    <w:rsid w:val="00FD56AE"/>
    <w:rsid w:val="00FD5755"/>
    <w:rsid w:val="00FD575E"/>
    <w:rsid w:val="00FD57CB"/>
    <w:rsid w:val="00FD5828"/>
    <w:rsid w:val="00FD584A"/>
    <w:rsid w:val="00FD5A00"/>
    <w:rsid w:val="00FD5A9E"/>
    <w:rsid w:val="00FD5BD2"/>
    <w:rsid w:val="00FD5FB3"/>
    <w:rsid w:val="00FD60B3"/>
    <w:rsid w:val="00FD60ED"/>
    <w:rsid w:val="00FD61D8"/>
    <w:rsid w:val="00FD6318"/>
    <w:rsid w:val="00FD6333"/>
    <w:rsid w:val="00FD63CF"/>
    <w:rsid w:val="00FD63F9"/>
    <w:rsid w:val="00FD64F6"/>
    <w:rsid w:val="00FD657E"/>
    <w:rsid w:val="00FD6636"/>
    <w:rsid w:val="00FD695A"/>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B5"/>
    <w:rsid w:val="00FD79CB"/>
    <w:rsid w:val="00FD7B8A"/>
    <w:rsid w:val="00FD7BF0"/>
    <w:rsid w:val="00FD7FCE"/>
    <w:rsid w:val="00FE02D1"/>
    <w:rsid w:val="00FE032D"/>
    <w:rsid w:val="00FE0476"/>
    <w:rsid w:val="00FE04C0"/>
    <w:rsid w:val="00FE05F1"/>
    <w:rsid w:val="00FE0600"/>
    <w:rsid w:val="00FE0790"/>
    <w:rsid w:val="00FE0875"/>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3F"/>
    <w:rsid w:val="00FE22F3"/>
    <w:rsid w:val="00FE2311"/>
    <w:rsid w:val="00FE23C6"/>
    <w:rsid w:val="00FE2421"/>
    <w:rsid w:val="00FE2485"/>
    <w:rsid w:val="00FE2487"/>
    <w:rsid w:val="00FE248D"/>
    <w:rsid w:val="00FE253A"/>
    <w:rsid w:val="00FE27FE"/>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A65"/>
    <w:rsid w:val="00FE3CB9"/>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4FD7"/>
    <w:rsid w:val="00FE505D"/>
    <w:rsid w:val="00FE530B"/>
    <w:rsid w:val="00FE5398"/>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411"/>
    <w:rsid w:val="00FE652B"/>
    <w:rsid w:val="00FE6616"/>
    <w:rsid w:val="00FE674E"/>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AF8"/>
    <w:rsid w:val="00FE7B23"/>
    <w:rsid w:val="00FE7C2B"/>
    <w:rsid w:val="00FE7ECD"/>
    <w:rsid w:val="00FF0050"/>
    <w:rsid w:val="00FF0350"/>
    <w:rsid w:val="00FF04E0"/>
    <w:rsid w:val="00FF04ED"/>
    <w:rsid w:val="00FF0731"/>
    <w:rsid w:val="00FF0DE8"/>
    <w:rsid w:val="00FF1077"/>
    <w:rsid w:val="00FF108B"/>
    <w:rsid w:val="00FF10C6"/>
    <w:rsid w:val="00FF1574"/>
    <w:rsid w:val="00FF1755"/>
    <w:rsid w:val="00FF1953"/>
    <w:rsid w:val="00FF19B0"/>
    <w:rsid w:val="00FF1A28"/>
    <w:rsid w:val="00FF1B33"/>
    <w:rsid w:val="00FF1BB7"/>
    <w:rsid w:val="00FF1C1F"/>
    <w:rsid w:val="00FF1E30"/>
    <w:rsid w:val="00FF2100"/>
    <w:rsid w:val="00FF2328"/>
    <w:rsid w:val="00FF264B"/>
    <w:rsid w:val="00FF2804"/>
    <w:rsid w:val="00FF2C74"/>
    <w:rsid w:val="00FF2C97"/>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B70"/>
    <w:rsid w:val="00FF4C3B"/>
    <w:rsid w:val="00FF4C6A"/>
    <w:rsid w:val="00FF4D0D"/>
    <w:rsid w:val="00FF4D28"/>
    <w:rsid w:val="00FF4F00"/>
    <w:rsid w:val="00FF4F07"/>
    <w:rsid w:val="00FF4FFD"/>
    <w:rsid w:val="00FF5024"/>
    <w:rsid w:val="00FF5202"/>
    <w:rsid w:val="00FF55C8"/>
    <w:rsid w:val="00FF55E8"/>
    <w:rsid w:val="00FF571A"/>
    <w:rsid w:val="00FF586B"/>
    <w:rsid w:val="00FF5939"/>
    <w:rsid w:val="00FF5A32"/>
    <w:rsid w:val="00FF5A3A"/>
    <w:rsid w:val="00FF5ADA"/>
    <w:rsid w:val="00FF5D18"/>
    <w:rsid w:val="00FF5EAD"/>
    <w:rsid w:val="00FF5F0E"/>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305"/>
    <w:rsid w:val="00FF7578"/>
    <w:rsid w:val="00FF77B1"/>
    <w:rsid w:val="00FF7828"/>
    <w:rsid w:val="00FF7832"/>
    <w:rsid w:val="00FF7856"/>
    <w:rsid w:val="00FF7915"/>
    <w:rsid w:val="00FF7BD3"/>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E5D1141"/>
  <w15:docId w15:val="{C714D9C8-3CDF-428D-B590-C2C53AF5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6A5"/>
    <w:pPr>
      <w:spacing w:after="240"/>
    </w:pPr>
    <w:rPr>
      <w:rFonts w:ascii="Cambria" w:hAnsi="Cambria"/>
      <w:color w:val="auto"/>
    </w:rPr>
  </w:style>
  <w:style w:type="paragraph" w:styleId="Heading1">
    <w:name w:val="heading 1"/>
    <w:basedOn w:val="Normal"/>
    <w:next w:val="Normal"/>
    <w:link w:val="Heading1Char9"/>
    <w:qFormat/>
    <w:rsid w:val="009060B3"/>
    <w:pPr>
      <w:keepNext/>
      <w:keepLines/>
      <w:pageBreakBefore/>
      <w:numPr>
        <w:numId w:val="25"/>
      </w:numPr>
      <w:outlineLvl w:val="0"/>
    </w:pPr>
    <w:rPr>
      <w:rFonts w:ascii="Calibri" w:eastAsiaTheme="majorEastAsia" w:hAnsi="Calibri" w:cstheme="majorBidi"/>
      <w:b/>
      <w:bCs/>
      <w:color w:val="1795D2" w:themeColor="accent1"/>
      <w:sz w:val="36"/>
      <w:szCs w:val="28"/>
    </w:rPr>
  </w:style>
  <w:style w:type="paragraph" w:styleId="Heading2">
    <w:name w:val="heading 2"/>
    <w:basedOn w:val="Normal"/>
    <w:next w:val="Normal"/>
    <w:link w:val="Heading2Char10"/>
    <w:unhideWhenUsed/>
    <w:qFormat/>
    <w:rsid w:val="00B62AF0"/>
    <w:pPr>
      <w:keepNext/>
      <w:keepLines/>
      <w:numPr>
        <w:ilvl w:val="1"/>
        <w:numId w:val="25"/>
      </w:numPr>
      <w:pBdr>
        <w:bottom w:val="single" w:sz="2" w:space="1" w:color="auto"/>
      </w:pBdr>
      <w:spacing w:after="12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E91988"/>
    <w:pPr>
      <w:keepNext/>
      <w:keepLines/>
      <w:numPr>
        <w:ilvl w:val="2"/>
        <w:numId w:val="25"/>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25"/>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25"/>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25"/>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25"/>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25"/>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25"/>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color w:val="auto"/>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315D3A"/>
    <w:pPr>
      <w:numPr>
        <w:numId w:val="22"/>
      </w:numPr>
      <w:spacing w:after="240" w:line="276" w:lineRule="auto"/>
    </w:pPr>
    <w:rPr>
      <w:rFonts w:ascii="Cambria" w:hAnsi="Cambria"/>
      <w:iCs/>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1E471C"/>
    <w:pPr>
      <w:tabs>
        <w:tab w:val="right" w:leader="dot" w:pos="9360"/>
      </w:tabs>
      <w:spacing w:after="120" w:line="240" w:lineRule="auto"/>
    </w:pPr>
    <w:rPr>
      <w:rFonts w:ascii="Calibri" w:eastAsia="Times New Roman" w:hAnsi="Calibri" w:cstheme="majorBidi"/>
      <w:bCs/>
      <w:iCs/>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1E471C"/>
    <w:pPr>
      <w:tabs>
        <w:tab w:val="right" w:leader="dot" w:pos="9360"/>
        <w:tab w:val="right" w:leader="dot" w:pos="9450"/>
      </w:tabs>
      <w:spacing w:after="40"/>
      <w:ind w:left="907" w:hanging="547"/>
    </w:pPr>
    <w:rPr>
      <w:rFonts w:ascii="Calibri" w:eastAsia="Times New Roman" w:hAnsi="Calibri" w:cstheme="majorBidi"/>
      <w:b/>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2"/>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3"/>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5"/>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4"/>
      </w:numPr>
    </w:pPr>
  </w:style>
  <w:style w:type="character" w:customStyle="1" w:styleId="NoSpacingChar">
    <w:name w:val="No Spacing Char"/>
    <w:basedOn w:val="DefaultParagraphFont"/>
    <w:link w:val="NoSpacing"/>
    <w:uiPriority w:val="1"/>
    <w:rsid w:val="00315D3A"/>
    <w:rPr>
      <w:rFonts w:ascii="Cambria" w:hAnsi="Cambria"/>
      <w:iCs/>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8"/>
      </w:numPr>
      <w:spacing w:after="60" w:line="240" w:lineRule="auto"/>
    </w:pPr>
    <w:rPr>
      <w:rFonts w:eastAsia="Times New Roman"/>
      <w:sz w:val="24"/>
      <w:szCs w:val="24"/>
    </w:rPr>
  </w:style>
  <w:style w:type="paragraph" w:customStyle="1" w:styleId="NumberedList">
    <w:name w:val="NumberedList"/>
    <w:rsid w:val="00196ECD"/>
    <w:pPr>
      <w:numPr>
        <w:ilvl w:val="1"/>
        <w:numId w:val="7"/>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9"/>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0"/>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1"/>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2"/>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3"/>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4"/>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5"/>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6"/>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7"/>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8"/>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20"/>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6"/>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Cambria" w:eastAsia="Times New Roman" w:hAnsi="Cambria"/>
      <w:color w:val="auto"/>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19"/>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382D40"/>
    <w:pPr>
      <w:spacing w:after="120"/>
      <w:ind w:left="720" w:hanging="36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23"/>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748"/>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Char Char, Char Char"/>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9060B3"/>
    <w:rPr>
      <w:rFonts w:eastAsiaTheme="majorEastAsia" w:cstheme="majorBidi"/>
      <w:b/>
      <w:bCs/>
      <w:color w:val="1795D2" w:themeColor="accent1"/>
      <w:sz w:val="36"/>
      <w:szCs w:val="28"/>
    </w:rPr>
  </w:style>
  <w:style w:type="character" w:customStyle="1" w:styleId="Heading2Char10">
    <w:name w:val="Heading 2 Char10"/>
    <w:basedOn w:val="DefaultParagraphFont"/>
    <w:link w:val="Heading2"/>
    <w:rsid w:val="00B62AF0"/>
    <w:rPr>
      <w:rFonts w:eastAsiaTheme="majorEastAsia" w:cstheme="majorBidi"/>
      <w:b/>
      <w:bCs/>
      <w:color w:val="auto"/>
      <w:sz w:val="24"/>
      <w:szCs w:val="26"/>
    </w:rPr>
  </w:style>
  <w:style w:type="character" w:customStyle="1" w:styleId="Heading3Char17">
    <w:name w:val="Heading 3 Char17"/>
    <w:basedOn w:val="DefaultParagraphFont"/>
    <w:link w:val="Heading3"/>
    <w:rsid w:val="00E91988"/>
    <w:rPr>
      <w:rFonts w:eastAsiaTheme="majorEastAsia" w:cstheme="majorBidi"/>
      <w:b/>
      <w:bCs/>
      <w:color w:val="auto"/>
    </w:rPr>
  </w:style>
  <w:style w:type="character" w:customStyle="1" w:styleId="Heading4Char10">
    <w:name w:val="Heading 4 Char10"/>
    <w:basedOn w:val="DefaultParagraphFont"/>
    <w:link w:val="Heading4"/>
    <w:rsid w:val="00A72CA4"/>
    <w:rPr>
      <w:rFonts w:eastAsiaTheme="majorEastAsia" w:cstheme="majorBidi"/>
      <w:bCs/>
      <w:i/>
      <w:iCs/>
      <w:color w:val="auto"/>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5A4357"/>
    <w:pPr>
      <w:tabs>
        <w:tab w:val="right" w:leader="dot" w:pos="9360"/>
      </w:tabs>
      <w:spacing w:after="120" w:line="240" w:lineRule="auto"/>
    </w:pPr>
    <w:rPr>
      <w:rFonts w:ascii="Calibri" w:eastAsiaTheme="majorEastAsia" w:hAnsi="Calibri" w:cstheme="majorBidi"/>
      <w:b/>
      <w:noProof/>
      <w14:scene3d>
        <w14:camera w14:prst="orthographicFront"/>
        <w14:lightRig w14:rig="threePt" w14:dir="t">
          <w14:rot w14:lat="0" w14:lon="0" w14:rev="0"/>
        </w14:lightRig>
      </w14:scene3d>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945E2"/>
    <w:pPr>
      <w:spacing w:after="120" w:line="240" w:lineRule="auto"/>
    </w:pPr>
    <w:rPr>
      <w:rFonts w:ascii="Calibri" w:hAnsi="Calibri"/>
    </w:rPr>
  </w:style>
  <w:style w:type="numbering" w:customStyle="1" w:styleId="ISOReportStyle1">
    <w:name w:val="ISO Report Style1"/>
    <w:uiPriority w:val="99"/>
    <w:rsid w:val="00F273F3"/>
  </w:style>
  <w:style w:type="numbering" w:customStyle="1" w:styleId="NoList6">
    <w:name w:val="No List6"/>
    <w:next w:val="NoList"/>
    <w:uiPriority w:val="99"/>
    <w:semiHidden/>
    <w:unhideWhenUsed/>
    <w:rsid w:val="00DB6EC8"/>
  </w:style>
  <w:style w:type="table" w:customStyle="1" w:styleId="TableGrid6">
    <w:name w:val="Table Grid6"/>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
    <w:name w:val="Light Grid15"/>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
    <w:name w:val="Medium Shading 1 - Accent 115"/>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
    <w:name w:val="Medium Grid 1 - Accent 15"/>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
    <w:name w:val="Light Shading - Accent 115"/>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
    <w:name w:val="RSP_Style5"/>
    <w:basedOn w:val="TableNormal"/>
    <w:uiPriority w:val="99"/>
    <w:qFormat/>
    <w:rsid w:val="00DB6EC8"/>
    <w:pPr>
      <w:spacing w:after="0" w:line="240" w:lineRule="auto"/>
    </w:pPr>
    <w:tblPr/>
  </w:style>
  <w:style w:type="table" w:customStyle="1" w:styleId="20122tableformat5">
    <w:name w:val="2012 2 table format5"/>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
    <w:name w:val="Medium Grid 1 - Accent 65"/>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
    <w:name w:val="Light List - Accent 65"/>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
    <w:name w:val="Light Grid - Accent 115"/>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
    <w:name w:val="2012 Style5"/>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
    <w:name w:val="Light Shading - Accent 125"/>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
    <w:name w:val="No List15"/>
    <w:next w:val="NoList"/>
    <w:uiPriority w:val="99"/>
    <w:semiHidden/>
    <w:unhideWhenUsed/>
    <w:rsid w:val="00DB6EC8"/>
  </w:style>
  <w:style w:type="numbering" w:customStyle="1" w:styleId="CurrentList115">
    <w:name w:val="Current List115"/>
    <w:rsid w:val="00DB6EC8"/>
  </w:style>
  <w:style w:type="table" w:customStyle="1" w:styleId="TableGrid14">
    <w:name w:val="Table Grid14"/>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
    <w:name w:val="Bulleted List15"/>
    <w:rsid w:val="00DB6EC8"/>
  </w:style>
  <w:style w:type="table" w:customStyle="1" w:styleId="LightShading114">
    <w:name w:val="Light Shading114"/>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
    <w:name w:val="Light Grid114"/>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
    <w:name w:val="Medium Shading 1 - Accent 1114"/>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
    <w:name w:val="Medium Grid 1 - Accent 114"/>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
    <w:name w:val="Light Shading - Accent 1114"/>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
    <w:name w:val="RSP_Style14"/>
    <w:basedOn w:val="TableNormal"/>
    <w:uiPriority w:val="99"/>
    <w:qFormat/>
    <w:rsid w:val="00DB6EC8"/>
    <w:pPr>
      <w:spacing w:after="0" w:line="240" w:lineRule="auto"/>
    </w:pPr>
    <w:tblPr/>
  </w:style>
  <w:style w:type="table" w:customStyle="1" w:styleId="20122tableformat14">
    <w:name w:val="2012 2 table format14"/>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
    <w:name w:val="Medium Grid 1 - Accent 614"/>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
    <w:name w:val="Light List - Accent 614"/>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
    <w:name w:val="Light Grid - Accent 1114"/>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
    <w:name w:val="2012 Style14"/>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
    <w:name w:val="Light Shading - Accent 1214"/>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
    <w:name w:val="Medium Shading 1 - Accent 44"/>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DB6EC8"/>
  </w:style>
  <w:style w:type="numbering" w:customStyle="1" w:styleId="CurrentList121">
    <w:name w:val="Current List121"/>
    <w:rsid w:val="00DB6EC8"/>
  </w:style>
  <w:style w:type="numbering" w:customStyle="1" w:styleId="BulletedList21">
    <w:name w:val="Bulleted List21"/>
    <w:rsid w:val="00DB6EC8"/>
  </w:style>
  <w:style w:type="numbering" w:customStyle="1" w:styleId="NoList111">
    <w:name w:val="No List111"/>
    <w:next w:val="NoList"/>
    <w:uiPriority w:val="99"/>
    <w:semiHidden/>
    <w:unhideWhenUsed/>
    <w:rsid w:val="00DB6EC8"/>
  </w:style>
  <w:style w:type="numbering" w:customStyle="1" w:styleId="CurrentList1111">
    <w:name w:val="Current List1111"/>
    <w:rsid w:val="00DB6EC8"/>
  </w:style>
  <w:style w:type="numbering" w:customStyle="1" w:styleId="BulletedList111">
    <w:name w:val="Bulleted List111"/>
    <w:rsid w:val="00DB6EC8"/>
  </w:style>
  <w:style w:type="numbering" w:customStyle="1" w:styleId="NoList31">
    <w:name w:val="No List31"/>
    <w:next w:val="NoList"/>
    <w:uiPriority w:val="99"/>
    <w:semiHidden/>
    <w:unhideWhenUsed/>
    <w:rsid w:val="00DB6EC8"/>
  </w:style>
  <w:style w:type="table" w:customStyle="1" w:styleId="TableGrid21">
    <w:name w:val="Table Grid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
    <w:name w:val="Light Grid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
    <w:name w:val="Medium Shading 1 - Accent 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
    <w:name w:val="Medium Grid 1 - Accent 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
    <w:name w:val="Light Shading - Accent 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
    <w:name w:val="RSP_Style21"/>
    <w:basedOn w:val="TableNormal"/>
    <w:uiPriority w:val="99"/>
    <w:qFormat/>
    <w:rsid w:val="00DB6EC8"/>
    <w:pPr>
      <w:spacing w:after="0" w:line="240" w:lineRule="auto"/>
    </w:pPr>
    <w:tblPr/>
  </w:style>
  <w:style w:type="table" w:customStyle="1" w:styleId="20122tableformat21">
    <w:name w:val="2012 2 table format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
    <w:name w:val="Medium Grid 1 - Accent 6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
    <w:name w:val="Light List - Accent 6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
    <w:name w:val="Light Grid - Accent 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
    <w:name w:val="2012 Style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
    <w:name w:val="Light Shading - Accent 12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
    <w:name w:val="No List121"/>
    <w:next w:val="NoList"/>
    <w:uiPriority w:val="99"/>
    <w:semiHidden/>
    <w:unhideWhenUsed/>
    <w:rsid w:val="00DB6EC8"/>
  </w:style>
  <w:style w:type="numbering" w:customStyle="1" w:styleId="CurrentList1121">
    <w:name w:val="Current List1121"/>
    <w:rsid w:val="00DB6EC8"/>
  </w:style>
  <w:style w:type="table" w:customStyle="1" w:styleId="TableGrid111">
    <w:name w:val="Table Grid1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
    <w:name w:val="Bulleted List121"/>
    <w:rsid w:val="00DB6EC8"/>
  </w:style>
  <w:style w:type="table" w:customStyle="1" w:styleId="LightShading1111">
    <w:name w:val="Light Shading111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
    <w:name w:val="Light Grid111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
    <w:name w:val="Medium Shading 1 - Accent 1111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
    <w:name w:val="Medium Grid 1 - Accent 111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
    <w:name w:val="Light Shading - Accent 1111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
    <w:name w:val="RSP_Style111"/>
    <w:basedOn w:val="TableNormal"/>
    <w:uiPriority w:val="99"/>
    <w:qFormat/>
    <w:rsid w:val="00DB6EC8"/>
    <w:pPr>
      <w:spacing w:after="0" w:line="240" w:lineRule="auto"/>
    </w:pPr>
    <w:tblPr/>
  </w:style>
  <w:style w:type="table" w:customStyle="1" w:styleId="20122tableformat111">
    <w:name w:val="2012 2 table format11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
    <w:name w:val="Medium Grid 1 - Accent 611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
    <w:name w:val="Light List - Accent 611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
    <w:name w:val="Light Grid - Accent 1111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
    <w:name w:val="2012 Style11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
    <w:name w:val="Light Shading - Accent 1211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
    <w:name w:val="Medium Shading 1 - Accent 41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DB6EC8"/>
  </w:style>
  <w:style w:type="table" w:customStyle="1" w:styleId="TableGrid32">
    <w:name w:val="Table Grid32"/>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
    <w:name w:val="Light Shading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
    <w:name w:val="Light Grid13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
    <w:name w:val="Medium Shading 1 - Accent 113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
    <w:name w:val="Medium Grid 1 - Accent 13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
    <w:name w:val="Light Shading - Accent 113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
    <w:name w:val="RSP_Style31"/>
    <w:basedOn w:val="TableNormal"/>
    <w:uiPriority w:val="99"/>
    <w:qFormat/>
    <w:rsid w:val="00DB6EC8"/>
    <w:pPr>
      <w:spacing w:after="0" w:line="240" w:lineRule="auto"/>
    </w:pPr>
    <w:tblPr/>
  </w:style>
  <w:style w:type="table" w:customStyle="1" w:styleId="20122tableformat31">
    <w:name w:val="2012 2 table format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
    <w:name w:val="Medium Grid 1 - Accent 63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
    <w:name w:val="Light List - Accent 63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
    <w:name w:val="Light Grid - Accent 113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
    <w:name w:val="2012 Style3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
    <w:name w:val="Light Shading - Accent 12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
    <w:name w:val="No List131"/>
    <w:next w:val="NoList"/>
    <w:uiPriority w:val="99"/>
    <w:semiHidden/>
    <w:unhideWhenUsed/>
    <w:rsid w:val="00DB6EC8"/>
  </w:style>
  <w:style w:type="numbering" w:customStyle="1" w:styleId="CurrentList1131">
    <w:name w:val="Current List1131"/>
    <w:rsid w:val="00DB6EC8"/>
  </w:style>
  <w:style w:type="table" w:customStyle="1" w:styleId="TableGrid121">
    <w:name w:val="Table Grid12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
    <w:name w:val="Bulleted List131"/>
    <w:rsid w:val="00DB6EC8"/>
  </w:style>
  <w:style w:type="table" w:customStyle="1" w:styleId="LightShading1121">
    <w:name w:val="Light Shading112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
    <w:name w:val="Light Grid1121"/>
    <w:basedOn w:val="TableNormal"/>
    <w:uiPriority w:val="62"/>
    <w:rsid w:val="00DB6EC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
    <w:name w:val="Medium Shading 1 - Accent 11121"/>
    <w:basedOn w:val="TableNormal"/>
    <w:uiPriority w:val="63"/>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
    <w:name w:val="Medium Grid 1 - Accent 1121"/>
    <w:basedOn w:val="TableNormal"/>
    <w:next w:val="MediumGrid1-Accent1"/>
    <w:uiPriority w:val="67"/>
    <w:rsid w:val="00DB6EC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
    <w:name w:val="Light Shading - Accent 11121"/>
    <w:basedOn w:val="TableNormal"/>
    <w:uiPriority w:val="60"/>
    <w:rsid w:val="00DB6EC8"/>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
    <w:name w:val="RSP_Style121"/>
    <w:basedOn w:val="TableNormal"/>
    <w:uiPriority w:val="99"/>
    <w:qFormat/>
    <w:rsid w:val="00DB6EC8"/>
    <w:pPr>
      <w:spacing w:after="0" w:line="240" w:lineRule="auto"/>
    </w:pPr>
    <w:tblPr/>
  </w:style>
  <w:style w:type="table" w:customStyle="1" w:styleId="20122tableformat121">
    <w:name w:val="2012 2 table format12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
    <w:name w:val="Medium Grid 1 - Accent 6121"/>
    <w:basedOn w:val="TableNormal"/>
    <w:next w:val="MediumGrid1-Accent6"/>
    <w:uiPriority w:val="67"/>
    <w:rsid w:val="00DB6EC8"/>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
    <w:name w:val="Light List - Accent 6121"/>
    <w:basedOn w:val="TableNormal"/>
    <w:next w:val="LightList-Accent6"/>
    <w:uiPriority w:val="61"/>
    <w:rsid w:val="00DB6EC8"/>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
    <w:name w:val="Light Grid - Accent 11121"/>
    <w:basedOn w:val="TableNormal"/>
    <w:uiPriority w:val="62"/>
    <w:rsid w:val="00DB6EC8"/>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
    <w:name w:val="2012 Style121"/>
    <w:basedOn w:val="TableNormal"/>
    <w:uiPriority w:val="99"/>
    <w:qFormat/>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
    <w:name w:val="Light Shading - Accent 1212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
    <w:name w:val="Medium Shading 1 - Accent 421"/>
    <w:basedOn w:val="TableNormal"/>
    <w:next w:val="MediumShading1-Accent4"/>
    <w:uiPriority w:val="63"/>
    <w:rsid w:val="00DB6EC8"/>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
    <w:name w:val="Current List131"/>
    <w:rsid w:val="00DB6EC8"/>
  </w:style>
  <w:style w:type="table" w:customStyle="1" w:styleId="TableGrid311">
    <w:name w:val="Table Grid31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6EC8"/>
  </w:style>
  <w:style w:type="numbering" w:customStyle="1" w:styleId="CurrentList141">
    <w:name w:val="Current List141"/>
    <w:rsid w:val="00DB6EC8"/>
  </w:style>
  <w:style w:type="table" w:customStyle="1" w:styleId="TableGrid41">
    <w:name w:val="Table Grid4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
    <w:name w:val="Bulleted List31"/>
    <w:rsid w:val="00DB6EC8"/>
  </w:style>
  <w:style w:type="table" w:customStyle="1" w:styleId="LightShading141">
    <w:name w:val="Light Shading14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
    <w:name w:val="Light Grid14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
    <w:name w:val="Medium Shading 1 - Accent 114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
    <w:name w:val="Medium Grid 1 - Accent 14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
    <w:name w:val="Light Shading - Accent 114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
    <w:name w:val="RSP_Style41"/>
    <w:basedOn w:val="TableNormal"/>
    <w:uiPriority w:val="99"/>
    <w:qFormat/>
    <w:rsid w:val="00DB6EC8"/>
    <w:pPr>
      <w:spacing w:after="0" w:line="240" w:lineRule="auto"/>
    </w:pPr>
    <w:rPr>
      <w:rFonts w:ascii="Cambria" w:hAnsi="Cambria"/>
      <w:color w:val="auto"/>
    </w:rPr>
    <w:tblPr/>
  </w:style>
  <w:style w:type="table" w:customStyle="1" w:styleId="20122tableformat41">
    <w:name w:val="2012 2 table format4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
    <w:name w:val="Medium Grid 1 - Accent 64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
    <w:name w:val="Light List - Accent 64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
    <w:name w:val="Light Grid - Accent 114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
    <w:name w:val="2012 Style4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
    <w:name w:val="Light Shading - Accent 124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
    <w:name w:val="No List141"/>
    <w:next w:val="NoList"/>
    <w:uiPriority w:val="99"/>
    <w:semiHidden/>
    <w:unhideWhenUsed/>
    <w:rsid w:val="00DB6EC8"/>
  </w:style>
  <w:style w:type="numbering" w:customStyle="1" w:styleId="CurrentList1141">
    <w:name w:val="Current List1141"/>
    <w:rsid w:val="00DB6EC8"/>
  </w:style>
  <w:style w:type="table" w:customStyle="1" w:styleId="TableGrid131">
    <w:name w:val="Table Grid131"/>
    <w:basedOn w:val="TableNormal"/>
    <w:next w:val="TableGrid"/>
    <w:uiPriority w:val="59"/>
    <w:rsid w:val="00DB6EC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
    <w:name w:val="Bulleted List141"/>
    <w:rsid w:val="00DB6EC8"/>
  </w:style>
  <w:style w:type="table" w:customStyle="1" w:styleId="LightShading1131">
    <w:name w:val="Light Shading1131"/>
    <w:basedOn w:val="TableNormal"/>
    <w:uiPriority w:val="60"/>
    <w:rsid w:val="00DB6EC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
    <w:name w:val="Light Grid1131"/>
    <w:basedOn w:val="TableNormal"/>
    <w:uiPriority w:val="62"/>
    <w:rsid w:val="00DB6EC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
    <w:name w:val="Medium Shading 1 - Accent 11131"/>
    <w:basedOn w:val="TableNormal"/>
    <w:uiPriority w:val="63"/>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
    <w:name w:val="Medium Grid 1 - Accent 1131"/>
    <w:basedOn w:val="TableNormal"/>
    <w:next w:val="MediumGrid1-Accent1"/>
    <w:uiPriority w:val="67"/>
    <w:rsid w:val="00DB6EC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
    <w:name w:val="Light Shading - Accent 11131"/>
    <w:basedOn w:val="TableNormal"/>
    <w:uiPriority w:val="60"/>
    <w:rsid w:val="00DB6EC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
    <w:name w:val="RSP_Style131"/>
    <w:basedOn w:val="TableNormal"/>
    <w:uiPriority w:val="99"/>
    <w:qFormat/>
    <w:rsid w:val="00DB6EC8"/>
    <w:pPr>
      <w:spacing w:after="0" w:line="240" w:lineRule="auto"/>
    </w:pPr>
    <w:rPr>
      <w:rFonts w:ascii="Cambria" w:hAnsi="Cambria"/>
      <w:color w:val="auto"/>
    </w:rPr>
    <w:tblPr/>
  </w:style>
  <w:style w:type="table" w:customStyle="1" w:styleId="20122tableformat131">
    <w:name w:val="2012 2 table format131"/>
    <w:basedOn w:val="TableNormal"/>
    <w:uiPriority w:val="63"/>
    <w:rsid w:val="00DB6EC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
    <w:name w:val="Medium Grid 1 - Accent 6131"/>
    <w:basedOn w:val="TableNormal"/>
    <w:next w:val="MediumGrid1-Accent6"/>
    <w:uiPriority w:val="67"/>
    <w:rsid w:val="00DB6EC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
    <w:name w:val="Light List - Accent 6131"/>
    <w:basedOn w:val="TableNormal"/>
    <w:next w:val="LightList-Accent6"/>
    <w:uiPriority w:val="61"/>
    <w:rsid w:val="00DB6EC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
    <w:name w:val="Light Grid - Accent 11131"/>
    <w:basedOn w:val="TableNormal"/>
    <w:uiPriority w:val="62"/>
    <w:rsid w:val="00DB6EC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
    <w:name w:val="2012 Style131"/>
    <w:basedOn w:val="TableNormal"/>
    <w:uiPriority w:val="99"/>
    <w:qFormat/>
    <w:rsid w:val="00DB6EC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
    <w:name w:val="Light Shading - Accent 12131"/>
    <w:basedOn w:val="TableNormal"/>
    <w:uiPriority w:val="60"/>
    <w:rsid w:val="00DB6EC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
    <w:name w:val="Medium Shading 1 - Accent 431"/>
    <w:basedOn w:val="TableNormal"/>
    <w:next w:val="MediumShading1-Accent4"/>
    <w:uiPriority w:val="63"/>
    <w:rsid w:val="00DB6EC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
    <w:name w:val="Table Grid51"/>
    <w:basedOn w:val="TableNormal"/>
    <w:next w:val="TableGrid"/>
    <w:uiPriority w:val="59"/>
    <w:rsid w:val="00DB6EC8"/>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47695"/>
  </w:style>
  <w:style w:type="table" w:customStyle="1" w:styleId="TableGrid7">
    <w:name w:val="Table Grid7"/>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
    <w:name w:val="Light Grid16"/>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
    <w:name w:val="Medium Shading 1 - Accent 116"/>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
    <w:name w:val="Medium Grid 1 - Accent 16"/>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
    <w:name w:val="Light Shading - Accent 116"/>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
    <w:name w:val="RSP_Style6"/>
    <w:basedOn w:val="TableNormal"/>
    <w:uiPriority w:val="99"/>
    <w:qFormat/>
    <w:rsid w:val="00B47695"/>
    <w:pPr>
      <w:spacing w:after="0" w:line="240" w:lineRule="auto"/>
    </w:pPr>
    <w:tblPr/>
  </w:style>
  <w:style w:type="table" w:customStyle="1" w:styleId="20122tableformat6">
    <w:name w:val="2012 2 table format6"/>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
    <w:name w:val="Medium Grid 1 - Accent 66"/>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
    <w:name w:val="Light List - Accent 66"/>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
    <w:name w:val="Light Grid - Accent 116"/>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
    <w:name w:val="2012 Style6"/>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
    <w:name w:val="Light Shading - Accent 126"/>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
    <w:name w:val="No List16"/>
    <w:next w:val="NoList"/>
    <w:uiPriority w:val="99"/>
    <w:semiHidden/>
    <w:unhideWhenUsed/>
    <w:rsid w:val="00B47695"/>
  </w:style>
  <w:style w:type="numbering" w:customStyle="1" w:styleId="CurrentList116">
    <w:name w:val="Current List116"/>
    <w:rsid w:val="00B47695"/>
  </w:style>
  <w:style w:type="table" w:customStyle="1" w:styleId="TableGrid15">
    <w:name w:val="Table Grid15"/>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
    <w:name w:val="Bulleted List16"/>
    <w:rsid w:val="00B47695"/>
  </w:style>
  <w:style w:type="table" w:customStyle="1" w:styleId="LightShading115">
    <w:name w:val="Light Shading115"/>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
    <w:name w:val="Light Grid115"/>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
    <w:name w:val="Medium Shading 1 - Accent 1115"/>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
    <w:name w:val="Medium Grid 1 - Accent 115"/>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
    <w:name w:val="Light Shading - Accent 1115"/>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
    <w:name w:val="RSP_Style15"/>
    <w:basedOn w:val="TableNormal"/>
    <w:uiPriority w:val="99"/>
    <w:qFormat/>
    <w:rsid w:val="00B47695"/>
    <w:pPr>
      <w:spacing w:after="0" w:line="240" w:lineRule="auto"/>
    </w:pPr>
    <w:tblPr/>
  </w:style>
  <w:style w:type="table" w:customStyle="1" w:styleId="20122tableformat15">
    <w:name w:val="2012 2 table format15"/>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
    <w:name w:val="Medium Grid 1 - Accent 615"/>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
    <w:name w:val="Light List - Accent 615"/>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
    <w:name w:val="Light Grid - Accent 1115"/>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
    <w:name w:val="2012 Style15"/>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
    <w:name w:val="Light Shading - Accent 1215"/>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
    <w:name w:val="Medium Shading 1 - Accent 45"/>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B47695"/>
  </w:style>
  <w:style w:type="numbering" w:customStyle="1" w:styleId="CurrentList122">
    <w:name w:val="Current List122"/>
    <w:rsid w:val="00B47695"/>
  </w:style>
  <w:style w:type="numbering" w:customStyle="1" w:styleId="BulletedList22">
    <w:name w:val="Bulleted List22"/>
    <w:rsid w:val="00B47695"/>
  </w:style>
  <w:style w:type="numbering" w:customStyle="1" w:styleId="NoList112">
    <w:name w:val="No List112"/>
    <w:next w:val="NoList"/>
    <w:uiPriority w:val="99"/>
    <w:semiHidden/>
    <w:unhideWhenUsed/>
    <w:rsid w:val="00B47695"/>
  </w:style>
  <w:style w:type="numbering" w:customStyle="1" w:styleId="CurrentList1112">
    <w:name w:val="Current List1112"/>
    <w:rsid w:val="00B47695"/>
  </w:style>
  <w:style w:type="numbering" w:customStyle="1" w:styleId="BulletedList112">
    <w:name w:val="Bulleted List112"/>
    <w:rsid w:val="00B47695"/>
  </w:style>
  <w:style w:type="numbering" w:customStyle="1" w:styleId="NoList32">
    <w:name w:val="No List32"/>
    <w:next w:val="NoList"/>
    <w:uiPriority w:val="99"/>
    <w:semiHidden/>
    <w:unhideWhenUsed/>
    <w:rsid w:val="00B47695"/>
  </w:style>
  <w:style w:type="table" w:customStyle="1" w:styleId="TableGrid22">
    <w:name w:val="Table Grid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
    <w:name w:val="Light Grid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
    <w:name w:val="Medium Shading 1 - Accent 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
    <w:name w:val="Medium Grid 1 - Accent 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
    <w:name w:val="Light Shading - Accent 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
    <w:name w:val="RSP_Style22"/>
    <w:basedOn w:val="TableNormal"/>
    <w:uiPriority w:val="99"/>
    <w:qFormat/>
    <w:rsid w:val="00B47695"/>
    <w:pPr>
      <w:spacing w:after="0" w:line="240" w:lineRule="auto"/>
    </w:pPr>
    <w:tblPr/>
  </w:style>
  <w:style w:type="table" w:customStyle="1" w:styleId="20122tableformat22">
    <w:name w:val="2012 2 table format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
    <w:name w:val="Medium Grid 1 - Accent 6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
    <w:name w:val="Light List - Accent 6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
    <w:name w:val="Light Grid - Accent 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
    <w:name w:val="2012 Style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
    <w:name w:val="Light Shading - Accent 12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
    <w:name w:val="No List122"/>
    <w:next w:val="NoList"/>
    <w:uiPriority w:val="99"/>
    <w:semiHidden/>
    <w:unhideWhenUsed/>
    <w:rsid w:val="00B47695"/>
  </w:style>
  <w:style w:type="numbering" w:customStyle="1" w:styleId="CurrentList1122">
    <w:name w:val="Current List1122"/>
    <w:rsid w:val="00B47695"/>
  </w:style>
  <w:style w:type="table" w:customStyle="1" w:styleId="TableGrid112">
    <w:name w:val="Table Grid1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
    <w:name w:val="Bulleted List122"/>
    <w:rsid w:val="00B47695"/>
  </w:style>
  <w:style w:type="table" w:customStyle="1" w:styleId="LightShading1112">
    <w:name w:val="Light Shading111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
    <w:name w:val="Light Grid111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
    <w:name w:val="Medium Shading 1 - Accent 1111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
    <w:name w:val="Medium Grid 1 - Accent 111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
    <w:name w:val="Light Shading - Accent 1111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
    <w:name w:val="RSP_Style112"/>
    <w:basedOn w:val="TableNormal"/>
    <w:uiPriority w:val="99"/>
    <w:qFormat/>
    <w:rsid w:val="00B47695"/>
    <w:pPr>
      <w:spacing w:after="0" w:line="240" w:lineRule="auto"/>
    </w:pPr>
    <w:tblPr/>
  </w:style>
  <w:style w:type="table" w:customStyle="1" w:styleId="20122tableformat112">
    <w:name w:val="2012 2 table format11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
    <w:name w:val="Medium Grid 1 - Accent 611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
    <w:name w:val="Light List - Accent 611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
    <w:name w:val="Light Grid - Accent 1111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
    <w:name w:val="2012 Style11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
    <w:name w:val="Light Shading - Accent 1211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
    <w:name w:val="Medium Shading 1 - Accent 41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B47695"/>
  </w:style>
  <w:style w:type="table" w:customStyle="1" w:styleId="TableGrid33">
    <w:name w:val="Table Grid33"/>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
    <w:name w:val="Light Shading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
    <w:name w:val="Light Grid13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
    <w:name w:val="Medium Shading 1 - Accent 113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
    <w:name w:val="Medium Grid 1 - Accent 13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
    <w:name w:val="Light Shading - Accent 113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
    <w:name w:val="RSP_Style32"/>
    <w:basedOn w:val="TableNormal"/>
    <w:uiPriority w:val="99"/>
    <w:qFormat/>
    <w:rsid w:val="00B47695"/>
    <w:pPr>
      <w:spacing w:after="0" w:line="240" w:lineRule="auto"/>
    </w:pPr>
    <w:tblPr/>
  </w:style>
  <w:style w:type="table" w:customStyle="1" w:styleId="20122tableformat32">
    <w:name w:val="2012 2 table format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
    <w:name w:val="Medium Grid 1 - Accent 63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
    <w:name w:val="Light List - Accent 63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
    <w:name w:val="Light Grid - Accent 113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
    <w:name w:val="2012 Style3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
    <w:name w:val="Light Shading - Accent 12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
    <w:name w:val="No List132"/>
    <w:next w:val="NoList"/>
    <w:uiPriority w:val="99"/>
    <w:semiHidden/>
    <w:unhideWhenUsed/>
    <w:rsid w:val="00B47695"/>
  </w:style>
  <w:style w:type="numbering" w:customStyle="1" w:styleId="CurrentList1132">
    <w:name w:val="Current List1132"/>
    <w:rsid w:val="00B47695"/>
  </w:style>
  <w:style w:type="table" w:customStyle="1" w:styleId="TableGrid122">
    <w:name w:val="Table Grid12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
    <w:name w:val="Bulleted List132"/>
    <w:rsid w:val="00B47695"/>
  </w:style>
  <w:style w:type="table" w:customStyle="1" w:styleId="LightShading1122">
    <w:name w:val="Light Shading112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
    <w:name w:val="Light Grid1122"/>
    <w:basedOn w:val="TableNormal"/>
    <w:uiPriority w:val="62"/>
    <w:rsid w:val="00B4769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
    <w:name w:val="Medium Shading 1 - Accent 11122"/>
    <w:basedOn w:val="TableNormal"/>
    <w:uiPriority w:val="63"/>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
    <w:name w:val="Medium Grid 1 - Accent 1122"/>
    <w:basedOn w:val="TableNormal"/>
    <w:next w:val="MediumGrid1-Accent1"/>
    <w:uiPriority w:val="67"/>
    <w:rsid w:val="00B4769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
    <w:name w:val="Light Shading - Accent 11122"/>
    <w:basedOn w:val="TableNormal"/>
    <w:uiPriority w:val="60"/>
    <w:rsid w:val="00B4769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
    <w:name w:val="RSP_Style122"/>
    <w:basedOn w:val="TableNormal"/>
    <w:uiPriority w:val="99"/>
    <w:qFormat/>
    <w:rsid w:val="00B47695"/>
    <w:pPr>
      <w:spacing w:after="0" w:line="240" w:lineRule="auto"/>
    </w:pPr>
    <w:tblPr/>
  </w:style>
  <w:style w:type="table" w:customStyle="1" w:styleId="20122tableformat122">
    <w:name w:val="2012 2 table format12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
    <w:name w:val="Medium Grid 1 - Accent 6122"/>
    <w:basedOn w:val="TableNormal"/>
    <w:next w:val="MediumGrid1-Accent6"/>
    <w:uiPriority w:val="67"/>
    <w:rsid w:val="00B4769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
    <w:name w:val="Light List - Accent 6122"/>
    <w:basedOn w:val="TableNormal"/>
    <w:next w:val="LightList-Accent6"/>
    <w:uiPriority w:val="61"/>
    <w:rsid w:val="00B4769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
    <w:name w:val="Light Grid - Accent 11122"/>
    <w:basedOn w:val="TableNormal"/>
    <w:uiPriority w:val="62"/>
    <w:rsid w:val="00B4769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
    <w:name w:val="2012 Style122"/>
    <w:basedOn w:val="TableNormal"/>
    <w:uiPriority w:val="99"/>
    <w:qFormat/>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
    <w:name w:val="Light Shading - Accent 1212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
    <w:name w:val="Medium Shading 1 - Accent 422"/>
    <w:basedOn w:val="TableNormal"/>
    <w:next w:val="MediumShading1-Accent4"/>
    <w:uiPriority w:val="63"/>
    <w:rsid w:val="00B4769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
    <w:name w:val="Current List132"/>
    <w:rsid w:val="00B47695"/>
  </w:style>
  <w:style w:type="table" w:customStyle="1" w:styleId="TableGrid312">
    <w:name w:val="Table Grid31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47695"/>
  </w:style>
  <w:style w:type="numbering" w:customStyle="1" w:styleId="CurrentList142">
    <w:name w:val="Current List142"/>
    <w:rsid w:val="00B47695"/>
  </w:style>
  <w:style w:type="table" w:customStyle="1" w:styleId="TableGrid42">
    <w:name w:val="Table Grid4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
    <w:name w:val="Bulleted List32"/>
    <w:rsid w:val="00B47695"/>
  </w:style>
  <w:style w:type="table" w:customStyle="1" w:styleId="LightShading142">
    <w:name w:val="Light Shading14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
    <w:name w:val="Light Grid14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
    <w:name w:val="Medium Shading 1 - Accent 114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
    <w:name w:val="Medium Grid 1 - Accent 14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
    <w:name w:val="Light Shading - Accent 114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
    <w:name w:val="RSP_Style42"/>
    <w:basedOn w:val="TableNormal"/>
    <w:uiPriority w:val="99"/>
    <w:qFormat/>
    <w:rsid w:val="00B47695"/>
    <w:pPr>
      <w:spacing w:after="0" w:line="240" w:lineRule="auto"/>
    </w:pPr>
    <w:rPr>
      <w:rFonts w:ascii="Cambria" w:hAnsi="Cambria"/>
      <w:color w:val="auto"/>
    </w:rPr>
    <w:tblPr/>
  </w:style>
  <w:style w:type="table" w:customStyle="1" w:styleId="20122tableformat42">
    <w:name w:val="2012 2 table format4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
    <w:name w:val="Medium Grid 1 - Accent 64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
    <w:name w:val="Light List - Accent 64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
    <w:name w:val="Light Grid - Accent 114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
    <w:name w:val="2012 Style4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
    <w:name w:val="Light Shading - Accent 124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
    <w:name w:val="No List142"/>
    <w:next w:val="NoList"/>
    <w:uiPriority w:val="99"/>
    <w:semiHidden/>
    <w:unhideWhenUsed/>
    <w:rsid w:val="00B47695"/>
  </w:style>
  <w:style w:type="numbering" w:customStyle="1" w:styleId="CurrentList1142">
    <w:name w:val="Current List1142"/>
    <w:rsid w:val="00B47695"/>
  </w:style>
  <w:style w:type="table" w:customStyle="1" w:styleId="TableGrid132">
    <w:name w:val="Table Grid132"/>
    <w:basedOn w:val="TableNormal"/>
    <w:next w:val="TableGrid"/>
    <w:uiPriority w:val="59"/>
    <w:rsid w:val="00B4769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
    <w:name w:val="Bulleted List142"/>
    <w:rsid w:val="00B47695"/>
  </w:style>
  <w:style w:type="table" w:customStyle="1" w:styleId="LightShading1132">
    <w:name w:val="Light Shading1132"/>
    <w:basedOn w:val="TableNormal"/>
    <w:uiPriority w:val="60"/>
    <w:rsid w:val="00B4769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
    <w:name w:val="Light Grid1132"/>
    <w:basedOn w:val="TableNormal"/>
    <w:uiPriority w:val="62"/>
    <w:rsid w:val="00B4769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
    <w:name w:val="Medium Shading 1 - Accent 11132"/>
    <w:basedOn w:val="TableNormal"/>
    <w:uiPriority w:val="63"/>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
    <w:name w:val="Medium Grid 1 - Accent 1132"/>
    <w:basedOn w:val="TableNormal"/>
    <w:next w:val="MediumGrid1-Accent1"/>
    <w:uiPriority w:val="67"/>
    <w:rsid w:val="00B4769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
    <w:name w:val="Light Shading - Accent 11132"/>
    <w:basedOn w:val="TableNormal"/>
    <w:uiPriority w:val="60"/>
    <w:rsid w:val="00B4769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
    <w:name w:val="RSP_Style132"/>
    <w:basedOn w:val="TableNormal"/>
    <w:uiPriority w:val="99"/>
    <w:qFormat/>
    <w:rsid w:val="00B47695"/>
    <w:pPr>
      <w:spacing w:after="0" w:line="240" w:lineRule="auto"/>
    </w:pPr>
    <w:rPr>
      <w:rFonts w:ascii="Cambria" w:hAnsi="Cambria"/>
      <w:color w:val="auto"/>
    </w:rPr>
    <w:tblPr/>
  </w:style>
  <w:style w:type="table" w:customStyle="1" w:styleId="20122tableformat132">
    <w:name w:val="2012 2 table format132"/>
    <w:basedOn w:val="TableNormal"/>
    <w:uiPriority w:val="63"/>
    <w:rsid w:val="00B4769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
    <w:name w:val="Medium Grid 1 - Accent 6132"/>
    <w:basedOn w:val="TableNormal"/>
    <w:next w:val="MediumGrid1-Accent6"/>
    <w:uiPriority w:val="67"/>
    <w:rsid w:val="00B4769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
    <w:name w:val="Light List - Accent 6132"/>
    <w:basedOn w:val="TableNormal"/>
    <w:next w:val="LightList-Accent6"/>
    <w:uiPriority w:val="61"/>
    <w:rsid w:val="00B4769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
    <w:name w:val="Light Grid - Accent 11132"/>
    <w:basedOn w:val="TableNormal"/>
    <w:uiPriority w:val="62"/>
    <w:rsid w:val="00B4769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
    <w:name w:val="2012 Style132"/>
    <w:basedOn w:val="TableNormal"/>
    <w:uiPriority w:val="99"/>
    <w:qFormat/>
    <w:rsid w:val="00B4769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
    <w:name w:val="Light Shading - Accent 12132"/>
    <w:basedOn w:val="TableNormal"/>
    <w:uiPriority w:val="60"/>
    <w:rsid w:val="00B4769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
    <w:name w:val="Medium Shading 1 - Accent 432"/>
    <w:basedOn w:val="TableNormal"/>
    <w:next w:val="MediumShading1-Accent4"/>
    <w:uiPriority w:val="63"/>
    <w:rsid w:val="00B4769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
    <w:name w:val="Table Grid52"/>
    <w:basedOn w:val="TableNormal"/>
    <w:next w:val="TableGrid"/>
    <w:uiPriority w:val="59"/>
    <w:rsid w:val="00B4769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5">
    <w:name w:val="Current List15"/>
    <w:rsid w:val="00F645C1"/>
    <w:pPr>
      <w:numPr>
        <w:numId w:val="1"/>
      </w:numPr>
    </w:pPr>
  </w:style>
  <w:style w:type="character" w:customStyle="1" w:styleId="footnote">
    <w:name w:val="footnote"/>
    <w:basedOn w:val="DefaultParagraphFont"/>
    <w:rsid w:val="00A75620"/>
  </w:style>
  <w:style w:type="character" w:customStyle="1" w:styleId="slug-metadata-note">
    <w:name w:val="slug-metadata-note"/>
    <w:basedOn w:val="DefaultParagraphFont"/>
    <w:rsid w:val="00A75620"/>
  </w:style>
  <w:style w:type="character" w:customStyle="1" w:styleId="slug-doi">
    <w:name w:val="slug-doi"/>
    <w:basedOn w:val="DefaultParagraphFont"/>
    <w:rsid w:val="00A75620"/>
  </w:style>
  <w:style w:type="character" w:customStyle="1" w:styleId="slug-pub-date">
    <w:name w:val="slug-pub-date"/>
    <w:basedOn w:val="DefaultParagraphFont"/>
    <w:rsid w:val="00A75620"/>
  </w:style>
  <w:style w:type="character" w:customStyle="1" w:styleId="slug-vol">
    <w:name w:val="slug-vol"/>
    <w:basedOn w:val="DefaultParagraphFont"/>
    <w:rsid w:val="00A75620"/>
  </w:style>
  <w:style w:type="character" w:customStyle="1" w:styleId="slug-issue">
    <w:name w:val="slug-issue"/>
    <w:basedOn w:val="DefaultParagraphFont"/>
    <w:rsid w:val="00A75620"/>
  </w:style>
  <w:style w:type="character" w:customStyle="1" w:styleId="slug-pages">
    <w:name w:val="slug-pages"/>
    <w:basedOn w:val="DefaultParagraphFont"/>
    <w:rsid w:val="00A75620"/>
  </w:style>
  <w:style w:type="numbering" w:customStyle="1" w:styleId="NoList8">
    <w:name w:val="No List8"/>
    <w:next w:val="NoList"/>
    <w:uiPriority w:val="99"/>
    <w:semiHidden/>
    <w:unhideWhenUsed/>
    <w:rsid w:val="000C4646"/>
  </w:style>
  <w:style w:type="numbering" w:customStyle="1" w:styleId="CurrentList16">
    <w:name w:val="Current List16"/>
    <w:rsid w:val="000C4646"/>
  </w:style>
  <w:style w:type="table" w:customStyle="1" w:styleId="TableGrid8">
    <w:name w:val="Table Grid8"/>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
    <w:name w:val="Light Grid17"/>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
    <w:name w:val="Medium Shading 1 - Accent 117"/>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
    <w:name w:val="Medium Grid 1 - Accent 17"/>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
    <w:name w:val="Light Shading - Accent 117"/>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
    <w:name w:val="RSP_Style7"/>
    <w:basedOn w:val="TableNormal"/>
    <w:uiPriority w:val="99"/>
    <w:qFormat/>
    <w:rsid w:val="000C4646"/>
    <w:pPr>
      <w:spacing w:after="0" w:line="240" w:lineRule="auto"/>
    </w:pPr>
    <w:tblPr/>
  </w:style>
  <w:style w:type="table" w:customStyle="1" w:styleId="20122tableformat7">
    <w:name w:val="2012 2 table format7"/>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
    <w:name w:val="Medium Grid 1 - Accent 67"/>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
    <w:name w:val="Light List - Accent 67"/>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
    <w:name w:val="Light Grid - Accent 117"/>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
    <w:name w:val="2012 Style7"/>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
    <w:name w:val="Light Shading - Accent 127"/>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
    <w:name w:val="No List17"/>
    <w:next w:val="NoList"/>
    <w:uiPriority w:val="99"/>
    <w:semiHidden/>
    <w:unhideWhenUsed/>
    <w:rsid w:val="000C4646"/>
  </w:style>
  <w:style w:type="numbering" w:customStyle="1" w:styleId="CurrentList117">
    <w:name w:val="Current List117"/>
    <w:rsid w:val="000C4646"/>
  </w:style>
  <w:style w:type="table" w:customStyle="1" w:styleId="TableGrid16">
    <w:name w:val="Table Grid16"/>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
    <w:name w:val="Bulleted List17"/>
    <w:rsid w:val="000C4646"/>
  </w:style>
  <w:style w:type="table" w:customStyle="1" w:styleId="LightShading116">
    <w:name w:val="Light Shading116"/>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
    <w:name w:val="Light Grid116"/>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
    <w:name w:val="Medium Shading 1 - Accent 1116"/>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
    <w:name w:val="Medium Grid 1 - Accent 116"/>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
    <w:name w:val="Light Shading - Accent 1116"/>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
    <w:name w:val="RSP_Style16"/>
    <w:basedOn w:val="TableNormal"/>
    <w:uiPriority w:val="99"/>
    <w:qFormat/>
    <w:rsid w:val="000C4646"/>
    <w:pPr>
      <w:spacing w:after="0" w:line="240" w:lineRule="auto"/>
    </w:pPr>
    <w:tblPr/>
  </w:style>
  <w:style w:type="table" w:customStyle="1" w:styleId="20122tableformat16">
    <w:name w:val="2012 2 table format16"/>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
    <w:name w:val="Medium Grid 1 - Accent 616"/>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
    <w:name w:val="Light List - Accent 616"/>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
    <w:name w:val="Light Grid - Accent 1116"/>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
    <w:name w:val="2012 Style16"/>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
    <w:name w:val="Light Shading - Accent 1216"/>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
    <w:name w:val="Medium Shading 1 - Accent 46"/>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0C4646"/>
  </w:style>
  <w:style w:type="numbering" w:customStyle="1" w:styleId="CurrentList123">
    <w:name w:val="Current List123"/>
    <w:rsid w:val="000C4646"/>
  </w:style>
  <w:style w:type="numbering" w:customStyle="1" w:styleId="BulletedList23">
    <w:name w:val="Bulleted List23"/>
    <w:rsid w:val="000C4646"/>
  </w:style>
  <w:style w:type="numbering" w:customStyle="1" w:styleId="NoList113">
    <w:name w:val="No List113"/>
    <w:next w:val="NoList"/>
    <w:uiPriority w:val="99"/>
    <w:semiHidden/>
    <w:unhideWhenUsed/>
    <w:rsid w:val="000C4646"/>
  </w:style>
  <w:style w:type="numbering" w:customStyle="1" w:styleId="CurrentList1113">
    <w:name w:val="Current List1113"/>
    <w:rsid w:val="000C4646"/>
  </w:style>
  <w:style w:type="numbering" w:customStyle="1" w:styleId="BulletedList113">
    <w:name w:val="Bulleted List113"/>
    <w:rsid w:val="000C4646"/>
  </w:style>
  <w:style w:type="numbering" w:customStyle="1" w:styleId="NoList33">
    <w:name w:val="No List33"/>
    <w:next w:val="NoList"/>
    <w:uiPriority w:val="99"/>
    <w:semiHidden/>
    <w:unhideWhenUsed/>
    <w:rsid w:val="000C4646"/>
  </w:style>
  <w:style w:type="table" w:customStyle="1" w:styleId="TableGrid23">
    <w:name w:val="Table Grid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
    <w:name w:val="Light Shading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
    <w:name w:val="Light Grid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
    <w:name w:val="Medium Shading 1 - Accent 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
    <w:name w:val="Medium Grid 1 - Accent 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
    <w:name w:val="Light Shading - Accent 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
    <w:name w:val="RSP_Style23"/>
    <w:basedOn w:val="TableNormal"/>
    <w:uiPriority w:val="99"/>
    <w:qFormat/>
    <w:rsid w:val="000C4646"/>
    <w:pPr>
      <w:spacing w:after="0" w:line="240" w:lineRule="auto"/>
    </w:pPr>
    <w:tblPr/>
  </w:style>
  <w:style w:type="table" w:customStyle="1" w:styleId="20122tableformat23">
    <w:name w:val="2012 2 table format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
    <w:name w:val="Medium Grid 1 - Accent 6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
    <w:name w:val="Light List - Accent 6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
    <w:name w:val="Light Grid - Accent 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
    <w:name w:val="2012 Style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
    <w:name w:val="Light Shading - Accent 12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
    <w:name w:val="No List123"/>
    <w:next w:val="NoList"/>
    <w:uiPriority w:val="99"/>
    <w:semiHidden/>
    <w:unhideWhenUsed/>
    <w:rsid w:val="000C4646"/>
  </w:style>
  <w:style w:type="numbering" w:customStyle="1" w:styleId="CurrentList1123">
    <w:name w:val="Current List1123"/>
    <w:rsid w:val="000C4646"/>
  </w:style>
  <w:style w:type="table" w:customStyle="1" w:styleId="TableGrid113">
    <w:name w:val="Table Grid1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
    <w:name w:val="Bulleted List123"/>
    <w:rsid w:val="000C4646"/>
  </w:style>
  <w:style w:type="table" w:customStyle="1" w:styleId="LightShading1113">
    <w:name w:val="Light Shading111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
    <w:name w:val="Light Grid111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
    <w:name w:val="Medium Shading 1 - Accent 1111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
    <w:name w:val="Medium Grid 1 - Accent 111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
    <w:name w:val="Light Shading - Accent 1111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
    <w:name w:val="RSP_Style113"/>
    <w:basedOn w:val="TableNormal"/>
    <w:uiPriority w:val="99"/>
    <w:qFormat/>
    <w:rsid w:val="000C4646"/>
    <w:pPr>
      <w:spacing w:after="0" w:line="240" w:lineRule="auto"/>
    </w:pPr>
    <w:tblPr/>
  </w:style>
  <w:style w:type="table" w:customStyle="1" w:styleId="20122tableformat113">
    <w:name w:val="2012 2 table format11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
    <w:name w:val="Medium Grid 1 - Accent 611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
    <w:name w:val="Light List - Accent 611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
    <w:name w:val="Light Grid - Accent 1111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
    <w:name w:val="2012 Style11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
    <w:name w:val="Light Shading - Accent 1211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
    <w:name w:val="Medium Shading 1 - Accent 41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
    <w:name w:val="No List43"/>
    <w:next w:val="NoList"/>
    <w:uiPriority w:val="99"/>
    <w:semiHidden/>
    <w:unhideWhenUsed/>
    <w:rsid w:val="000C4646"/>
  </w:style>
  <w:style w:type="table" w:customStyle="1" w:styleId="TableGrid34">
    <w:name w:val="Table Grid34"/>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
    <w:name w:val="Light Shading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
    <w:name w:val="Light Grid13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
    <w:name w:val="Medium Shading 1 - Accent 113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
    <w:name w:val="Medium Grid 1 - Accent 13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
    <w:name w:val="Light Shading - Accent 113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
    <w:name w:val="RSP_Style33"/>
    <w:basedOn w:val="TableNormal"/>
    <w:uiPriority w:val="99"/>
    <w:qFormat/>
    <w:rsid w:val="000C4646"/>
    <w:pPr>
      <w:spacing w:after="0" w:line="240" w:lineRule="auto"/>
    </w:pPr>
    <w:tblPr/>
  </w:style>
  <w:style w:type="table" w:customStyle="1" w:styleId="20122tableformat33">
    <w:name w:val="2012 2 table format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
    <w:name w:val="Medium Grid 1 - Accent 63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
    <w:name w:val="Light List - Accent 63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
    <w:name w:val="Light Grid - Accent 113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
    <w:name w:val="2012 Style3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
    <w:name w:val="Light Shading - Accent 12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
    <w:name w:val="No List133"/>
    <w:next w:val="NoList"/>
    <w:uiPriority w:val="99"/>
    <w:semiHidden/>
    <w:unhideWhenUsed/>
    <w:rsid w:val="000C4646"/>
  </w:style>
  <w:style w:type="numbering" w:customStyle="1" w:styleId="CurrentList1133">
    <w:name w:val="Current List1133"/>
    <w:rsid w:val="000C4646"/>
  </w:style>
  <w:style w:type="table" w:customStyle="1" w:styleId="TableGrid123">
    <w:name w:val="Table Grid12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
    <w:name w:val="Bulleted List133"/>
    <w:rsid w:val="000C4646"/>
  </w:style>
  <w:style w:type="table" w:customStyle="1" w:styleId="LightShading1123">
    <w:name w:val="Light Shading112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
    <w:name w:val="Light Grid1123"/>
    <w:basedOn w:val="TableNormal"/>
    <w:uiPriority w:val="62"/>
    <w:rsid w:val="000C464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
    <w:name w:val="Medium Shading 1 - Accent 11123"/>
    <w:basedOn w:val="TableNormal"/>
    <w:uiPriority w:val="63"/>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
    <w:name w:val="Medium Grid 1 - Accent 1123"/>
    <w:basedOn w:val="TableNormal"/>
    <w:next w:val="MediumGrid1-Accent1"/>
    <w:uiPriority w:val="67"/>
    <w:rsid w:val="000C464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
    <w:name w:val="Light Shading - Accent 11123"/>
    <w:basedOn w:val="TableNormal"/>
    <w:uiPriority w:val="60"/>
    <w:rsid w:val="000C464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
    <w:name w:val="RSP_Style123"/>
    <w:basedOn w:val="TableNormal"/>
    <w:uiPriority w:val="99"/>
    <w:qFormat/>
    <w:rsid w:val="000C4646"/>
    <w:pPr>
      <w:spacing w:after="0" w:line="240" w:lineRule="auto"/>
    </w:pPr>
    <w:tblPr/>
  </w:style>
  <w:style w:type="table" w:customStyle="1" w:styleId="20122tableformat123">
    <w:name w:val="2012 2 table format12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
    <w:name w:val="Medium Grid 1 - Accent 6123"/>
    <w:basedOn w:val="TableNormal"/>
    <w:next w:val="MediumGrid1-Accent6"/>
    <w:uiPriority w:val="67"/>
    <w:rsid w:val="000C464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
    <w:name w:val="Light List - Accent 6123"/>
    <w:basedOn w:val="TableNormal"/>
    <w:next w:val="LightList-Accent6"/>
    <w:uiPriority w:val="61"/>
    <w:rsid w:val="000C464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
    <w:name w:val="Light Grid - Accent 11123"/>
    <w:basedOn w:val="TableNormal"/>
    <w:uiPriority w:val="62"/>
    <w:rsid w:val="000C464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
    <w:name w:val="2012 Style123"/>
    <w:basedOn w:val="TableNormal"/>
    <w:uiPriority w:val="99"/>
    <w:qFormat/>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
    <w:name w:val="Light Shading - Accent 1212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
    <w:name w:val="Medium Shading 1 - Accent 423"/>
    <w:basedOn w:val="TableNormal"/>
    <w:next w:val="MediumShading1-Accent4"/>
    <w:uiPriority w:val="63"/>
    <w:rsid w:val="000C464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
    <w:name w:val="Current List133"/>
    <w:rsid w:val="000C4646"/>
  </w:style>
  <w:style w:type="table" w:customStyle="1" w:styleId="TableGrid313">
    <w:name w:val="Table Grid31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
    <w:name w:val="ISO Report Style2"/>
    <w:uiPriority w:val="99"/>
    <w:rsid w:val="000C4646"/>
  </w:style>
  <w:style w:type="numbering" w:customStyle="1" w:styleId="NoList53">
    <w:name w:val="No List53"/>
    <w:next w:val="NoList"/>
    <w:uiPriority w:val="99"/>
    <w:semiHidden/>
    <w:unhideWhenUsed/>
    <w:rsid w:val="000C4646"/>
  </w:style>
  <w:style w:type="numbering" w:customStyle="1" w:styleId="CurrentList143">
    <w:name w:val="Current List143"/>
    <w:rsid w:val="000C4646"/>
  </w:style>
  <w:style w:type="table" w:customStyle="1" w:styleId="TableGrid43">
    <w:name w:val="Table Grid4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
    <w:name w:val="Bulleted List33"/>
    <w:rsid w:val="000C4646"/>
  </w:style>
  <w:style w:type="table" w:customStyle="1" w:styleId="LightShading143">
    <w:name w:val="Light Shading14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
    <w:name w:val="Light Grid14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
    <w:name w:val="Medium Shading 1 - Accent 114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
    <w:name w:val="Medium Grid 1 - Accent 14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
    <w:name w:val="Light Shading - Accent 114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
    <w:name w:val="RSP_Style43"/>
    <w:basedOn w:val="TableNormal"/>
    <w:uiPriority w:val="99"/>
    <w:qFormat/>
    <w:rsid w:val="000C4646"/>
    <w:pPr>
      <w:spacing w:after="0" w:line="240" w:lineRule="auto"/>
    </w:pPr>
    <w:rPr>
      <w:rFonts w:ascii="Cambria" w:hAnsi="Cambria"/>
      <w:color w:val="auto"/>
    </w:rPr>
    <w:tblPr/>
  </w:style>
  <w:style w:type="table" w:customStyle="1" w:styleId="20122tableformat43">
    <w:name w:val="2012 2 table format4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
    <w:name w:val="Medium Grid 1 - Accent 64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
    <w:name w:val="Light List - Accent 64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
    <w:name w:val="Light Grid - Accent 114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
    <w:name w:val="2012 Style4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
    <w:name w:val="Light Shading - Accent 124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
    <w:name w:val="No List143"/>
    <w:next w:val="NoList"/>
    <w:uiPriority w:val="99"/>
    <w:semiHidden/>
    <w:unhideWhenUsed/>
    <w:rsid w:val="000C4646"/>
  </w:style>
  <w:style w:type="numbering" w:customStyle="1" w:styleId="CurrentList1143">
    <w:name w:val="Current List1143"/>
    <w:rsid w:val="000C4646"/>
  </w:style>
  <w:style w:type="table" w:customStyle="1" w:styleId="TableGrid133">
    <w:name w:val="Table Grid133"/>
    <w:basedOn w:val="TableNormal"/>
    <w:next w:val="TableGrid"/>
    <w:uiPriority w:val="59"/>
    <w:rsid w:val="000C464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
    <w:name w:val="Bulleted List143"/>
    <w:rsid w:val="000C4646"/>
  </w:style>
  <w:style w:type="table" w:customStyle="1" w:styleId="LightShading1133">
    <w:name w:val="Light Shading1133"/>
    <w:basedOn w:val="TableNormal"/>
    <w:uiPriority w:val="60"/>
    <w:rsid w:val="000C464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
    <w:name w:val="Light Grid1133"/>
    <w:basedOn w:val="TableNormal"/>
    <w:uiPriority w:val="62"/>
    <w:rsid w:val="000C464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
    <w:name w:val="Medium Shading 1 - Accent 11133"/>
    <w:basedOn w:val="TableNormal"/>
    <w:uiPriority w:val="63"/>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
    <w:name w:val="Medium Grid 1 - Accent 1133"/>
    <w:basedOn w:val="TableNormal"/>
    <w:next w:val="MediumGrid1-Accent1"/>
    <w:uiPriority w:val="67"/>
    <w:rsid w:val="000C464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
    <w:name w:val="Light Shading - Accent 11133"/>
    <w:basedOn w:val="TableNormal"/>
    <w:uiPriority w:val="60"/>
    <w:rsid w:val="000C464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
    <w:name w:val="RSP_Style133"/>
    <w:basedOn w:val="TableNormal"/>
    <w:uiPriority w:val="99"/>
    <w:qFormat/>
    <w:rsid w:val="000C4646"/>
    <w:pPr>
      <w:spacing w:after="0" w:line="240" w:lineRule="auto"/>
    </w:pPr>
    <w:rPr>
      <w:rFonts w:ascii="Cambria" w:hAnsi="Cambria"/>
      <w:color w:val="auto"/>
    </w:rPr>
    <w:tblPr/>
  </w:style>
  <w:style w:type="table" w:customStyle="1" w:styleId="20122tableformat133">
    <w:name w:val="2012 2 table format133"/>
    <w:basedOn w:val="TableNormal"/>
    <w:uiPriority w:val="63"/>
    <w:rsid w:val="000C464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
    <w:name w:val="Medium Grid 1 - Accent 6133"/>
    <w:basedOn w:val="TableNormal"/>
    <w:next w:val="MediumGrid1-Accent6"/>
    <w:uiPriority w:val="67"/>
    <w:rsid w:val="000C464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
    <w:name w:val="Light List - Accent 6133"/>
    <w:basedOn w:val="TableNormal"/>
    <w:next w:val="LightList-Accent6"/>
    <w:uiPriority w:val="61"/>
    <w:rsid w:val="000C464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
    <w:name w:val="Light Grid - Accent 11133"/>
    <w:basedOn w:val="TableNormal"/>
    <w:uiPriority w:val="62"/>
    <w:rsid w:val="000C464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
    <w:name w:val="2012 Style133"/>
    <w:basedOn w:val="TableNormal"/>
    <w:uiPriority w:val="99"/>
    <w:qFormat/>
    <w:rsid w:val="000C464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
    <w:name w:val="Light Shading - Accent 12133"/>
    <w:basedOn w:val="TableNormal"/>
    <w:uiPriority w:val="60"/>
    <w:rsid w:val="000C464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
    <w:name w:val="Medium Shading 1 - Accent 433"/>
    <w:basedOn w:val="TableNormal"/>
    <w:next w:val="MediumShading1-Accent4"/>
    <w:uiPriority w:val="63"/>
    <w:rsid w:val="000C464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
    <w:name w:val="Table Grid53"/>
    <w:basedOn w:val="TableNormal"/>
    <w:next w:val="TableGrid"/>
    <w:uiPriority w:val="59"/>
    <w:rsid w:val="000C464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243F5"/>
  </w:style>
  <w:style w:type="numbering" w:customStyle="1" w:styleId="CurrentList17">
    <w:name w:val="Current List17"/>
    <w:rsid w:val="009243F5"/>
  </w:style>
  <w:style w:type="table" w:customStyle="1" w:styleId="TableGrid9">
    <w:name w:val="Table Grid9"/>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
    <w:name w:val="Light Grid18"/>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
    <w:name w:val="Medium Shading 1 - Accent 118"/>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
    <w:name w:val="Medium Grid 1 - Accent 18"/>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
    <w:name w:val="Light Shading - Accent 118"/>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
    <w:name w:val="RSP_Style8"/>
    <w:basedOn w:val="TableNormal"/>
    <w:uiPriority w:val="99"/>
    <w:qFormat/>
    <w:rsid w:val="009243F5"/>
    <w:pPr>
      <w:spacing w:after="0" w:line="240" w:lineRule="auto"/>
    </w:pPr>
    <w:tblPr/>
  </w:style>
  <w:style w:type="table" w:customStyle="1" w:styleId="20122tableformat8">
    <w:name w:val="2012 2 table format8"/>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
    <w:name w:val="Medium Grid 1 - Accent 68"/>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
    <w:name w:val="Light List - Accent 68"/>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
    <w:name w:val="Light Grid - Accent 118"/>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
    <w:name w:val="2012 Style8"/>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
    <w:name w:val="Light Shading - Accent 128"/>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
    <w:name w:val="No List18"/>
    <w:next w:val="NoList"/>
    <w:uiPriority w:val="99"/>
    <w:semiHidden/>
    <w:unhideWhenUsed/>
    <w:rsid w:val="009243F5"/>
  </w:style>
  <w:style w:type="numbering" w:customStyle="1" w:styleId="CurrentList118">
    <w:name w:val="Current List118"/>
    <w:rsid w:val="009243F5"/>
  </w:style>
  <w:style w:type="table" w:customStyle="1" w:styleId="TableGrid17">
    <w:name w:val="Table Grid17"/>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
    <w:name w:val="Bulleted List18"/>
    <w:rsid w:val="009243F5"/>
  </w:style>
  <w:style w:type="table" w:customStyle="1" w:styleId="LightShading117">
    <w:name w:val="Light Shading117"/>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
    <w:name w:val="Light Grid117"/>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
    <w:name w:val="Medium Shading 1 - Accent 1117"/>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
    <w:name w:val="Medium Grid 1 - Accent 117"/>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
    <w:name w:val="Light Shading - Accent 1117"/>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
    <w:name w:val="RSP_Style17"/>
    <w:basedOn w:val="TableNormal"/>
    <w:uiPriority w:val="99"/>
    <w:qFormat/>
    <w:rsid w:val="009243F5"/>
    <w:pPr>
      <w:spacing w:after="0" w:line="240" w:lineRule="auto"/>
    </w:pPr>
    <w:tblPr/>
  </w:style>
  <w:style w:type="table" w:customStyle="1" w:styleId="20122tableformat17">
    <w:name w:val="2012 2 table format17"/>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
    <w:name w:val="Medium Grid 1 - Accent 617"/>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
    <w:name w:val="Light List - Accent 617"/>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
    <w:name w:val="Light Grid - Accent 1117"/>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
    <w:name w:val="2012 Style17"/>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
    <w:name w:val="Light Shading - Accent 1217"/>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
    <w:name w:val="Medium Shading 1 - Accent 47"/>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9243F5"/>
  </w:style>
  <w:style w:type="numbering" w:customStyle="1" w:styleId="CurrentList124">
    <w:name w:val="Current List124"/>
    <w:rsid w:val="009243F5"/>
  </w:style>
  <w:style w:type="numbering" w:customStyle="1" w:styleId="BulletedList24">
    <w:name w:val="Bulleted List24"/>
    <w:rsid w:val="009243F5"/>
  </w:style>
  <w:style w:type="numbering" w:customStyle="1" w:styleId="NoList114">
    <w:name w:val="No List114"/>
    <w:next w:val="NoList"/>
    <w:uiPriority w:val="99"/>
    <w:semiHidden/>
    <w:unhideWhenUsed/>
    <w:rsid w:val="009243F5"/>
  </w:style>
  <w:style w:type="numbering" w:customStyle="1" w:styleId="CurrentList1114">
    <w:name w:val="Current List1114"/>
    <w:rsid w:val="009243F5"/>
  </w:style>
  <w:style w:type="numbering" w:customStyle="1" w:styleId="BulletedList114">
    <w:name w:val="Bulleted List114"/>
    <w:rsid w:val="009243F5"/>
  </w:style>
  <w:style w:type="numbering" w:customStyle="1" w:styleId="NoList34">
    <w:name w:val="No List34"/>
    <w:next w:val="NoList"/>
    <w:uiPriority w:val="99"/>
    <w:semiHidden/>
    <w:unhideWhenUsed/>
    <w:rsid w:val="009243F5"/>
  </w:style>
  <w:style w:type="table" w:customStyle="1" w:styleId="TableGrid24">
    <w:name w:val="Table Grid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
    <w:name w:val="Light Shading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
    <w:name w:val="Light Grid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
    <w:name w:val="Medium Shading 1 - Accent 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
    <w:name w:val="Medium Grid 1 - Accent 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
    <w:name w:val="Light Shading - Accent 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
    <w:name w:val="RSP_Style24"/>
    <w:basedOn w:val="TableNormal"/>
    <w:uiPriority w:val="99"/>
    <w:qFormat/>
    <w:rsid w:val="009243F5"/>
    <w:pPr>
      <w:spacing w:after="0" w:line="240" w:lineRule="auto"/>
    </w:pPr>
    <w:tblPr/>
  </w:style>
  <w:style w:type="table" w:customStyle="1" w:styleId="20122tableformat24">
    <w:name w:val="2012 2 table format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
    <w:name w:val="Medium Grid 1 - Accent 6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
    <w:name w:val="Light List - Accent 6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
    <w:name w:val="Light Grid - Accent 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
    <w:name w:val="2012 Style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
    <w:name w:val="Light Shading - Accent 12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
    <w:name w:val="No List124"/>
    <w:next w:val="NoList"/>
    <w:uiPriority w:val="99"/>
    <w:semiHidden/>
    <w:unhideWhenUsed/>
    <w:rsid w:val="009243F5"/>
  </w:style>
  <w:style w:type="numbering" w:customStyle="1" w:styleId="CurrentList1124">
    <w:name w:val="Current List1124"/>
    <w:rsid w:val="009243F5"/>
  </w:style>
  <w:style w:type="table" w:customStyle="1" w:styleId="TableGrid114">
    <w:name w:val="Table Grid1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
    <w:name w:val="Bulleted List124"/>
    <w:rsid w:val="009243F5"/>
  </w:style>
  <w:style w:type="table" w:customStyle="1" w:styleId="LightShading1114">
    <w:name w:val="Light Shading111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
    <w:name w:val="Light Grid111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
    <w:name w:val="Medium Shading 1 - Accent 1111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
    <w:name w:val="Medium Grid 1 - Accent 111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
    <w:name w:val="Light Shading - Accent 1111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
    <w:name w:val="RSP_Style114"/>
    <w:basedOn w:val="TableNormal"/>
    <w:uiPriority w:val="99"/>
    <w:qFormat/>
    <w:rsid w:val="009243F5"/>
    <w:pPr>
      <w:spacing w:after="0" w:line="240" w:lineRule="auto"/>
    </w:pPr>
    <w:tblPr/>
  </w:style>
  <w:style w:type="table" w:customStyle="1" w:styleId="20122tableformat114">
    <w:name w:val="2012 2 table format11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
    <w:name w:val="Medium Grid 1 - Accent 611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
    <w:name w:val="Light List - Accent 611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
    <w:name w:val="Light Grid - Accent 1111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
    <w:name w:val="2012 Style11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
    <w:name w:val="Light Shading - Accent 1211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
    <w:name w:val="Medium Shading 1 - Accent 41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
    <w:name w:val="No List44"/>
    <w:next w:val="NoList"/>
    <w:uiPriority w:val="99"/>
    <w:semiHidden/>
    <w:unhideWhenUsed/>
    <w:rsid w:val="009243F5"/>
  </w:style>
  <w:style w:type="table" w:customStyle="1" w:styleId="TableGrid35">
    <w:name w:val="Table Grid35"/>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
    <w:name w:val="Light Shading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
    <w:name w:val="Light Grid13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
    <w:name w:val="Medium Shading 1 - Accent 113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
    <w:name w:val="Medium Grid 1 - Accent 13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
    <w:name w:val="Light Shading - Accent 113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
    <w:name w:val="RSP_Style34"/>
    <w:basedOn w:val="TableNormal"/>
    <w:uiPriority w:val="99"/>
    <w:qFormat/>
    <w:rsid w:val="009243F5"/>
    <w:pPr>
      <w:spacing w:after="0" w:line="240" w:lineRule="auto"/>
    </w:pPr>
    <w:tblPr/>
  </w:style>
  <w:style w:type="table" w:customStyle="1" w:styleId="20122tableformat34">
    <w:name w:val="2012 2 table format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
    <w:name w:val="Medium Grid 1 - Accent 63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
    <w:name w:val="Light List - Accent 63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
    <w:name w:val="Light Grid - Accent 113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
    <w:name w:val="2012 Style3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
    <w:name w:val="Light Shading - Accent 12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
    <w:name w:val="No List134"/>
    <w:next w:val="NoList"/>
    <w:uiPriority w:val="99"/>
    <w:semiHidden/>
    <w:unhideWhenUsed/>
    <w:rsid w:val="009243F5"/>
  </w:style>
  <w:style w:type="numbering" w:customStyle="1" w:styleId="CurrentList1134">
    <w:name w:val="Current List1134"/>
    <w:rsid w:val="009243F5"/>
  </w:style>
  <w:style w:type="table" w:customStyle="1" w:styleId="TableGrid124">
    <w:name w:val="Table Grid12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
    <w:name w:val="Bulleted List134"/>
    <w:rsid w:val="009243F5"/>
  </w:style>
  <w:style w:type="table" w:customStyle="1" w:styleId="LightShading1124">
    <w:name w:val="Light Shading112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
    <w:name w:val="Light Grid1124"/>
    <w:basedOn w:val="TableNormal"/>
    <w:uiPriority w:val="62"/>
    <w:rsid w:val="009243F5"/>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
    <w:name w:val="Medium Shading 1 - Accent 11124"/>
    <w:basedOn w:val="TableNormal"/>
    <w:uiPriority w:val="63"/>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
    <w:name w:val="Medium Grid 1 - Accent 1124"/>
    <w:basedOn w:val="TableNormal"/>
    <w:next w:val="MediumGrid1-Accent1"/>
    <w:uiPriority w:val="67"/>
    <w:rsid w:val="009243F5"/>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
    <w:name w:val="Light Shading - Accent 11124"/>
    <w:basedOn w:val="TableNormal"/>
    <w:uiPriority w:val="60"/>
    <w:rsid w:val="009243F5"/>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
    <w:name w:val="RSP_Style124"/>
    <w:basedOn w:val="TableNormal"/>
    <w:uiPriority w:val="99"/>
    <w:qFormat/>
    <w:rsid w:val="009243F5"/>
    <w:pPr>
      <w:spacing w:after="0" w:line="240" w:lineRule="auto"/>
    </w:pPr>
    <w:tblPr/>
  </w:style>
  <w:style w:type="table" w:customStyle="1" w:styleId="20122tableformat124">
    <w:name w:val="2012 2 table format12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
    <w:name w:val="Medium Grid 1 - Accent 6124"/>
    <w:basedOn w:val="TableNormal"/>
    <w:next w:val="MediumGrid1-Accent6"/>
    <w:uiPriority w:val="67"/>
    <w:rsid w:val="009243F5"/>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
    <w:name w:val="Light List - Accent 6124"/>
    <w:basedOn w:val="TableNormal"/>
    <w:next w:val="LightList-Accent6"/>
    <w:uiPriority w:val="61"/>
    <w:rsid w:val="009243F5"/>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
    <w:name w:val="Light Grid - Accent 11124"/>
    <w:basedOn w:val="TableNormal"/>
    <w:uiPriority w:val="62"/>
    <w:rsid w:val="009243F5"/>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
    <w:name w:val="2012 Style124"/>
    <w:basedOn w:val="TableNormal"/>
    <w:uiPriority w:val="99"/>
    <w:qFormat/>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
    <w:name w:val="Light Shading - Accent 1212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
    <w:name w:val="Medium Shading 1 - Accent 424"/>
    <w:basedOn w:val="TableNormal"/>
    <w:next w:val="MediumShading1-Accent4"/>
    <w:uiPriority w:val="63"/>
    <w:rsid w:val="009243F5"/>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
    <w:name w:val="Current List134"/>
    <w:rsid w:val="009243F5"/>
  </w:style>
  <w:style w:type="table" w:customStyle="1" w:styleId="TableGrid314">
    <w:name w:val="Table Grid31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9243F5"/>
  </w:style>
  <w:style w:type="numbering" w:customStyle="1" w:styleId="CurrentList144">
    <w:name w:val="Current List144"/>
    <w:rsid w:val="009243F5"/>
  </w:style>
  <w:style w:type="table" w:customStyle="1" w:styleId="TableGrid44">
    <w:name w:val="Table Grid4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
    <w:name w:val="Bulleted List34"/>
    <w:rsid w:val="009243F5"/>
  </w:style>
  <w:style w:type="table" w:customStyle="1" w:styleId="LightShading144">
    <w:name w:val="Light Shading14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
    <w:name w:val="Light Grid14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
    <w:name w:val="Medium Shading 1 - Accent 114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
    <w:name w:val="Medium Grid 1 - Accent 14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
    <w:name w:val="Light Shading - Accent 114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
    <w:name w:val="RSP_Style44"/>
    <w:basedOn w:val="TableNormal"/>
    <w:uiPriority w:val="99"/>
    <w:qFormat/>
    <w:rsid w:val="009243F5"/>
    <w:pPr>
      <w:spacing w:after="0" w:line="240" w:lineRule="auto"/>
    </w:pPr>
    <w:rPr>
      <w:rFonts w:ascii="Cambria" w:hAnsi="Cambria"/>
      <w:color w:val="auto"/>
    </w:rPr>
    <w:tblPr/>
  </w:style>
  <w:style w:type="table" w:customStyle="1" w:styleId="20122tableformat44">
    <w:name w:val="2012 2 table format4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
    <w:name w:val="Medium Grid 1 - Accent 64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
    <w:name w:val="Light List - Accent 64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
    <w:name w:val="Light Grid - Accent 114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
    <w:name w:val="2012 Style4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
    <w:name w:val="Light Shading - Accent 124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
    <w:name w:val="No List144"/>
    <w:next w:val="NoList"/>
    <w:uiPriority w:val="99"/>
    <w:semiHidden/>
    <w:unhideWhenUsed/>
    <w:rsid w:val="009243F5"/>
  </w:style>
  <w:style w:type="numbering" w:customStyle="1" w:styleId="CurrentList1144">
    <w:name w:val="Current List1144"/>
    <w:rsid w:val="009243F5"/>
  </w:style>
  <w:style w:type="table" w:customStyle="1" w:styleId="TableGrid134">
    <w:name w:val="Table Grid134"/>
    <w:basedOn w:val="TableNormal"/>
    <w:next w:val="TableGrid"/>
    <w:uiPriority w:val="59"/>
    <w:rsid w:val="009243F5"/>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
    <w:name w:val="Bulleted List144"/>
    <w:rsid w:val="009243F5"/>
  </w:style>
  <w:style w:type="table" w:customStyle="1" w:styleId="LightShading1134">
    <w:name w:val="Light Shading1134"/>
    <w:basedOn w:val="TableNormal"/>
    <w:uiPriority w:val="60"/>
    <w:rsid w:val="009243F5"/>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
    <w:name w:val="Light Grid1134"/>
    <w:basedOn w:val="TableNormal"/>
    <w:uiPriority w:val="62"/>
    <w:rsid w:val="009243F5"/>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
    <w:name w:val="Medium Shading 1 - Accent 11134"/>
    <w:basedOn w:val="TableNormal"/>
    <w:uiPriority w:val="63"/>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
    <w:name w:val="Medium Grid 1 - Accent 1134"/>
    <w:basedOn w:val="TableNormal"/>
    <w:next w:val="MediumGrid1-Accent1"/>
    <w:uiPriority w:val="67"/>
    <w:rsid w:val="009243F5"/>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
    <w:name w:val="Light Shading - Accent 11134"/>
    <w:basedOn w:val="TableNormal"/>
    <w:uiPriority w:val="60"/>
    <w:rsid w:val="009243F5"/>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
    <w:name w:val="RSP_Style134"/>
    <w:basedOn w:val="TableNormal"/>
    <w:uiPriority w:val="99"/>
    <w:qFormat/>
    <w:rsid w:val="009243F5"/>
    <w:pPr>
      <w:spacing w:after="0" w:line="240" w:lineRule="auto"/>
    </w:pPr>
    <w:rPr>
      <w:rFonts w:ascii="Cambria" w:hAnsi="Cambria"/>
      <w:color w:val="auto"/>
    </w:rPr>
    <w:tblPr/>
  </w:style>
  <w:style w:type="table" w:customStyle="1" w:styleId="20122tableformat134">
    <w:name w:val="2012 2 table format134"/>
    <w:basedOn w:val="TableNormal"/>
    <w:uiPriority w:val="63"/>
    <w:rsid w:val="009243F5"/>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
    <w:name w:val="Medium Grid 1 - Accent 6134"/>
    <w:basedOn w:val="TableNormal"/>
    <w:next w:val="MediumGrid1-Accent6"/>
    <w:uiPriority w:val="67"/>
    <w:rsid w:val="009243F5"/>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
    <w:name w:val="Light List - Accent 6134"/>
    <w:basedOn w:val="TableNormal"/>
    <w:next w:val="LightList-Accent6"/>
    <w:uiPriority w:val="61"/>
    <w:rsid w:val="009243F5"/>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
    <w:name w:val="Light Grid - Accent 11134"/>
    <w:basedOn w:val="TableNormal"/>
    <w:uiPriority w:val="62"/>
    <w:rsid w:val="009243F5"/>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
    <w:name w:val="2012 Style134"/>
    <w:basedOn w:val="TableNormal"/>
    <w:uiPriority w:val="99"/>
    <w:qFormat/>
    <w:rsid w:val="009243F5"/>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
    <w:name w:val="Light Shading - Accent 12134"/>
    <w:basedOn w:val="TableNormal"/>
    <w:uiPriority w:val="60"/>
    <w:rsid w:val="009243F5"/>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
    <w:name w:val="Medium Shading 1 - Accent 434"/>
    <w:basedOn w:val="TableNormal"/>
    <w:next w:val="MediumShading1-Accent4"/>
    <w:uiPriority w:val="63"/>
    <w:rsid w:val="009243F5"/>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
    <w:name w:val="Table Grid54"/>
    <w:basedOn w:val="TableNormal"/>
    <w:next w:val="TableGrid"/>
    <w:uiPriority w:val="59"/>
    <w:rsid w:val="009243F5"/>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C3269"/>
  </w:style>
  <w:style w:type="numbering" w:customStyle="1" w:styleId="CurrentList18">
    <w:name w:val="Current List18"/>
    <w:rsid w:val="003C3269"/>
  </w:style>
  <w:style w:type="table" w:customStyle="1" w:styleId="TableGrid10">
    <w:name w:val="Table Grid10"/>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
    <w:name w:val="Light Grid19"/>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
    <w:name w:val="Medium Shading 1 - Accent 119"/>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
    <w:name w:val="Medium Grid 1 - Accent 19"/>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
    <w:name w:val="Light Shading - Accent 119"/>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
    <w:name w:val="RSP_Style9"/>
    <w:basedOn w:val="TableNormal"/>
    <w:uiPriority w:val="99"/>
    <w:qFormat/>
    <w:rsid w:val="003C3269"/>
    <w:pPr>
      <w:spacing w:after="0" w:line="240" w:lineRule="auto"/>
    </w:pPr>
    <w:tblPr/>
  </w:style>
  <w:style w:type="table" w:customStyle="1" w:styleId="20122tableformat9">
    <w:name w:val="2012 2 table format9"/>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
    <w:name w:val="Medium Grid 1 - Accent 69"/>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
    <w:name w:val="Light List - Accent 69"/>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
    <w:name w:val="Light Grid - Accent 119"/>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
    <w:name w:val="2012 Style9"/>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
    <w:name w:val="Light Shading - Accent 129"/>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
    <w:name w:val="No List19"/>
    <w:next w:val="NoList"/>
    <w:uiPriority w:val="99"/>
    <w:semiHidden/>
    <w:unhideWhenUsed/>
    <w:rsid w:val="003C3269"/>
  </w:style>
  <w:style w:type="numbering" w:customStyle="1" w:styleId="CurrentList119">
    <w:name w:val="Current List119"/>
    <w:rsid w:val="003C3269"/>
  </w:style>
  <w:style w:type="table" w:customStyle="1" w:styleId="TableGrid18">
    <w:name w:val="Table Grid18"/>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
    <w:name w:val="Bulleted List19"/>
    <w:rsid w:val="003C3269"/>
  </w:style>
  <w:style w:type="table" w:customStyle="1" w:styleId="LightShading118">
    <w:name w:val="Light Shading118"/>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
    <w:name w:val="Light Grid118"/>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
    <w:name w:val="Medium Shading 1 - Accent 1118"/>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
    <w:name w:val="Medium Grid 1 - Accent 118"/>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
    <w:name w:val="Light Shading - Accent 1118"/>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
    <w:name w:val="RSP_Style18"/>
    <w:basedOn w:val="TableNormal"/>
    <w:uiPriority w:val="99"/>
    <w:qFormat/>
    <w:rsid w:val="003C3269"/>
    <w:pPr>
      <w:spacing w:after="0" w:line="240" w:lineRule="auto"/>
    </w:pPr>
    <w:tblPr/>
  </w:style>
  <w:style w:type="table" w:customStyle="1" w:styleId="20122tableformat18">
    <w:name w:val="2012 2 table format18"/>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
    <w:name w:val="Medium Grid 1 - Accent 618"/>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
    <w:name w:val="Light List - Accent 618"/>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
    <w:name w:val="Light Grid - Accent 1118"/>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
    <w:name w:val="2012 Style18"/>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
    <w:name w:val="Light Shading - Accent 1218"/>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
    <w:name w:val="Medium Shading 1 - Accent 48"/>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3C3269"/>
  </w:style>
  <w:style w:type="numbering" w:customStyle="1" w:styleId="CurrentList125">
    <w:name w:val="Current List125"/>
    <w:rsid w:val="003C3269"/>
  </w:style>
  <w:style w:type="numbering" w:customStyle="1" w:styleId="BulletedList25">
    <w:name w:val="Bulleted List25"/>
    <w:rsid w:val="003C3269"/>
  </w:style>
  <w:style w:type="numbering" w:customStyle="1" w:styleId="NoList115">
    <w:name w:val="No List115"/>
    <w:next w:val="NoList"/>
    <w:uiPriority w:val="99"/>
    <w:semiHidden/>
    <w:unhideWhenUsed/>
    <w:rsid w:val="003C3269"/>
  </w:style>
  <w:style w:type="numbering" w:customStyle="1" w:styleId="CurrentList1115">
    <w:name w:val="Current List1115"/>
    <w:rsid w:val="003C3269"/>
  </w:style>
  <w:style w:type="numbering" w:customStyle="1" w:styleId="BulletedList115">
    <w:name w:val="Bulleted List115"/>
    <w:rsid w:val="003C3269"/>
  </w:style>
  <w:style w:type="numbering" w:customStyle="1" w:styleId="NoList35">
    <w:name w:val="No List35"/>
    <w:next w:val="NoList"/>
    <w:uiPriority w:val="99"/>
    <w:semiHidden/>
    <w:unhideWhenUsed/>
    <w:rsid w:val="003C3269"/>
  </w:style>
  <w:style w:type="table" w:customStyle="1" w:styleId="TableGrid25">
    <w:name w:val="Table Grid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
    <w:name w:val="Light Shading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
    <w:name w:val="Light Grid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
    <w:name w:val="Medium Shading 1 - Accent 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
    <w:name w:val="Medium Grid 1 - Accent 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
    <w:name w:val="Light Shading - Accent 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
    <w:name w:val="RSP_Style25"/>
    <w:basedOn w:val="TableNormal"/>
    <w:uiPriority w:val="99"/>
    <w:qFormat/>
    <w:rsid w:val="003C3269"/>
    <w:pPr>
      <w:spacing w:after="0" w:line="240" w:lineRule="auto"/>
    </w:pPr>
    <w:tblPr/>
  </w:style>
  <w:style w:type="table" w:customStyle="1" w:styleId="20122tableformat25">
    <w:name w:val="2012 2 table format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
    <w:name w:val="Medium Grid 1 - Accent 6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
    <w:name w:val="Light List - Accent 6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
    <w:name w:val="Light Grid - Accent 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
    <w:name w:val="2012 Style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
    <w:name w:val="Light Shading - Accent 12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
    <w:name w:val="No List125"/>
    <w:next w:val="NoList"/>
    <w:uiPriority w:val="99"/>
    <w:semiHidden/>
    <w:unhideWhenUsed/>
    <w:rsid w:val="003C3269"/>
  </w:style>
  <w:style w:type="numbering" w:customStyle="1" w:styleId="CurrentList1125">
    <w:name w:val="Current List1125"/>
    <w:rsid w:val="003C3269"/>
  </w:style>
  <w:style w:type="table" w:customStyle="1" w:styleId="TableGrid115">
    <w:name w:val="Table Grid1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
    <w:name w:val="Bulleted List125"/>
    <w:rsid w:val="003C3269"/>
  </w:style>
  <w:style w:type="table" w:customStyle="1" w:styleId="LightShading1115">
    <w:name w:val="Light Shading111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
    <w:name w:val="Light Grid111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
    <w:name w:val="Medium Shading 1 - Accent 1111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
    <w:name w:val="Medium Grid 1 - Accent 111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
    <w:name w:val="Light Shading - Accent 1111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
    <w:name w:val="RSP_Style115"/>
    <w:basedOn w:val="TableNormal"/>
    <w:uiPriority w:val="99"/>
    <w:qFormat/>
    <w:rsid w:val="003C3269"/>
    <w:pPr>
      <w:spacing w:after="0" w:line="240" w:lineRule="auto"/>
    </w:pPr>
    <w:tblPr/>
  </w:style>
  <w:style w:type="table" w:customStyle="1" w:styleId="20122tableformat115">
    <w:name w:val="2012 2 table format11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
    <w:name w:val="Medium Grid 1 - Accent 611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
    <w:name w:val="Light List - Accent 611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
    <w:name w:val="Light Grid - Accent 1111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
    <w:name w:val="2012 Style11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
    <w:name w:val="Light Shading - Accent 1211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
    <w:name w:val="Medium Shading 1 - Accent 41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
    <w:name w:val="No List45"/>
    <w:next w:val="NoList"/>
    <w:uiPriority w:val="99"/>
    <w:semiHidden/>
    <w:unhideWhenUsed/>
    <w:rsid w:val="003C3269"/>
  </w:style>
  <w:style w:type="table" w:customStyle="1" w:styleId="TableGrid36">
    <w:name w:val="Table Grid36"/>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
    <w:name w:val="Light Shading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
    <w:name w:val="Light Grid13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
    <w:name w:val="Medium Shading 1 - Accent 113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
    <w:name w:val="Medium Grid 1 - Accent 13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
    <w:name w:val="Light Shading - Accent 113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
    <w:name w:val="RSP_Style35"/>
    <w:basedOn w:val="TableNormal"/>
    <w:uiPriority w:val="99"/>
    <w:qFormat/>
    <w:rsid w:val="003C3269"/>
    <w:pPr>
      <w:spacing w:after="0" w:line="240" w:lineRule="auto"/>
    </w:pPr>
    <w:tblPr/>
  </w:style>
  <w:style w:type="table" w:customStyle="1" w:styleId="20122tableformat35">
    <w:name w:val="2012 2 table format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
    <w:name w:val="Medium Grid 1 - Accent 63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
    <w:name w:val="Light List - Accent 63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
    <w:name w:val="Light Grid - Accent 113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
    <w:name w:val="2012 Style3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
    <w:name w:val="Light Shading - Accent 12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
    <w:name w:val="No List135"/>
    <w:next w:val="NoList"/>
    <w:uiPriority w:val="99"/>
    <w:semiHidden/>
    <w:unhideWhenUsed/>
    <w:rsid w:val="003C3269"/>
  </w:style>
  <w:style w:type="numbering" w:customStyle="1" w:styleId="CurrentList1135">
    <w:name w:val="Current List1135"/>
    <w:rsid w:val="003C3269"/>
  </w:style>
  <w:style w:type="table" w:customStyle="1" w:styleId="TableGrid125">
    <w:name w:val="Table Grid12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
    <w:name w:val="Bulleted List135"/>
    <w:rsid w:val="003C3269"/>
  </w:style>
  <w:style w:type="table" w:customStyle="1" w:styleId="LightShading1125">
    <w:name w:val="Light Shading112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
    <w:name w:val="Light Grid1125"/>
    <w:basedOn w:val="TableNormal"/>
    <w:uiPriority w:val="62"/>
    <w:rsid w:val="003C3269"/>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
    <w:name w:val="Medium Shading 1 - Accent 11125"/>
    <w:basedOn w:val="TableNormal"/>
    <w:uiPriority w:val="63"/>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
    <w:name w:val="Medium Grid 1 - Accent 1125"/>
    <w:basedOn w:val="TableNormal"/>
    <w:next w:val="MediumGrid1-Accent1"/>
    <w:uiPriority w:val="67"/>
    <w:rsid w:val="003C3269"/>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
    <w:name w:val="Light Shading - Accent 11125"/>
    <w:basedOn w:val="TableNormal"/>
    <w:uiPriority w:val="60"/>
    <w:rsid w:val="003C3269"/>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
    <w:name w:val="RSP_Style125"/>
    <w:basedOn w:val="TableNormal"/>
    <w:uiPriority w:val="99"/>
    <w:qFormat/>
    <w:rsid w:val="003C3269"/>
    <w:pPr>
      <w:spacing w:after="0" w:line="240" w:lineRule="auto"/>
    </w:pPr>
    <w:tblPr/>
  </w:style>
  <w:style w:type="table" w:customStyle="1" w:styleId="20122tableformat125">
    <w:name w:val="2012 2 table format12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
    <w:name w:val="Medium Grid 1 - Accent 6125"/>
    <w:basedOn w:val="TableNormal"/>
    <w:next w:val="MediumGrid1-Accent6"/>
    <w:uiPriority w:val="67"/>
    <w:rsid w:val="003C3269"/>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
    <w:name w:val="Light List - Accent 6125"/>
    <w:basedOn w:val="TableNormal"/>
    <w:next w:val="LightList-Accent6"/>
    <w:uiPriority w:val="61"/>
    <w:rsid w:val="003C3269"/>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
    <w:name w:val="Light Grid - Accent 11125"/>
    <w:basedOn w:val="TableNormal"/>
    <w:uiPriority w:val="62"/>
    <w:rsid w:val="003C3269"/>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
    <w:name w:val="2012 Style125"/>
    <w:basedOn w:val="TableNormal"/>
    <w:uiPriority w:val="99"/>
    <w:qFormat/>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
    <w:name w:val="Light Shading - Accent 1212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
    <w:name w:val="Medium Shading 1 - Accent 425"/>
    <w:basedOn w:val="TableNormal"/>
    <w:next w:val="MediumShading1-Accent4"/>
    <w:uiPriority w:val="63"/>
    <w:rsid w:val="003C3269"/>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
    <w:name w:val="Current List135"/>
    <w:rsid w:val="003C3269"/>
  </w:style>
  <w:style w:type="table" w:customStyle="1" w:styleId="TableGrid315">
    <w:name w:val="Table Grid31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3C3269"/>
  </w:style>
  <w:style w:type="numbering" w:customStyle="1" w:styleId="CurrentList145">
    <w:name w:val="Current List145"/>
    <w:rsid w:val="003C3269"/>
  </w:style>
  <w:style w:type="table" w:customStyle="1" w:styleId="TableGrid45">
    <w:name w:val="Table Grid4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
    <w:name w:val="Bulleted List35"/>
    <w:rsid w:val="003C3269"/>
  </w:style>
  <w:style w:type="table" w:customStyle="1" w:styleId="LightShading145">
    <w:name w:val="Light Shading14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
    <w:name w:val="Light Grid14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
    <w:name w:val="Medium Shading 1 - Accent 114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
    <w:name w:val="Medium Grid 1 - Accent 14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
    <w:name w:val="Light Shading - Accent 114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
    <w:name w:val="RSP_Style45"/>
    <w:basedOn w:val="TableNormal"/>
    <w:uiPriority w:val="99"/>
    <w:qFormat/>
    <w:rsid w:val="003C3269"/>
    <w:pPr>
      <w:spacing w:after="0" w:line="240" w:lineRule="auto"/>
    </w:pPr>
    <w:rPr>
      <w:rFonts w:ascii="Cambria" w:hAnsi="Cambria"/>
      <w:color w:val="auto"/>
    </w:rPr>
    <w:tblPr/>
  </w:style>
  <w:style w:type="table" w:customStyle="1" w:styleId="20122tableformat45">
    <w:name w:val="2012 2 table format4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
    <w:name w:val="Medium Grid 1 - Accent 64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
    <w:name w:val="Light List - Accent 64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
    <w:name w:val="Light Grid - Accent 114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
    <w:name w:val="2012 Style4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
    <w:name w:val="Light Shading - Accent 124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
    <w:name w:val="No List145"/>
    <w:next w:val="NoList"/>
    <w:uiPriority w:val="99"/>
    <w:semiHidden/>
    <w:unhideWhenUsed/>
    <w:rsid w:val="003C3269"/>
  </w:style>
  <w:style w:type="numbering" w:customStyle="1" w:styleId="CurrentList1145">
    <w:name w:val="Current List1145"/>
    <w:rsid w:val="003C3269"/>
  </w:style>
  <w:style w:type="table" w:customStyle="1" w:styleId="TableGrid135">
    <w:name w:val="Table Grid135"/>
    <w:basedOn w:val="TableNormal"/>
    <w:next w:val="TableGrid"/>
    <w:uiPriority w:val="59"/>
    <w:rsid w:val="003C3269"/>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
    <w:name w:val="Bulleted List145"/>
    <w:rsid w:val="003C3269"/>
  </w:style>
  <w:style w:type="table" w:customStyle="1" w:styleId="LightShading1135">
    <w:name w:val="Light Shading1135"/>
    <w:basedOn w:val="TableNormal"/>
    <w:uiPriority w:val="60"/>
    <w:rsid w:val="003C3269"/>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
    <w:name w:val="Light Grid1135"/>
    <w:basedOn w:val="TableNormal"/>
    <w:uiPriority w:val="62"/>
    <w:rsid w:val="003C3269"/>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
    <w:name w:val="Medium Shading 1 - Accent 11135"/>
    <w:basedOn w:val="TableNormal"/>
    <w:uiPriority w:val="63"/>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
    <w:name w:val="Medium Grid 1 - Accent 1135"/>
    <w:basedOn w:val="TableNormal"/>
    <w:next w:val="MediumGrid1-Accent1"/>
    <w:uiPriority w:val="67"/>
    <w:rsid w:val="003C3269"/>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
    <w:name w:val="Light Shading - Accent 11135"/>
    <w:basedOn w:val="TableNormal"/>
    <w:uiPriority w:val="60"/>
    <w:rsid w:val="003C3269"/>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
    <w:name w:val="RSP_Style135"/>
    <w:basedOn w:val="TableNormal"/>
    <w:uiPriority w:val="99"/>
    <w:qFormat/>
    <w:rsid w:val="003C3269"/>
    <w:pPr>
      <w:spacing w:after="0" w:line="240" w:lineRule="auto"/>
    </w:pPr>
    <w:rPr>
      <w:rFonts w:ascii="Cambria" w:hAnsi="Cambria"/>
      <w:color w:val="auto"/>
    </w:rPr>
    <w:tblPr/>
  </w:style>
  <w:style w:type="table" w:customStyle="1" w:styleId="20122tableformat135">
    <w:name w:val="2012 2 table format135"/>
    <w:basedOn w:val="TableNormal"/>
    <w:uiPriority w:val="63"/>
    <w:rsid w:val="003C3269"/>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
    <w:name w:val="Medium Grid 1 - Accent 6135"/>
    <w:basedOn w:val="TableNormal"/>
    <w:next w:val="MediumGrid1-Accent6"/>
    <w:uiPriority w:val="67"/>
    <w:rsid w:val="003C3269"/>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
    <w:name w:val="Light List - Accent 6135"/>
    <w:basedOn w:val="TableNormal"/>
    <w:next w:val="LightList-Accent6"/>
    <w:uiPriority w:val="61"/>
    <w:rsid w:val="003C3269"/>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
    <w:name w:val="Light Grid - Accent 11135"/>
    <w:basedOn w:val="TableNormal"/>
    <w:uiPriority w:val="62"/>
    <w:rsid w:val="003C3269"/>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
    <w:name w:val="2012 Style135"/>
    <w:basedOn w:val="TableNormal"/>
    <w:uiPriority w:val="99"/>
    <w:qFormat/>
    <w:rsid w:val="003C3269"/>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
    <w:name w:val="Light Shading - Accent 12135"/>
    <w:basedOn w:val="TableNormal"/>
    <w:uiPriority w:val="60"/>
    <w:rsid w:val="003C3269"/>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
    <w:name w:val="Medium Shading 1 - Accent 435"/>
    <w:basedOn w:val="TableNormal"/>
    <w:next w:val="MediumShading1-Accent4"/>
    <w:uiPriority w:val="63"/>
    <w:rsid w:val="003C3269"/>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
    <w:name w:val="Table Grid55"/>
    <w:basedOn w:val="TableNormal"/>
    <w:next w:val="TableGrid"/>
    <w:uiPriority w:val="59"/>
    <w:rsid w:val="003C326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DB20B1"/>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C7089"/>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E2185A"/>
  </w:style>
  <w:style w:type="numbering" w:customStyle="1" w:styleId="CurrentList19">
    <w:name w:val="Current List19"/>
    <w:rsid w:val="00E2185A"/>
  </w:style>
  <w:style w:type="table" w:customStyle="1" w:styleId="TableGrid19">
    <w:name w:val="Table Grid19"/>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0">
    <w:name w:val="Light Shading110"/>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0">
    <w:name w:val="Light Grid110"/>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0">
    <w:name w:val="Medium Shading 1 - Accent 1110"/>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0">
    <w:name w:val="Medium Grid 1 - Accent 110"/>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0">
    <w:name w:val="Light Shading - Accent 1110"/>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0">
    <w:name w:val="RSP_Style10"/>
    <w:basedOn w:val="TableNormal"/>
    <w:uiPriority w:val="99"/>
    <w:qFormat/>
    <w:rsid w:val="00E2185A"/>
    <w:pPr>
      <w:spacing w:after="0" w:line="240" w:lineRule="auto"/>
    </w:pPr>
    <w:tblPr/>
  </w:style>
  <w:style w:type="table" w:customStyle="1" w:styleId="20122tableformat10">
    <w:name w:val="2012 2 table format10"/>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0">
    <w:name w:val="Medium Grid 1 - Accent 610"/>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0">
    <w:name w:val="Light List - Accent 610"/>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0">
    <w:name w:val="Light Grid - Accent 1110"/>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0">
    <w:name w:val="2012 Style10"/>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0">
    <w:name w:val="Light Shading - Accent 1210"/>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0">
    <w:name w:val="No List110"/>
    <w:next w:val="NoList"/>
    <w:uiPriority w:val="99"/>
    <w:semiHidden/>
    <w:unhideWhenUsed/>
    <w:rsid w:val="00E2185A"/>
  </w:style>
  <w:style w:type="numbering" w:customStyle="1" w:styleId="CurrentList1110">
    <w:name w:val="Current List1110"/>
    <w:rsid w:val="00E2185A"/>
  </w:style>
  <w:style w:type="table" w:customStyle="1" w:styleId="TableGrid110">
    <w:name w:val="Table Grid110"/>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0">
    <w:name w:val="Bulleted List110"/>
    <w:rsid w:val="00E2185A"/>
  </w:style>
  <w:style w:type="table" w:customStyle="1" w:styleId="LightShading119">
    <w:name w:val="Light Shading119"/>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9">
    <w:name w:val="Light Grid119"/>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9">
    <w:name w:val="Medium Shading 1 - Accent 1119"/>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9">
    <w:name w:val="Medium Grid 1 - Accent 119"/>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9">
    <w:name w:val="Light Shading - Accent 1119"/>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9">
    <w:name w:val="RSP_Style19"/>
    <w:basedOn w:val="TableNormal"/>
    <w:uiPriority w:val="99"/>
    <w:qFormat/>
    <w:rsid w:val="00E2185A"/>
    <w:pPr>
      <w:spacing w:after="0" w:line="240" w:lineRule="auto"/>
    </w:pPr>
    <w:tblPr/>
  </w:style>
  <w:style w:type="table" w:customStyle="1" w:styleId="20122tableformat19">
    <w:name w:val="2012 2 table format19"/>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9">
    <w:name w:val="Medium Grid 1 - Accent 619"/>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9">
    <w:name w:val="Light List - Accent 619"/>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9">
    <w:name w:val="Light Grid - Accent 1119"/>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9">
    <w:name w:val="2012 Style19"/>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9">
    <w:name w:val="Light Shading - Accent 1219"/>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9">
    <w:name w:val="Medium Shading 1 - Accent 49"/>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E2185A"/>
  </w:style>
  <w:style w:type="numbering" w:customStyle="1" w:styleId="CurrentList126">
    <w:name w:val="Current List126"/>
    <w:rsid w:val="00E2185A"/>
  </w:style>
  <w:style w:type="numbering" w:customStyle="1" w:styleId="BulletedList26">
    <w:name w:val="Bulleted List26"/>
    <w:rsid w:val="00E2185A"/>
  </w:style>
  <w:style w:type="numbering" w:customStyle="1" w:styleId="NoList116">
    <w:name w:val="No List116"/>
    <w:next w:val="NoList"/>
    <w:uiPriority w:val="99"/>
    <w:semiHidden/>
    <w:unhideWhenUsed/>
    <w:rsid w:val="00E2185A"/>
  </w:style>
  <w:style w:type="numbering" w:customStyle="1" w:styleId="CurrentList1116">
    <w:name w:val="Current List1116"/>
    <w:rsid w:val="00E2185A"/>
  </w:style>
  <w:style w:type="numbering" w:customStyle="1" w:styleId="BulletedList116">
    <w:name w:val="Bulleted List116"/>
    <w:rsid w:val="00E2185A"/>
  </w:style>
  <w:style w:type="numbering" w:customStyle="1" w:styleId="NoList36">
    <w:name w:val="No List36"/>
    <w:next w:val="NoList"/>
    <w:uiPriority w:val="99"/>
    <w:semiHidden/>
    <w:unhideWhenUsed/>
    <w:rsid w:val="00E2185A"/>
  </w:style>
  <w:style w:type="table" w:customStyle="1" w:styleId="TableGrid26">
    <w:name w:val="Table Grid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6">
    <w:name w:val="Light Shading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6">
    <w:name w:val="Light Grid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6">
    <w:name w:val="Medium Shading 1 - Accent 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6">
    <w:name w:val="Medium Grid 1 - Accent 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6">
    <w:name w:val="Light Shading - Accent 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6">
    <w:name w:val="RSP_Style26"/>
    <w:basedOn w:val="TableNormal"/>
    <w:uiPriority w:val="99"/>
    <w:qFormat/>
    <w:rsid w:val="00E2185A"/>
    <w:pPr>
      <w:spacing w:after="0" w:line="240" w:lineRule="auto"/>
    </w:pPr>
    <w:tblPr/>
  </w:style>
  <w:style w:type="table" w:customStyle="1" w:styleId="20122tableformat26">
    <w:name w:val="2012 2 table format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6">
    <w:name w:val="Medium Grid 1 - Accent 6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6">
    <w:name w:val="Light List - Accent 6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6">
    <w:name w:val="Light Grid - Accent 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6">
    <w:name w:val="2012 Style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6">
    <w:name w:val="Light Shading - Accent 12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6">
    <w:name w:val="No List126"/>
    <w:next w:val="NoList"/>
    <w:uiPriority w:val="99"/>
    <w:semiHidden/>
    <w:unhideWhenUsed/>
    <w:rsid w:val="00E2185A"/>
  </w:style>
  <w:style w:type="numbering" w:customStyle="1" w:styleId="CurrentList1126">
    <w:name w:val="Current List1126"/>
    <w:rsid w:val="00E2185A"/>
  </w:style>
  <w:style w:type="table" w:customStyle="1" w:styleId="TableGrid116">
    <w:name w:val="Table Grid1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6">
    <w:name w:val="Bulleted List126"/>
    <w:rsid w:val="00E2185A"/>
  </w:style>
  <w:style w:type="table" w:customStyle="1" w:styleId="LightShading1116">
    <w:name w:val="Light Shading111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6">
    <w:name w:val="Light Grid111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6">
    <w:name w:val="Medium Shading 1 - Accent 1111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6">
    <w:name w:val="Medium Grid 1 - Accent 111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6">
    <w:name w:val="Light Shading - Accent 1111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6">
    <w:name w:val="RSP_Style116"/>
    <w:basedOn w:val="TableNormal"/>
    <w:uiPriority w:val="99"/>
    <w:qFormat/>
    <w:rsid w:val="00E2185A"/>
    <w:pPr>
      <w:spacing w:after="0" w:line="240" w:lineRule="auto"/>
    </w:pPr>
    <w:tblPr/>
  </w:style>
  <w:style w:type="table" w:customStyle="1" w:styleId="20122tableformat116">
    <w:name w:val="2012 2 table format11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6">
    <w:name w:val="Medium Grid 1 - Accent 611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6">
    <w:name w:val="Light List - Accent 611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6">
    <w:name w:val="Light Grid - Accent 1111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6">
    <w:name w:val="2012 Style11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6">
    <w:name w:val="Light Shading - Accent 1211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6">
    <w:name w:val="Medium Shading 1 - Accent 41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6">
    <w:name w:val="No List46"/>
    <w:next w:val="NoList"/>
    <w:uiPriority w:val="99"/>
    <w:semiHidden/>
    <w:unhideWhenUsed/>
    <w:rsid w:val="00E2185A"/>
  </w:style>
  <w:style w:type="table" w:customStyle="1" w:styleId="TableGrid37">
    <w:name w:val="Table Grid3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6">
    <w:name w:val="Light Shading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6">
    <w:name w:val="Light Grid13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6">
    <w:name w:val="Medium Shading 1 - Accent 113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6">
    <w:name w:val="Medium Grid 1 - Accent 13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6">
    <w:name w:val="Light Shading - Accent 113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6">
    <w:name w:val="RSP_Style36"/>
    <w:basedOn w:val="TableNormal"/>
    <w:uiPriority w:val="99"/>
    <w:qFormat/>
    <w:rsid w:val="00E2185A"/>
    <w:pPr>
      <w:spacing w:after="0" w:line="240" w:lineRule="auto"/>
    </w:pPr>
    <w:tblPr/>
  </w:style>
  <w:style w:type="table" w:customStyle="1" w:styleId="20122tableformat36">
    <w:name w:val="2012 2 table format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6">
    <w:name w:val="Medium Grid 1 - Accent 63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6">
    <w:name w:val="Light List - Accent 63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6">
    <w:name w:val="Light Grid - Accent 113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6">
    <w:name w:val="2012 Style3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6">
    <w:name w:val="Light Shading - Accent 12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6">
    <w:name w:val="No List136"/>
    <w:next w:val="NoList"/>
    <w:uiPriority w:val="99"/>
    <w:semiHidden/>
    <w:unhideWhenUsed/>
    <w:rsid w:val="00E2185A"/>
  </w:style>
  <w:style w:type="numbering" w:customStyle="1" w:styleId="CurrentList1136">
    <w:name w:val="Current List1136"/>
    <w:rsid w:val="00E2185A"/>
  </w:style>
  <w:style w:type="table" w:customStyle="1" w:styleId="TableGrid126">
    <w:name w:val="Table Grid12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6">
    <w:name w:val="Bulleted List136"/>
    <w:rsid w:val="00E2185A"/>
  </w:style>
  <w:style w:type="table" w:customStyle="1" w:styleId="LightShading1126">
    <w:name w:val="Light Shading112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6">
    <w:name w:val="Light Grid1126"/>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6">
    <w:name w:val="Medium Shading 1 - Accent 11126"/>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6">
    <w:name w:val="Medium Grid 1 - Accent 1126"/>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6">
    <w:name w:val="Light Shading - Accent 11126"/>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6">
    <w:name w:val="RSP_Style126"/>
    <w:basedOn w:val="TableNormal"/>
    <w:uiPriority w:val="99"/>
    <w:qFormat/>
    <w:rsid w:val="00E2185A"/>
    <w:pPr>
      <w:spacing w:after="0" w:line="240" w:lineRule="auto"/>
    </w:pPr>
    <w:tblPr/>
  </w:style>
  <w:style w:type="table" w:customStyle="1" w:styleId="20122tableformat126">
    <w:name w:val="2012 2 table format12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6">
    <w:name w:val="Medium Grid 1 - Accent 6126"/>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6">
    <w:name w:val="Light List - Accent 6126"/>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6">
    <w:name w:val="Light Grid - Accent 11126"/>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6">
    <w:name w:val="2012 Style126"/>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6">
    <w:name w:val="Light Shading - Accent 1212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6">
    <w:name w:val="Medium Shading 1 - Accent 426"/>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6">
    <w:name w:val="Current List136"/>
    <w:rsid w:val="00E2185A"/>
  </w:style>
  <w:style w:type="table" w:customStyle="1" w:styleId="TableGrid316">
    <w:name w:val="Table Grid316"/>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2185A"/>
  </w:style>
  <w:style w:type="numbering" w:customStyle="1" w:styleId="CurrentList146">
    <w:name w:val="Current List146"/>
    <w:rsid w:val="00E2185A"/>
  </w:style>
  <w:style w:type="table" w:customStyle="1" w:styleId="TableGrid46">
    <w:name w:val="Table Grid4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6">
    <w:name w:val="Bulleted List36"/>
    <w:rsid w:val="00E2185A"/>
  </w:style>
  <w:style w:type="table" w:customStyle="1" w:styleId="LightShading146">
    <w:name w:val="Light Shading14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6">
    <w:name w:val="Light Grid14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6">
    <w:name w:val="Medium Shading 1 - Accent 114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6">
    <w:name w:val="Medium Grid 1 - Accent 14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6">
    <w:name w:val="Light Shading - Accent 114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6">
    <w:name w:val="RSP_Style46"/>
    <w:basedOn w:val="TableNormal"/>
    <w:uiPriority w:val="99"/>
    <w:qFormat/>
    <w:rsid w:val="00E2185A"/>
    <w:pPr>
      <w:spacing w:after="0" w:line="240" w:lineRule="auto"/>
    </w:pPr>
    <w:rPr>
      <w:rFonts w:ascii="Cambria" w:hAnsi="Cambria"/>
      <w:color w:val="auto"/>
    </w:rPr>
    <w:tblPr/>
  </w:style>
  <w:style w:type="table" w:customStyle="1" w:styleId="20122tableformat46">
    <w:name w:val="2012 2 table format4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6">
    <w:name w:val="Medium Grid 1 - Accent 64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6">
    <w:name w:val="Light List - Accent 64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6">
    <w:name w:val="Light Grid - Accent 114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6">
    <w:name w:val="2012 Style4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6">
    <w:name w:val="Light Shading - Accent 124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6">
    <w:name w:val="No List146"/>
    <w:next w:val="NoList"/>
    <w:uiPriority w:val="99"/>
    <w:semiHidden/>
    <w:unhideWhenUsed/>
    <w:rsid w:val="00E2185A"/>
  </w:style>
  <w:style w:type="numbering" w:customStyle="1" w:styleId="CurrentList1146">
    <w:name w:val="Current List1146"/>
    <w:rsid w:val="00E2185A"/>
  </w:style>
  <w:style w:type="table" w:customStyle="1" w:styleId="TableGrid136">
    <w:name w:val="Table Grid136"/>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6">
    <w:name w:val="Bulleted List146"/>
    <w:rsid w:val="00E2185A"/>
  </w:style>
  <w:style w:type="table" w:customStyle="1" w:styleId="LightShading1136">
    <w:name w:val="Light Shading1136"/>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6">
    <w:name w:val="Light Grid1136"/>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6">
    <w:name w:val="Medium Shading 1 - Accent 11136"/>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6">
    <w:name w:val="Medium Grid 1 - Accent 1136"/>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6">
    <w:name w:val="Light Shading - Accent 11136"/>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6">
    <w:name w:val="RSP_Style136"/>
    <w:basedOn w:val="TableNormal"/>
    <w:uiPriority w:val="99"/>
    <w:qFormat/>
    <w:rsid w:val="00E2185A"/>
    <w:pPr>
      <w:spacing w:after="0" w:line="240" w:lineRule="auto"/>
    </w:pPr>
    <w:rPr>
      <w:rFonts w:ascii="Cambria" w:hAnsi="Cambria"/>
      <w:color w:val="auto"/>
    </w:rPr>
    <w:tblPr/>
  </w:style>
  <w:style w:type="table" w:customStyle="1" w:styleId="20122tableformat136">
    <w:name w:val="2012 2 table format136"/>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6">
    <w:name w:val="Medium Grid 1 - Accent 6136"/>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6">
    <w:name w:val="Light List - Accent 6136"/>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6">
    <w:name w:val="Light Grid - Accent 11136"/>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6">
    <w:name w:val="2012 Style136"/>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6">
    <w:name w:val="Light Shading - Accent 12136"/>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6">
    <w:name w:val="Medium Shading 1 - Accent 436"/>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7">
    <w:name w:val="Table Grid57"/>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1">
    <w:name w:val="ISO Report Style11"/>
    <w:uiPriority w:val="99"/>
    <w:rsid w:val="00E2185A"/>
  </w:style>
  <w:style w:type="numbering" w:customStyle="1" w:styleId="NoList61">
    <w:name w:val="No List61"/>
    <w:next w:val="NoList"/>
    <w:uiPriority w:val="99"/>
    <w:semiHidden/>
    <w:unhideWhenUsed/>
    <w:rsid w:val="00E2185A"/>
  </w:style>
  <w:style w:type="table" w:customStyle="1" w:styleId="TableGrid61">
    <w:name w:val="Table Grid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1">
    <w:name w:val="Light Shading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1">
    <w:name w:val="Light Grid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1">
    <w:name w:val="Medium Shading 1 - Accent 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1">
    <w:name w:val="Medium Grid 1 - Accent 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1">
    <w:name w:val="Light Shading - Accent 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1">
    <w:name w:val="RSP_Style51"/>
    <w:basedOn w:val="TableNormal"/>
    <w:uiPriority w:val="99"/>
    <w:qFormat/>
    <w:rsid w:val="00E2185A"/>
    <w:pPr>
      <w:spacing w:after="0" w:line="240" w:lineRule="auto"/>
    </w:pPr>
    <w:tblPr/>
  </w:style>
  <w:style w:type="table" w:customStyle="1" w:styleId="20122tableformat51">
    <w:name w:val="2012 2 table format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1">
    <w:name w:val="Medium Grid 1 - Accent 6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1">
    <w:name w:val="Light List - Accent 6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1">
    <w:name w:val="Light Grid - Accent 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1">
    <w:name w:val="2012 Style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1">
    <w:name w:val="Light Shading - Accent 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1">
    <w:name w:val="No List151"/>
    <w:next w:val="NoList"/>
    <w:uiPriority w:val="99"/>
    <w:semiHidden/>
    <w:unhideWhenUsed/>
    <w:rsid w:val="00E2185A"/>
  </w:style>
  <w:style w:type="numbering" w:customStyle="1" w:styleId="CurrentList1151">
    <w:name w:val="Current List1151"/>
    <w:rsid w:val="00E2185A"/>
  </w:style>
  <w:style w:type="table" w:customStyle="1" w:styleId="TableGrid141">
    <w:name w:val="Table Grid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1">
    <w:name w:val="Bulleted List151"/>
    <w:rsid w:val="00E2185A"/>
  </w:style>
  <w:style w:type="table" w:customStyle="1" w:styleId="LightShading1141">
    <w:name w:val="Light Shading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1">
    <w:name w:val="Light Grid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1">
    <w:name w:val="Medium Shading 1 - Accent 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1">
    <w:name w:val="Medium Grid 1 - Accent 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1">
    <w:name w:val="Light Shading - Accent 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1">
    <w:name w:val="RSP_Style141"/>
    <w:basedOn w:val="TableNormal"/>
    <w:uiPriority w:val="99"/>
    <w:qFormat/>
    <w:rsid w:val="00E2185A"/>
    <w:pPr>
      <w:spacing w:after="0" w:line="240" w:lineRule="auto"/>
    </w:pPr>
    <w:tblPr/>
  </w:style>
  <w:style w:type="table" w:customStyle="1" w:styleId="20122tableformat141">
    <w:name w:val="2012 2 table format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1">
    <w:name w:val="Medium Grid 1 - Accent 6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1">
    <w:name w:val="Light List - Accent 6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1">
    <w:name w:val="Light Grid - Accent 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1">
    <w:name w:val="2012 Style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1">
    <w:name w:val="Light Shading - Accent 12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1">
    <w:name w:val="Medium Shading 1 - Accent 4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E2185A"/>
  </w:style>
  <w:style w:type="numbering" w:customStyle="1" w:styleId="CurrentList1211">
    <w:name w:val="Current List1211"/>
    <w:rsid w:val="00E2185A"/>
  </w:style>
  <w:style w:type="numbering" w:customStyle="1" w:styleId="BulletedList211">
    <w:name w:val="Bulleted List211"/>
    <w:rsid w:val="00E2185A"/>
  </w:style>
  <w:style w:type="numbering" w:customStyle="1" w:styleId="NoList1111">
    <w:name w:val="No List1111"/>
    <w:next w:val="NoList"/>
    <w:uiPriority w:val="99"/>
    <w:semiHidden/>
    <w:unhideWhenUsed/>
    <w:rsid w:val="00E2185A"/>
  </w:style>
  <w:style w:type="numbering" w:customStyle="1" w:styleId="CurrentList11111">
    <w:name w:val="Current List11111"/>
    <w:rsid w:val="00E2185A"/>
  </w:style>
  <w:style w:type="numbering" w:customStyle="1" w:styleId="BulletedList1111">
    <w:name w:val="Bulleted List1111"/>
    <w:rsid w:val="00E2185A"/>
  </w:style>
  <w:style w:type="numbering" w:customStyle="1" w:styleId="NoList311">
    <w:name w:val="No List311"/>
    <w:next w:val="NoList"/>
    <w:uiPriority w:val="99"/>
    <w:semiHidden/>
    <w:unhideWhenUsed/>
    <w:rsid w:val="00E2185A"/>
  </w:style>
  <w:style w:type="table" w:customStyle="1" w:styleId="TableGrid211">
    <w:name w:val="Table Grid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1">
    <w:name w:val="Light Shading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1">
    <w:name w:val="Light Grid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1">
    <w:name w:val="Medium Shading 1 - Accent 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1">
    <w:name w:val="Medium Grid 1 - Accent 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1">
    <w:name w:val="Light Shading - Accent 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1">
    <w:name w:val="RSP_Style211"/>
    <w:basedOn w:val="TableNormal"/>
    <w:uiPriority w:val="99"/>
    <w:qFormat/>
    <w:rsid w:val="00E2185A"/>
    <w:pPr>
      <w:spacing w:after="0" w:line="240" w:lineRule="auto"/>
    </w:pPr>
    <w:tblPr/>
  </w:style>
  <w:style w:type="table" w:customStyle="1" w:styleId="20122tableformat211">
    <w:name w:val="2012 2 table format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1">
    <w:name w:val="Medium Grid 1 - Accent 6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1">
    <w:name w:val="Light List - Accent 6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1">
    <w:name w:val="Light Grid - Accent 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1">
    <w:name w:val="2012 Style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1">
    <w:name w:val="Light Shading - Accent 12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1">
    <w:name w:val="No List1211"/>
    <w:next w:val="NoList"/>
    <w:uiPriority w:val="99"/>
    <w:semiHidden/>
    <w:unhideWhenUsed/>
    <w:rsid w:val="00E2185A"/>
  </w:style>
  <w:style w:type="numbering" w:customStyle="1" w:styleId="CurrentList11211">
    <w:name w:val="Current List11211"/>
    <w:rsid w:val="00E2185A"/>
  </w:style>
  <w:style w:type="table" w:customStyle="1" w:styleId="TableGrid1111">
    <w:name w:val="Table Grid1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1">
    <w:name w:val="Bulleted List1211"/>
    <w:rsid w:val="00E2185A"/>
  </w:style>
  <w:style w:type="table" w:customStyle="1" w:styleId="LightShading11111">
    <w:name w:val="Light Shading111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1">
    <w:name w:val="Light Grid111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1">
    <w:name w:val="Medium Shading 1 - Accent 1111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1">
    <w:name w:val="Medium Grid 1 - Accent 111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1">
    <w:name w:val="Light Shading - Accent 1111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1">
    <w:name w:val="RSP_Style1111"/>
    <w:basedOn w:val="TableNormal"/>
    <w:uiPriority w:val="99"/>
    <w:qFormat/>
    <w:rsid w:val="00E2185A"/>
    <w:pPr>
      <w:spacing w:after="0" w:line="240" w:lineRule="auto"/>
    </w:pPr>
    <w:tblPr/>
  </w:style>
  <w:style w:type="table" w:customStyle="1" w:styleId="20122tableformat1111">
    <w:name w:val="2012 2 table format11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1">
    <w:name w:val="Medium Grid 1 - Accent 611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1">
    <w:name w:val="Light List - Accent 611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1">
    <w:name w:val="Light Grid - Accent 1111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1">
    <w:name w:val="2012 Style11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1">
    <w:name w:val="Light Shading - Accent 1211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1">
    <w:name w:val="Medium Shading 1 - Accent 41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1">
    <w:name w:val="No List411"/>
    <w:next w:val="NoList"/>
    <w:uiPriority w:val="99"/>
    <w:semiHidden/>
    <w:unhideWhenUsed/>
    <w:rsid w:val="00E2185A"/>
  </w:style>
  <w:style w:type="table" w:customStyle="1" w:styleId="TableGrid321">
    <w:name w:val="Table Grid3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1">
    <w:name w:val="Light Shading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1">
    <w:name w:val="Light Grid13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1">
    <w:name w:val="Medium Shading 1 - Accent 113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1">
    <w:name w:val="Medium Grid 1 - Accent 13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1">
    <w:name w:val="Light Shading - Accent 113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1">
    <w:name w:val="RSP_Style311"/>
    <w:basedOn w:val="TableNormal"/>
    <w:uiPriority w:val="99"/>
    <w:qFormat/>
    <w:rsid w:val="00E2185A"/>
    <w:pPr>
      <w:spacing w:after="0" w:line="240" w:lineRule="auto"/>
    </w:pPr>
    <w:tblPr/>
  </w:style>
  <w:style w:type="table" w:customStyle="1" w:styleId="20122tableformat311">
    <w:name w:val="2012 2 table format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1">
    <w:name w:val="Medium Grid 1 - Accent 63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1">
    <w:name w:val="Light List - Accent 63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1">
    <w:name w:val="Light Grid - Accent 113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1">
    <w:name w:val="2012 Style3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1">
    <w:name w:val="Light Shading - Accent 12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1">
    <w:name w:val="No List1311"/>
    <w:next w:val="NoList"/>
    <w:uiPriority w:val="99"/>
    <w:semiHidden/>
    <w:unhideWhenUsed/>
    <w:rsid w:val="00E2185A"/>
  </w:style>
  <w:style w:type="numbering" w:customStyle="1" w:styleId="CurrentList11311">
    <w:name w:val="Current List11311"/>
    <w:rsid w:val="00E2185A"/>
  </w:style>
  <w:style w:type="table" w:customStyle="1" w:styleId="TableGrid1211">
    <w:name w:val="Table Grid12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1">
    <w:name w:val="Bulleted List1311"/>
    <w:rsid w:val="00E2185A"/>
  </w:style>
  <w:style w:type="table" w:customStyle="1" w:styleId="LightShading11211">
    <w:name w:val="Light Shading112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1">
    <w:name w:val="Light Grid1121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1">
    <w:name w:val="Medium Shading 1 - Accent 11121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1">
    <w:name w:val="Medium Grid 1 - Accent 1121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1">
    <w:name w:val="Light Shading - Accent 11121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1">
    <w:name w:val="RSP_Style1211"/>
    <w:basedOn w:val="TableNormal"/>
    <w:uiPriority w:val="99"/>
    <w:qFormat/>
    <w:rsid w:val="00E2185A"/>
    <w:pPr>
      <w:spacing w:after="0" w:line="240" w:lineRule="auto"/>
    </w:pPr>
    <w:tblPr/>
  </w:style>
  <w:style w:type="table" w:customStyle="1" w:styleId="20122tableformat1211">
    <w:name w:val="2012 2 table format12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1">
    <w:name w:val="Medium Grid 1 - Accent 6121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1">
    <w:name w:val="Light List - Accent 6121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1">
    <w:name w:val="Light Grid - Accent 11121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1">
    <w:name w:val="2012 Style121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1">
    <w:name w:val="Light Shading - Accent 1212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1">
    <w:name w:val="Medium Shading 1 - Accent 421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1">
    <w:name w:val="Current List1311"/>
    <w:rsid w:val="00E2185A"/>
  </w:style>
  <w:style w:type="table" w:customStyle="1" w:styleId="TableGrid3111">
    <w:name w:val="Table Grid31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2185A"/>
  </w:style>
  <w:style w:type="numbering" w:customStyle="1" w:styleId="CurrentList1411">
    <w:name w:val="Current List1411"/>
    <w:rsid w:val="00E2185A"/>
  </w:style>
  <w:style w:type="table" w:customStyle="1" w:styleId="TableGrid411">
    <w:name w:val="Table Grid4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1">
    <w:name w:val="Bulleted List311"/>
    <w:rsid w:val="00E2185A"/>
  </w:style>
  <w:style w:type="table" w:customStyle="1" w:styleId="LightShading1411">
    <w:name w:val="Light Shading14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1">
    <w:name w:val="Light Grid14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1">
    <w:name w:val="Medium Shading 1 - Accent 114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1">
    <w:name w:val="Medium Grid 1 - Accent 14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1">
    <w:name w:val="Light Shading - Accent 114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1">
    <w:name w:val="RSP_Style411"/>
    <w:basedOn w:val="TableNormal"/>
    <w:uiPriority w:val="99"/>
    <w:qFormat/>
    <w:rsid w:val="00E2185A"/>
    <w:pPr>
      <w:spacing w:after="0" w:line="240" w:lineRule="auto"/>
    </w:pPr>
    <w:rPr>
      <w:rFonts w:ascii="Cambria" w:hAnsi="Cambria"/>
      <w:color w:val="auto"/>
    </w:rPr>
    <w:tblPr/>
  </w:style>
  <w:style w:type="table" w:customStyle="1" w:styleId="20122tableformat411">
    <w:name w:val="2012 2 table format4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1">
    <w:name w:val="Medium Grid 1 - Accent 64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1">
    <w:name w:val="Light List - Accent 64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1">
    <w:name w:val="Light Grid - Accent 114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1">
    <w:name w:val="2012 Style4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1">
    <w:name w:val="Light Shading - Accent 124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1">
    <w:name w:val="No List1411"/>
    <w:next w:val="NoList"/>
    <w:uiPriority w:val="99"/>
    <w:semiHidden/>
    <w:unhideWhenUsed/>
    <w:rsid w:val="00E2185A"/>
  </w:style>
  <w:style w:type="numbering" w:customStyle="1" w:styleId="CurrentList11411">
    <w:name w:val="Current List11411"/>
    <w:rsid w:val="00E2185A"/>
  </w:style>
  <w:style w:type="table" w:customStyle="1" w:styleId="TableGrid1311">
    <w:name w:val="Table Grid131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1">
    <w:name w:val="Bulleted List1411"/>
    <w:rsid w:val="00E2185A"/>
  </w:style>
  <w:style w:type="table" w:customStyle="1" w:styleId="LightShading11311">
    <w:name w:val="Light Shading1131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1">
    <w:name w:val="Light Grid1131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1">
    <w:name w:val="Medium Shading 1 - Accent 11131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1">
    <w:name w:val="Medium Grid 1 - Accent 1131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1">
    <w:name w:val="Light Shading - Accent 11131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1">
    <w:name w:val="RSP_Style1311"/>
    <w:basedOn w:val="TableNormal"/>
    <w:uiPriority w:val="99"/>
    <w:qFormat/>
    <w:rsid w:val="00E2185A"/>
    <w:pPr>
      <w:spacing w:after="0" w:line="240" w:lineRule="auto"/>
    </w:pPr>
    <w:rPr>
      <w:rFonts w:ascii="Cambria" w:hAnsi="Cambria"/>
      <w:color w:val="auto"/>
    </w:rPr>
    <w:tblPr/>
  </w:style>
  <w:style w:type="table" w:customStyle="1" w:styleId="20122tableformat1311">
    <w:name w:val="2012 2 table format131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1">
    <w:name w:val="Medium Grid 1 - Accent 6131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1">
    <w:name w:val="Light List - Accent 6131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1">
    <w:name w:val="Light Grid - Accent 11131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1">
    <w:name w:val="2012 Style131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1">
    <w:name w:val="Light Shading - Accent 12131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1">
    <w:name w:val="Medium Shading 1 - Accent 431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1">
    <w:name w:val="Table Grid51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E2185A"/>
  </w:style>
  <w:style w:type="table" w:customStyle="1" w:styleId="TableGrid71">
    <w:name w:val="Table Grid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1">
    <w:name w:val="Light Shading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1">
    <w:name w:val="Light Grid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1">
    <w:name w:val="Medium Shading 1 - Accent 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1">
    <w:name w:val="Medium Grid 1 - Accent 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1">
    <w:name w:val="Light Shading - Accent 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1">
    <w:name w:val="RSP_Style61"/>
    <w:basedOn w:val="TableNormal"/>
    <w:uiPriority w:val="99"/>
    <w:qFormat/>
    <w:rsid w:val="00E2185A"/>
    <w:pPr>
      <w:spacing w:after="0" w:line="240" w:lineRule="auto"/>
    </w:pPr>
    <w:tblPr/>
  </w:style>
  <w:style w:type="table" w:customStyle="1" w:styleId="20122tableformat61">
    <w:name w:val="2012 2 table format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1">
    <w:name w:val="Medium Grid 1 - Accent 6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1">
    <w:name w:val="Light List - Accent 6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1">
    <w:name w:val="Light Grid - Accent 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1">
    <w:name w:val="2012 Style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1">
    <w:name w:val="Light Shading - Accent 12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1">
    <w:name w:val="No List161"/>
    <w:next w:val="NoList"/>
    <w:uiPriority w:val="99"/>
    <w:semiHidden/>
    <w:unhideWhenUsed/>
    <w:rsid w:val="00E2185A"/>
  </w:style>
  <w:style w:type="numbering" w:customStyle="1" w:styleId="CurrentList1161">
    <w:name w:val="Current List1161"/>
    <w:rsid w:val="00E2185A"/>
  </w:style>
  <w:style w:type="table" w:customStyle="1" w:styleId="TableGrid151">
    <w:name w:val="Table Grid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1">
    <w:name w:val="Bulleted List161"/>
    <w:rsid w:val="00E2185A"/>
  </w:style>
  <w:style w:type="table" w:customStyle="1" w:styleId="LightShading1151">
    <w:name w:val="Light Shading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1">
    <w:name w:val="Light Grid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1">
    <w:name w:val="Medium Shading 1 - Accent 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1">
    <w:name w:val="Medium Grid 1 - Accent 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1">
    <w:name w:val="Light Shading - Accent 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1">
    <w:name w:val="RSP_Style151"/>
    <w:basedOn w:val="TableNormal"/>
    <w:uiPriority w:val="99"/>
    <w:qFormat/>
    <w:rsid w:val="00E2185A"/>
    <w:pPr>
      <w:spacing w:after="0" w:line="240" w:lineRule="auto"/>
    </w:pPr>
    <w:tblPr/>
  </w:style>
  <w:style w:type="table" w:customStyle="1" w:styleId="20122tableformat151">
    <w:name w:val="2012 2 table format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1">
    <w:name w:val="Medium Grid 1 - Accent 6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1">
    <w:name w:val="Light List - Accent 6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1">
    <w:name w:val="Light Grid - Accent 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1">
    <w:name w:val="2012 Style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1">
    <w:name w:val="Light Shading - Accent 12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1">
    <w:name w:val="Medium Shading 1 - Accent 4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1">
    <w:name w:val="No List221"/>
    <w:next w:val="NoList"/>
    <w:uiPriority w:val="99"/>
    <w:semiHidden/>
    <w:unhideWhenUsed/>
    <w:rsid w:val="00E2185A"/>
  </w:style>
  <w:style w:type="numbering" w:customStyle="1" w:styleId="CurrentList1221">
    <w:name w:val="Current List1221"/>
    <w:rsid w:val="00E2185A"/>
  </w:style>
  <w:style w:type="numbering" w:customStyle="1" w:styleId="BulletedList221">
    <w:name w:val="Bulleted List221"/>
    <w:rsid w:val="00E2185A"/>
  </w:style>
  <w:style w:type="numbering" w:customStyle="1" w:styleId="NoList1121">
    <w:name w:val="No List1121"/>
    <w:next w:val="NoList"/>
    <w:uiPriority w:val="99"/>
    <w:semiHidden/>
    <w:unhideWhenUsed/>
    <w:rsid w:val="00E2185A"/>
  </w:style>
  <w:style w:type="numbering" w:customStyle="1" w:styleId="CurrentList11121">
    <w:name w:val="Current List11121"/>
    <w:rsid w:val="00E2185A"/>
  </w:style>
  <w:style w:type="numbering" w:customStyle="1" w:styleId="BulletedList1121">
    <w:name w:val="Bulleted List1121"/>
    <w:rsid w:val="00E2185A"/>
  </w:style>
  <w:style w:type="numbering" w:customStyle="1" w:styleId="NoList321">
    <w:name w:val="No List321"/>
    <w:next w:val="NoList"/>
    <w:uiPriority w:val="99"/>
    <w:semiHidden/>
    <w:unhideWhenUsed/>
    <w:rsid w:val="00E2185A"/>
  </w:style>
  <w:style w:type="table" w:customStyle="1" w:styleId="TableGrid222">
    <w:name w:val="Table Grid222"/>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1">
    <w:name w:val="Light Shading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1">
    <w:name w:val="Light Grid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1">
    <w:name w:val="Medium Shading 1 - Accent 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1">
    <w:name w:val="Medium Grid 1 - Accent 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1">
    <w:name w:val="Light Shading - Accent 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1">
    <w:name w:val="RSP_Style221"/>
    <w:basedOn w:val="TableNormal"/>
    <w:uiPriority w:val="99"/>
    <w:qFormat/>
    <w:rsid w:val="00E2185A"/>
    <w:pPr>
      <w:spacing w:after="0" w:line="240" w:lineRule="auto"/>
    </w:pPr>
    <w:tblPr/>
  </w:style>
  <w:style w:type="table" w:customStyle="1" w:styleId="20122tableformat221">
    <w:name w:val="2012 2 table format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1">
    <w:name w:val="Medium Grid 1 - Accent 6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1">
    <w:name w:val="Light List - Accent 6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1">
    <w:name w:val="Light Grid - Accent 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1">
    <w:name w:val="2012 Style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1">
    <w:name w:val="Light Shading - Accent 12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1">
    <w:name w:val="No List1221"/>
    <w:next w:val="NoList"/>
    <w:uiPriority w:val="99"/>
    <w:semiHidden/>
    <w:unhideWhenUsed/>
    <w:rsid w:val="00E2185A"/>
  </w:style>
  <w:style w:type="numbering" w:customStyle="1" w:styleId="CurrentList11221">
    <w:name w:val="Current List11221"/>
    <w:rsid w:val="00E2185A"/>
  </w:style>
  <w:style w:type="table" w:customStyle="1" w:styleId="TableGrid1121">
    <w:name w:val="Table Grid1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1">
    <w:name w:val="Bulleted List1221"/>
    <w:rsid w:val="00E2185A"/>
  </w:style>
  <w:style w:type="table" w:customStyle="1" w:styleId="LightShading11121">
    <w:name w:val="Light Shading111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1">
    <w:name w:val="Light Grid111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1">
    <w:name w:val="Medium Shading 1 - Accent 1111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1">
    <w:name w:val="Medium Grid 1 - Accent 111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1">
    <w:name w:val="Light Shading - Accent 1111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1">
    <w:name w:val="RSP_Style1121"/>
    <w:basedOn w:val="TableNormal"/>
    <w:uiPriority w:val="99"/>
    <w:qFormat/>
    <w:rsid w:val="00E2185A"/>
    <w:pPr>
      <w:spacing w:after="0" w:line="240" w:lineRule="auto"/>
    </w:pPr>
    <w:tblPr/>
  </w:style>
  <w:style w:type="table" w:customStyle="1" w:styleId="20122tableformat1121">
    <w:name w:val="2012 2 table format11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1">
    <w:name w:val="Medium Grid 1 - Accent 611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1">
    <w:name w:val="Light List - Accent 611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1">
    <w:name w:val="Light Grid - Accent 1111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1">
    <w:name w:val="2012 Style11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1">
    <w:name w:val="Light Shading - Accent 1211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1">
    <w:name w:val="Medium Shading 1 - Accent 41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1">
    <w:name w:val="No List421"/>
    <w:next w:val="NoList"/>
    <w:uiPriority w:val="99"/>
    <w:semiHidden/>
    <w:unhideWhenUsed/>
    <w:rsid w:val="00E2185A"/>
  </w:style>
  <w:style w:type="table" w:customStyle="1" w:styleId="TableGrid331">
    <w:name w:val="Table Grid3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1">
    <w:name w:val="Light Shading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1">
    <w:name w:val="Light Grid13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1">
    <w:name w:val="Medium Shading 1 - Accent 113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1">
    <w:name w:val="Medium Grid 1 - Accent 13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1">
    <w:name w:val="Light Shading - Accent 113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1">
    <w:name w:val="RSP_Style321"/>
    <w:basedOn w:val="TableNormal"/>
    <w:uiPriority w:val="99"/>
    <w:qFormat/>
    <w:rsid w:val="00E2185A"/>
    <w:pPr>
      <w:spacing w:after="0" w:line="240" w:lineRule="auto"/>
    </w:pPr>
    <w:tblPr/>
  </w:style>
  <w:style w:type="table" w:customStyle="1" w:styleId="20122tableformat321">
    <w:name w:val="2012 2 table format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1">
    <w:name w:val="Medium Grid 1 - Accent 63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1">
    <w:name w:val="Light List - Accent 63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1">
    <w:name w:val="Light Grid - Accent 113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1">
    <w:name w:val="2012 Style3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1">
    <w:name w:val="Light Shading - Accent 12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1">
    <w:name w:val="No List1321"/>
    <w:next w:val="NoList"/>
    <w:uiPriority w:val="99"/>
    <w:semiHidden/>
    <w:unhideWhenUsed/>
    <w:rsid w:val="00E2185A"/>
  </w:style>
  <w:style w:type="numbering" w:customStyle="1" w:styleId="CurrentList11321">
    <w:name w:val="Current List11321"/>
    <w:rsid w:val="00E2185A"/>
  </w:style>
  <w:style w:type="table" w:customStyle="1" w:styleId="TableGrid1221">
    <w:name w:val="Table Grid12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1">
    <w:name w:val="Bulleted List1321"/>
    <w:rsid w:val="00E2185A"/>
  </w:style>
  <w:style w:type="table" w:customStyle="1" w:styleId="LightShading11221">
    <w:name w:val="Light Shading112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1">
    <w:name w:val="Light Grid1122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1">
    <w:name w:val="Medium Shading 1 - Accent 11122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1">
    <w:name w:val="Medium Grid 1 - Accent 1122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1">
    <w:name w:val="Light Shading - Accent 11122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1">
    <w:name w:val="RSP_Style1221"/>
    <w:basedOn w:val="TableNormal"/>
    <w:uiPriority w:val="99"/>
    <w:qFormat/>
    <w:rsid w:val="00E2185A"/>
    <w:pPr>
      <w:spacing w:after="0" w:line="240" w:lineRule="auto"/>
    </w:pPr>
    <w:tblPr/>
  </w:style>
  <w:style w:type="table" w:customStyle="1" w:styleId="20122tableformat1221">
    <w:name w:val="2012 2 table format12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1">
    <w:name w:val="Medium Grid 1 - Accent 6122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1">
    <w:name w:val="Light List - Accent 6122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1">
    <w:name w:val="Light Grid - Accent 11122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1">
    <w:name w:val="2012 Style122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1">
    <w:name w:val="Light Shading - Accent 1212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1">
    <w:name w:val="Medium Shading 1 - Accent 422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1">
    <w:name w:val="Current List1321"/>
    <w:rsid w:val="00E2185A"/>
  </w:style>
  <w:style w:type="table" w:customStyle="1" w:styleId="TableGrid3121">
    <w:name w:val="Table Grid31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E2185A"/>
  </w:style>
  <w:style w:type="numbering" w:customStyle="1" w:styleId="CurrentList1421">
    <w:name w:val="Current List1421"/>
    <w:rsid w:val="00E2185A"/>
  </w:style>
  <w:style w:type="table" w:customStyle="1" w:styleId="TableGrid421">
    <w:name w:val="Table Grid4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1">
    <w:name w:val="Bulleted List321"/>
    <w:rsid w:val="00E2185A"/>
  </w:style>
  <w:style w:type="table" w:customStyle="1" w:styleId="LightShading1421">
    <w:name w:val="Light Shading14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1">
    <w:name w:val="Light Grid14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1">
    <w:name w:val="Medium Shading 1 - Accent 114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1">
    <w:name w:val="Medium Grid 1 - Accent 14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1">
    <w:name w:val="Light Shading - Accent 114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1">
    <w:name w:val="RSP_Style421"/>
    <w:basedOn w:val="TableNormal"/>
    <w:uiPriority w:val="99"/>
    <w:qFormat/>
    <w:rsid w:val="00E2185A"/>
    <w:pPr>
      <w:spacing w:after="0" w:line="240" w:lineRule="auto"/>
    </w:pPr>
    <w:rPr>
      <w:rFonts w:ascii="Cambria" w:hAnsi="Cambria"/>
      <w:color w:val="auto"/>
    </w:rPr>
    <w:tblPr/>
  </w:style>
  <w:style w:type="table" w:customStyle="1" w:styleId="20122tableformat421">
    <w:name w:val="2012 2 table format4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1">
    <w:name w:val="Medium Grid 1 - Accent 64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1">
    <w:name w:val="Light List - Accent 64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1">
    <w:name w:val="Light Grid - Accent 114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1">
    <w:name w:val="2012 Style4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1">
    <w:name w:val="Light Shading - Accent 124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1">
    <w:name w:val="No List1421"/>
    <w:next w:val="NoList"/>
    <w:uiPriority w:val="99"/>
    <w:semiHidden/>
    <w:unhideWhenUsed/>
    <w:rsid w:val="00E2185A"/>
  </w:style>
  <w:style w:type="numbering" w:customStyle="1" w:styleId="CurrentList11421">
    <w:name w:val="Current List11421"/>
    <w:rsid w:val="00E2185A"/>
  </w:style>
  <w:style w:type="table" w:customStyle="1" w:styleId="TableGrid1321">
    <w:name w:val="Table Grid132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1">
    <w:name w:val="Bulleted List1421"/>
    <w:rsid w:val="00E2185A"/>
  </w:style>
  <w:style w:type="table" w:customStyle="1" w:styleId="LightShading11321">
    <w:name w:val="Light Shading1132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1">
    <w:name w:val="Light Grid1132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1">
    <w:name w:val="Medium Shading 1 - Accent 11132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1">
    <w:name w:val="Medium Grid 1 - Accent 1132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1">
    <w:name w:val="Light Shading - Accent 11132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1">
    <w:name w:val="RSP_Style1321"/>
    <w:basedOn w:val="TableNormal"/>
    <w:uiPriority w:val="99"/>
    <w:qFormat/>
    <w:rsid w:val="00E2185A"/>
    <w:pPr>
      <w:spacing w:after="0" w:line="240" w:lineRule="auto"/>
    </w:pPr>
    <w:rPr>
      <w:rFonts w:ascii="Cambria" w:hAnsi="Cambria"/>
      <w:color w:val="auto"/>
    </w:rPr>
    <w:tblPr/>
  </w:style>
  <w:style w:type="table" w:customStyle="1" w:styleId="20122tableformat1321">
    <w:name w:val="2012 2 table format132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1">
    <w:name w:val="Medium Grid 1 - Accent 6132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1">
    <w:name w:val="Light List - Accent 6132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1">
    <w:name w:val="Light Grid - Accent 11132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1">
    <w:name w:val="2012 Style132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1">
    <w:name w:val="Light Shading - Accent 12132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1">
    <w:name w:val="Medium Shading 1 - Accent 432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1">
    <w:name w:val="Table Grid52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E2185A"/>
  </w:style>
  <w:style w:type="numbering" w:customStyle="1" w:styleId="CurrentList161">
    <w:name w:val="Current List161"/>
    <w:rsid w:val="00E2185A"/>
  </w:style>
  <w:style w:type="table" w:customStyle="1" w:styleId="TableGrid81">
    <w:name w:val="Table Grid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1">
    <w:name w:val="Light Shading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1">
    <w:name w:val="Light Grid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1">
    <w:name w:val="Medium Shading 1 - Accent 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1">
    <w:name w:val="Medium Grid 1 - Accent 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1">
    <w:name w:val="Light Shading - Accent 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1">
    <w:name w:val="RSP_Style71"/>
    <w:basedOn w:val="TableNormal"/>
    <w:uiPriority w:val="99"/>
    <w:qFormat/>
    <w:rsid w:val="00E2185A"/>
    <w:pPr>
      <w:spacing w:after="0" w:line="240" w:lineRule="auto"/>
    </w:pPr>
    <w:tblPr/>
  </w:style>
  <w:style w:type="table" w:customStyle="1" w:styleId="20122tableformat71">
    <w:name w:val="2012 2 table format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1">
    <w:name w:val="Medium Grid 1 - Accent 6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1">
    <w:name w:val="Light List - Accent 6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1">
    <w:name w:val="Light Grid - Accent 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1">
    <w:name w:val="2012 Style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1">
    <w:name w:val="Light Shading - Accent 12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1">
    <w:name w:val="No List171"/>
    <w:next w:val="NoList"/>
    <w:uiPriority w:val="99"/>
    <w:semiHidden/>
    <w:unhideWhenUsed/>
    <w:rsid w:val="00E2185A"/>
  </w:style>
  <w:style w:type="numbering" w:customStyle="1" w:styleId="CurrentList1171">
    <w:name w:val="Current List1171"/>
    <w:rsid w:val="00E2185A"/>
  </w:style>
  <w:style w:type="table" w:customStyle="1" w:styleId="TableGrid161">
    <w:name w:val="Table Grid1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1">
    <w:name w:val="Bulleted List171"/>
    <w:rsid w:val="00E2185A"/>
  </w:style>
  <w:style w:type="table" w:customStyle="1" w:styleId="LightShading1161">
    <w:name w:val="Light Shading116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1">
    <w:name w:val="Light Grid116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1">
    <w:name w:val="Medium Shading 1 - Accent 1116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1">
    <w:name w:val="Medium Grid 1 - Accent 116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1">
    <w:name w:val="Light Shading - Accent 1116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1">
    <w:name w:val="RSP_Style161"/>
    <w:basedOn w:val="TableNormal"/>
    <w:uiPriority w:val="99"/>
    <w:qFormat/>
    <w:rsid w:val="00E2185A"/>
    <w:pPr>
      <w:spacing w:after="0" w:line="240" w:lineRule="auto"/>
    </w:pPr>
    <w:tblPr/>
  </w:style>
  <w:style w:type="table" w:customStyle="1" w:styleId="20122tableformat161">
    <w:name w:val="2012 2 table format16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1">
    <w:name w:val="Medium Grid 1 - Accent 616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1">
    <w:name w:val="Light List - Accent 616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1">
    <w:name w:val="Light Grid - Accent 1116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1">
    <w:name w:val="2012 Style16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1">
    <w:name w:val="Light Shading - Accent 1216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1">
    <w:name w:val="Medium Shading 1 - Accent 46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1">
    <w:name w:val="No List231"/>
    <w:next w:val="NoList"/>
    <w:uiPriority w:val="99"/>
    <w:semiHidden/>
    <w:unhideWhenUsed/>
    <w:rsid w:val="00E2185A"/>
  </w:style>
  <w:style w:type="numbering" w:customStyle="1" w:styleId="CurrentList1231">
    <w:name w:val="Current List1231"/>
    <w:rsid w:val="00E2185A"/>
  </w:style>
  <w:style w:type="numbering" w:customStyle="1" w:styleId="BulletedList231">
    <w:name w:val="Bulleted List231"/>
    <w:rsid w:val="00E2185A"/>
  </w:style>
  <w:style w:type="numbering" w:customStyle="1" w:styleId="NoList1131">
    <w:name w:val="No List1131"/>
    <w:next w:val="NoList"/>
    <w:uiPriority w:val="99"/>
    <w:semiHidden/>
    <w:unhideWhenUsed/>
    <w:rsid w:val="00E2185A"/>
  </w:style>
  <w:style w:type="numbering" w:customStyle="1" w:styleId="CurrentList11131">
    <w:name w:val="Current List11131"/>
    <w:rsid w:val="00E2185A"/>
  </w:style>
  <w:style w:type="numbering" w:customStyle="1" w:styleId="BulletedList1131">
    <w:name w:val="Bulleted List1131"/>
    <w:rsid w:val="00E2185A"/>
  </w:style>
  <w:style w:type="numbering" w:customStyle="1" w:styleId="NoList331">
    <w:name w:val="No List331"/>
    <w:next w:val="NoList"/>
    <w:uiPriority w:val="99"/>
    <w:semiHidden/>
    <w:unhideWhenUsed/>
    <w:rsid w:val="00E2185A"/>
  </w:style>
  <w:style w:type="table" w:customStyle="1" w:styleId="TableGrid231">
    <w:name w:val="Table Grid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1">
    <w:name w:val="Light Shading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1">
    <w:name w:val="Light Grid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1">
    <w:name w:val="Medium Shading 1 - Accent 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1">
    <w:name w:val="Medium Grid 1 - Accent 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1">
    <w:name w:val="Light Shading - Accent 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1">
    <w:name w:val="RSP_Style231"/>
    <w:basedOn w:val="TableNormal"/>
    <w:uiPriority w:val="99"/>
    <w:qFormat/>
    <w:rsid w:val="00E2185A"/>
    <w:pPr>
      <w:spacing w:after="0" w:line="240" w:lineRule="auto"/>
    </w:pPr>
    <w:tblPr/>
  </w:style>
  <w:style w:type="table" w:customStyle="1" w:styleId="20122tableformat231">
    <w:name w:val="2012 2 table format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1">
    <w:name w:val="Medium Grid 1 - Accent 6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1">
    <w:name w:val="Light List - Accent 6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1">
    <w:name w:val="Light Grid - Accent 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1">
    <w:name w:val="2012 Style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1">
    <w:name w:val="Light Shading - Accent 12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1">
    <w:name w:val="No List1231"/>
    <w:next w:val="NoList"/>
    <w:uiPriority w:val="99"/>
    <w:semiHidden/>
    <w:unhideWhenUsed/>
    <w:rsid w:val="00E2185A"/>
  </w:style>
  <w:style w:type="numbering" w:customStyle="1" w:styleId="CurrentList11231">
    <w:name w:val="Current List11231"/>
    <w:rsid w:val="00E2185A"/>
  </w:style>
  <w:style w:type="table" w:customStyle="1" w:styleId="TableGrid1131">
    <w:name w:val="Table Grid1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1">
    <w:name w:val="Bulleted List1231"/>
    <w:rsid w:val="00E2185A"/>
  </w:style>
  <w:style w:type="table" w:customStyle="1" w:styleId="LightShading11131">
    <w:name w:val="Light Shading111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1">
    <w:name w:val="Light Grid111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1">
    <w:name w:val="Medium Shading 1 - Accent 1111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1">
    <w:name w:val="Medium Grid 1 - Accent 111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1">
    <w:name w:val="Light Shading - Accent 1111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1">
    <w:name w:val="RSP_Style1131"/>
    <w:basedOn w:val="TableNormal"/>
    <w:uiPriority w:val="99"/>
    <w:qFormat/>
    <w:rsid w:val="00E2185A"/>
    <w:pPr>
      <w:spacing w:after="0" w:line="240" w:lineRule="auto"/>
    </w:pPr>
    <w:tblPr/>
  </w:style>
  <w:style w:type="table" w:customStyle="1" w:styleId="20122tableformat1131">
    <w:name w:val="2012 2 table format11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1">
    <w:name w:val="Medium Grid 1 - Accent 611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1">
    <w:name w:val="Light List - Accent 611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1">
    <w:name w:val="Light Grid - Accent 1111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1">
    <w:name w:val="2012 Style11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1">
    <w:name w:val="Light Shading - Accent 1211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1">
    <w:name w:val="Medium Shading 1 - Accent 41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1">
    <w:name w:val="No List431"/>
    <w:next w:val="NoList"/>
    <w:uiPriority w:val="99"/>
    <w:semiHidden/>
    <w:unhideWhenUsed/>
    <w:rsid w:val="00E2185A"/>
  </w:style>
  <w:style w:type="table" w:customStyle="1" w:styleId="TableGrid341">
    <w:name w:val="Table Grid3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1">
    <w:name w:val="Light Shading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1">
    <w:name w:val="Light Grid13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1">
    <w:name w:val="Medium Shading 1 - Accent 113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1">
    <w:name w:val="Medium Grid 1 - Accent 13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1">
    <w:name w:val="Light Shading - Accent 113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1">
    <w:name w:val="RSP_Style331"/>
    <w:basedOn w:val="TableNormal"/>
    <w:uiPriority w:val="99"/>
    <w:qFormat/>
    <w:rsid w:val="00E2185A"/>
    <w:pPr>
      <w:spacing w:after="0" w:line="240" w:lineRule="auto"/>
    </w:pPr>
    <w:tblPr/>
  </w:style>
  <w:style w:type="table" w:customStyle="1" w:styleId="20122tableformat331">
    <w:name w:val="2012 2 table format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1">
    <w:name w:val="Medium Grid 1 - Accent 63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1">
    <w:name w:val="Light List - Accent 63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1">
    <w:name w:val="Light Grid - Accent 113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1">
    <w:name w:val="2012 Style3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1">
    <w:name w:val="Light Shading - Accent 12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1">
    <w:name w:val="No List1331"/>
    <w:next w:val="NoList"/>
    <w:uiPriority w:val="99"/>
    <w:semiHidden/>
    <w:unhideWhenUsed/>
    <w:rsid w:val="00E2185A"/>
  </w:style>
  <w:style w:type="numbering" w:customStyle="1" w:styleId="CurrentList11331">
    <w:name w:val="Current List11331"/>
    <w:rsid w:val="00E2185A"/>
  </w:style>
  <w:style w:type="table" w:customStyle="1" w:styleId="TableGrid1231">
    <w:name w:val="Table Grid12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1">
    <w:name w:val="Bulleted List1331"/>
    <w:rsid w:val="00E2185A"/>
  </w:style>
  <w:style w:type="table" w:customStyle="1" w:styleId="LightShading11231">
    <w:name w:val="Light Shading112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1">
    <w:name w:val="Light Grid1123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1">
    <w:name w:val="Medium Shading 1 - Accent 11123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1">
    <w:name w:val="Medium Grid 1 - Accent 1123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1">
    <w:name w:val="Light Shading - Accent 11123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1">
    <w:name w:val="RSP_Style1231"/>
    <w:basedOn w:val="TableNormal"/>
    <w:uiPriority w:val="99"/>
    <w:qFormat/>
    <w:rsid w:val="00E2185A"/>
    <w:pPr>
      <w:spacing w:after="0" w:line="240" w:lineRule="auto"/>
    </w:pPr>
    <w:tblPr/>
  </w:style>
  <w:style w:type="table" w:customStyle="1" w:styleId="20122tableformat1231">
    <w:name w:val="2012 2 table format12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1">
    <w:name w:val="Medium Grid 1 - Accent 6123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1">
    <w:name w:val="Light List - Accent 6123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1">
    <w:name w:val="Light Grid - Accent 11123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1">
    <w:name w:val="2012 Style123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1">
    <w:name w:val="Light Shading - Accent 1212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1">
    <w:name w:val="Medium Shading 1 - Accent 423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1">
    <w:name w:val="Current List1331"/>
    <w:rsid w:val="00E2185A"/>
  </w:style>
  <w:style w:type="table" w:customStyle="1" w:styleId="TableGrid3131">
    <w:name w:val="Table Grid31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1">
    <w:name w:val="ISO Report Style21"/>
    <w:uiPriority w:val="99"/>
    <w:rsid w:val="00E2185A"/>
  </w:style>
  <w:style w:type="numbering" w:customStyle="1" w:styleId="NoList531">
    <w:name w:val="No List531"/>
    <w:next w:val="NoList"/>
    <w:uiPriority w:val="99"/>
    <w:semiHidden/>
    <w:unhideWhenUsed/>
    <w:rsid w:val="00E2185A"/>
  </w:style>
  <w:style w:type="numbering" w:customStyle="1" w:styleId="CurrentList1431">
    <w:name w:val="Current List1431"/>
    <w:rsid w:val="00E2185A"/>
  </w:style>
  <w:style w:type="table" w:customStyle="1" w:styleId="TableGrid431">
    <w:name w:val="Table Grid4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1">
    <w:name w:val="Bulleted List331"/>
    <w:rsid w:val="00E2185A"/>
  </w:style>
  <w:style w:type="table" w:customStyle="1" w:styleId="LightShading1431">
    <w:name w:val="Light Shading14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1">
    <w:name w:val="Light Grid14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1">
    <w:name w:val="Medium Shading 1 - Accent 114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1">
    <w:name w:val="Medium Grid 1 - Accent 14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1">
    <w:name w:val="Light Shading - Accent 114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1">
    <w:name w:val="RSP_Style431"/>
    <w:basedOn w:val="TableNormal"/>
    <w:uiPriority w:val="99"/>
    <w:qFormat/>
    <w:rsid w:val="00E2185A"/>
    <w:pPr>
      <w:spacing w:after="0" w:line="240" w:lineRule="auto"/>
    </w:pPr>
    <w:rPr>
      <w:rFonts w:ascii="Cambria" w:hAnsi="Cambria"/>
      <w:color w:val="auto"/>
    </w:rPr>
    <w:tblPr/>
  </w:style>
  <w:style w:type="table" w:customStyle="1" w:styleId="20122tableformat431">
    <w:name w:val="2012 2 table format4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1">
    <w:name w:val="Medium Grid 1 - Accent 64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1">
    <w:name w:val="Light List - Accent 64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1">
    <w:name w:val="Light Grid - Accent 114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1">
    <w:name w:val="2012 Style4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1">
    <w:name w:val="Light Shading - Accent 124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1">
    <w:name w:val="No List1431"/>
    <w:next w:val="NoList"/>
    <w:uiPriority w:val="99"/>
    <w:semiHidden/>
    <w:unhideWhenUsed/>
    <w:rsid w:val="00E2185A"/>
  </w:style>
  <w:style w:type="numbering" w:customStyle="1" w:styleId="CurrentList11431">
    <w:name w:val="Current List11431"/>
    <w:rsid w:val="00E2185A"/>
  </w:style>
  <w:style w:type="table" w:customStyle="1" w:styleId="TableGrid1331">
    <w:name w:val="Table Grid133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1">
    <w:name w:val="Bulleted List1431"/>
    <w:rsid w:val="00E2185A"/>
  </w:style>
  <w:style w:type="table" w:customStyle="1" w:styleId="LightShading11331">
    <w:name w:val="Light Shading1133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1">
    <w:name w:val="Light Grid1133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1">
    <w:name w:val="Medium Shading 1 - Accent 11133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1">
    <w:name w:val="Medium Grid 1 - Accent 1133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1">
    <w:name w:val="Light Shading - Accent 11133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1">
    <w:name w:val="RSP_Style1331"/>
    <w:basedOn w:val="TableNormal"/>
    <w:uiPriority w:val="99"/>
    <w:qFormat/>
    <w:rsid w:val="00E2185A"/>
    <w:pPr>
      <w:spacing w:after="0" w:line="240" w:lineRule="auto"/>
    </w:pPr>
    <w:rPr>
      <w:rFonts w:ascii="Cambria" w:hAnsi="Cambria"/>
      <w:color w:val="auto"/>
    </w:rPr>
    <w:tblPr/>
  </w:style>
  <w:style w:type="table" w:customStyle="1" w:styleId="20122tableformat1331">
    <w:name w:val="2012 2 table format133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1">
    <w:name w:val="Medium Grid 1 - Accent 6133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1">
    <w:name w:val="Light List - Accent 6133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1">
    <w:name w:val="Light Grid - Accent 11133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1">
    <w:name w:val="2012 Style133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1">
    <w:name w:val="Light Shading - Accent 12133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1">
    <w:name w:val="Medium Shading 1 - Accent 433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1">
    <w:name w:val="Table Grid53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E2185A"/>
  </w:style>
  <w:style w:type="numbering" w:customStyle="1" w:styleId="CurrentList171">
    <w:name w:val="Current List171"/>
    <w:rsid w:val="00E2185A"/>
  </w:style>
  <w:style w:type="table" w:customStyle="1" w:styleId="TableGrid91">
    <w:name w:val="Table Grid9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1">
    <w:name w:val="Light Shading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1">
    <w:name w:val="Light Grid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1">
    <w:name w:val="Medium Shading 1 - Accent 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1">
    <w:name w:val="Medium Grid 1 - Accent 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1">
    <w:name w:val="Light Shading - Accent 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1">
    <w:name w:val="RSP_Style81"/>
    <w:basedOn w:val="TableNormal"/>
    <w:uiPriority w:val="99"/>
    <w:qFormat/>
    <w:rsid w:val="00E2185A"/>
    <w:pPr>
      <w:spacing w:after="0" w:line="240" w:lineRule="auto"/>
    </w:pPr>
    <w:tblPr/>
  </w:style>
  <w:style w:type="table" w:customStyle="1" w:styleId="20122tableformat81">
    <w:name w:val="2012 2 table format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1">
    <w:name w:val="Medium Grid 1 - Accent 6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1">
    <w:name w:val="Light List - Accent 6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1">
    <w:name w:val="Light Grid - Accent 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1">
    <w:name w:val="2012 Style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1">
    <w:name w:val="Light Shading - Accent 12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1">
    <w:name w:val="No List181"/>
    <w:next w:val="NoList"/>
    <w:uiPriority w:val="99"/>
    <w:semiHidden/>
    <w:unhideWhenUsed/>
    <w:rsid w:val="00E2185A"/>
  </w:style>
  <w:style w:type="numbering" w:customStyle="1" w:styleId="CurrentList1181">
    <w:name w:val="Current List1181"/>
    <w:rsid w:val="00E2185A"/>
  </w:style>
  <w:style w:type="table" w:customStyle="1" w:styleId="TableGrid171">
    <w:name w:val="Table Grid17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1">
    <w:name w:val="Bulleted List181"/>
    <w:rsid w:val="00E2185A"/>
  </w:style>
  <w:style w:type="table" w:customStyle="1" w:styleId="LightShading1171">
    <w:name w:val="Light Shading117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1">
    <w:name w:val="Light Grid117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1">
    <w:name w:val="Medium Shading 1 - Accent 1117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1">
    <w:name w:val="Medium Grid 1 - Accent 117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1">
    <w:name w:val="Light Shading - Accent 1117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1">
    <w:name w:val="RSP_Style171"/>
    <w:basedOn w:val="TableNormal"/>
    <w:uiPriority w:val="99"/>
    <w:qFormat/>
    <w:rsid w:val="00E2185A"/>
    <w:pPr>
      <w:spacing w:after="0" w:line="240" w:lineRule="auto"/>
    </w:pPr>
    <w:tblPr/>
  </w:style>
  <w:style w:type="table" w:customStyle="1" w:styleId="20122tableformat171">
    <w:name w:val="2012 2 table format17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1">
    <w:name w:val="Medium Grid 1 - Accent 617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1">
    <w:name w:val="Light List - Accent 617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1">
    <w:name w:val="Light Grid - Accent 1117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1">
    <w:name w:val="2012 Style17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1">
    <w:name w:val="Light Shading - Accent 1217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1">
    <w:name w:val="Medium Shading 1 - Accent 47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1">
    <w:name w:val="No List241"/>
    <w:next w:val="NoList"/>
    <w:uiPriority w:val="99"/>
    <w:semiHidden/>
    <w:unhideWhenUsed/>
    <w:rsid w:val="00E2185A"/>
  </w:style>
  <w:style w:type="numbering" w:customStyle="1" w:styleId="CurrentList1241">
    <w:name w:val="Current List1241"/>
    <w:rsid w:val="00E2185A"/>
  </w:style>
  <w:style w:type="numbering" w:customStyle="1" w:styleId="BulletedList241">
    <w:name w:val="Bulleted List241"/>
    <w:rsid w:val="00E2185A"/>
  </w:style>
  <w:style w:type="numbering" w:customStyle="1" w:styleId="NoList1141">
    <w:name w:val="No List1141"/>
    <w:next w:val="NoList"/>
    <w:uiPriority w:val="99"/>
    <w:semiHidden/>
    <w:unhideWhenUsed/>
    <w:rsid w:val="00E2185A"/>
  </w:style>
  <w:style w:type="numbering" w:customStyle="1" w:styleId="CurrentList11141">
    <w:name w:val="Current List11141"/>
    <w:rsid w:val="00E2185A"/>
  </w:style>
  <w:style w:type="numbering" w:customStyle="1" w:styleId="BulletedList1141">
    <w:name w:val="Bulleted List1141"/>
    <w:rsid w:val="00E2185A"/>
  </w:style>
  <w:style w:type="numbering" w:customStyle="1" w:styleId="NoList341">
    <w:name w:val="No List341"/>
    <w:next w:val="NoList"/>
    <w:uiPriority w:val="99"/>
    <w:semiHidden/>
    <w:unhideWhenUsed/>
    <w:rsid w:val="00E2185A"/>
  </w:style>
  <w:style w:type="table" w:customStyle="1" w:styleId="TableGrid241">
    <w:name w:val="Table Grid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1">
    <w:name w:val="Light Shading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1">
    <w:name w:val="Light Grid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1">
    <w:name w:val="Medium Shading 1 - Accent 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1">
    <w:name w:val="Medium Grid 1 - Accent 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1">
    <w:name w:val="Light Shading - Accent 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1">
    <w:name w:val="RSP_Style241"/>
    <w:basedOn w:val="TableNormal"/>
    <w:uiPriority w:val="99"/>
    <w:qFormat/>
    <w:rsid w:val="00E2185A"/>
    <w:pPr>
      <w:spacing w:after="0" w:line="240" w:lineRule="auto"/>
    </w:pPr>
    <w:tblPr/>
  </w:style>
  <w:style w:type="table" w:customStyle="1" w:styleId="20122tableformat241">
    <w:name w:val="2012 2 table format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1">
    <w:name w:val="Medium Grid 1 - Accent 6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1">
    <w:name w:val="Light List - Accent 6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1">
    <w:name w:val="Light Grid - Accent 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1">
    <w:name w:val="2012 Style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1">
    <w:name w:val="Light Shading - Accent 12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1">
    <w:name w:val="No List1241"/>
    <w:next w:val="NoList"/>
    <w:uiPriority w:val="99"/>
    <w:semiHidden/>
    <w:unhideWhenUsed/>
    <w:rsid w:val="00E2185A"/>
  </w:style>
  <w:style w:type="numbering" w:customStyle="1" w:styleId="CurrentList11241">
    <w:name w:val="Current List11241"/>
    <w:rsid w:val="00E2185A"/>
  </w:style>
  <w:style w:type="table" w:customStyle="1" w:styleId="TableGrid1141">
    <w:name w:val="Table Grid1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1">
    <w:name w:val="Bulleted List1241"/>
    <w:rsid w:val="00E2185A"/>
  </w:style>
  <w:style w:type="table" w:customStyle="1" w:styleId="LightShading11141">
    <w:name w:val="Light Shading111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1">
    <w:name w:val="Light Grid111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1">
    <w:name w:val="Medium Shading 1 - Accent 1111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1">
    <w:name w:val="Medium Grid 1 - Accent 111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1">
    <w:name w:val="Light Shading - Accent 1111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1">
    <w:name w:val="RSP_Style1141"/>
    <w:basedOn w:val="TableNormal"/>
    <w:uiPriority w:val="99"/>
    <w:qFormat/>
    <w:rsid w:val="00E2185A"/>
    <w:pPr>
      <w:spacing w:after="0" w:line="240" w:lineRule="auto"/>
    </w:pPr>
    <w:tblPr/>
  </w:style>
  <w:style w:type="table" w:customStyle="1" w:styleId="20122tableformat1141">
    <w:name w:val="2012 2 table format11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1">
    <w:name w:val="Medium Grid 1 - Accent 611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1">
    <w:name w:val="Light List - Accent 611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1">
    <w:name w:val="Light Grid - Accent 1111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1">
    <w:name w:val="2012 Style11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1">
    <w:name w:val="Light Shading - Accent 1211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1">
    <w:name w:val="Medium Shading 1 - Accent 41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1">
    <w:name w:val="No List441"/>
    <w:next w:val="NoList"/>
    <w:uiPriority w:val="99"/>
    <w:semiHidden/>
    <w:unhideWhenUsed/>
    <w:rsid w:val="00E2185A"/>
  </w:style>
  <w:style w:type="table" w:customStyle="1" w:styleId="TableGrid351">
    <w:name w:val="Table Grid3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1">
    <w:name w:val="Light Shading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1">
    <w:name w:val="Light Grid13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1">
    <w:name w:val="Medium Shading 1 - Accent 113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1">
    <w:name w:val="Medium Grid 1 - Accent 13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1">
    <w:name w:val="Light Shading - Accent 113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1">
    <w:name w:val="RSP_Style341"/>
    <w:basedOn w:val="TableNormal"/>
    <w:uiPriority w:val="99"/>
    <w:qFormat/>
    <w:rsid w:val="00E2185A"/>
    <w:pPr>
      <w:spacing w:after="0" w:line="240" w:lineRule="auto"/>
    </w:pPr>
    <w:tblPr/>
  </w:style>
  <w:style w:type="table" w:customStyle="1" w:styleId="20122tableformat341">
    <w:name w:val="2012 2 table format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1">
    <w:name w:val="Medium Grid 1 - Accent 63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1">
    <w:name w:val="Light List - Accent 63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1">
    <w:name w:val="Light Grid - Accent 113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1">
    <w:name w:val="2012 Style3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1">
    <w:name w:val="Light Shading - Accent 12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1">
    <w:name w:val="No List1341"/>
    <w:next w:val="NoList"/>
    <w:uiPriority w:val="99"/>
    <w:semiHidden/>
    <w:unhideWhenUsed/>
    <w:rsid w:val="00E2185A"/>
  </w:style>
  <w:style w:type="numbering" w:customStyle="1" w:styleId="CurrentList11341">
    <w:name w:val="Current List11341"/>
    <w:rsid w:val="00E2185A"/>
  </w:style>
  <w:style w:type="table" w:customStyle="1" w:styleId="TableGrid1241">
    <w:name w:val="Table Grid12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1">
    <w:name w:val="Bulleted List1341"/>
    <w:rsid w:val="00E2185A"/>
  </w:style>
  <w:style w:type="table" w:customStyle="1" w:styleId="LightShading11241">
    <w:name w:val="Light Shading112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1">
    <w:name w:val="Light Grid1124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1">
    <w:name w:val="Medium Shading 1 - Accent 11124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1">
    <w:name w:val="Medium Grid 1 - Accent 1124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1">
    <w:name w:val="Light Shading - Accent 11124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1">
    <w:name w:val="RSP_Style1241"/>
    <w:basedOn w:val="TableNormal"/>
    <w:uiPriority w:val="99"/>
    <w:qFormat/>
    <w:rsid w:val="00E2185A"/>
    <w:pPr>
      <w:spacing w:after="0" w:line="240" w:lineRule="auto"/>
    </w:pPr>
    <w:tblPr/>
  </w:style>
  <w:style w:type="table" w:customStyle="1" w:styleId="20122tableformat1241">
    <w:name w:val="2012 2 table format12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1">
    <w:name w:val="Medium Grid 1 - Accent 6124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1">
    <w:name w:val="Light List - Accent 6124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1">
    <w:name w:val="Light Grid - Accent 11124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1">
    <w:name w:val="2012 Style124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1">
    <w:name w:val="Light Shading - Accent 1212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1">
    <w:name w:val="Medium Shading 1 - Accent 424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1">
    <w:name w:val="Current List1341"/>
    <w:rsid w:val="00E2185A"/>
  </w:style>
  <w:style w:type="table" w:customStyle="1" w:styleId="TableGrid3141">
    <w:name w:val="Table Grid31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E2185A"/>
  </w:style>
  <w:style w:type="numbering" w:customStyle="1" w:styleId="CurrentList1441">
    <w:name w:val="Current List1441"/>
    <w:rsid w:val="00E2185A"/>
  </w:style>
  <w:style w:type="table" w:customStyle="1" w:styleId="TableGrid441">
    <w:name w:val="Table Grid4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1">
    <w:name w:val="Bulleted List341"/>
    <w:rsid w:val="00E2185A"/>
  </w:style>
  <w:style w:type="table" w:customStyle="1" w:styleId="LightShading1441">
    <w:name w:val="Light Shading14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1">
    <w:name w:val="Light Grid14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1">
    <w:name w:val="Medium Shading 1 - Accent 114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1">
    <w:name w:val="Medium Grid 1 - Accent 14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1">
    <w:name w:val="Light Shading - Accent 114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1">
    <w:name w:val="RSP_Style441"/>
    <w:basedOn w:val="TableNormal"/>
    <w:uiPriority w:val="99"/>
    <w:qFormat/>
    <w:rsid w:val="00E2185A"/>
    <w:pPr>
      <w:spacing w:after="0" w:line="240" w:lineRule="auto"/>
    </w:pPr>
    <w:rPr>
      <w:rFonts w:ascii="Cambria" w:hAnsi="Cambria"/>
      <w:color w:val="auto"/>
    </w:rPr>
    <w:tblPr/>
  </w:style>
  <w:style w:type="table" w:customStyle="1" w:styleId="20122tableformat441">
    <w:name w:val="2012 2 table format4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1">
    <w:name w:val="Medium Grid 1 - Accent 64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1">
    <w:name w:val="Light List - Accent 64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1">
    <w:name w:val="Light Grid - Accent 114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1">
    <w:name w:val="2012 Style4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1">
    <w:name w:val="Light Shading - Accent 124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1">
    <w:name w:val="No List1441"/>
    <w:next w:val="NoList"/>
    <w:uiPriority w:val="99"/>
    <w:semiHidden/>
    <w:unhideWhenUsed/>
    <w:rsid w:val="00E2185A"/>
  </w:style>
  <w:style w:type="numbering" w:customStyle="1" w:styleId="CurrentList11441">
    <w:name w:val="Current List11441"/>
    <w:rsid w:val="00E2185A"/>
  </w:style>
  <w:style w:type="table" w:customStyle="1" w:styleId="TableGrid1341">
    <w:name w:val="Table Grid134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1">
    <w:name w:val="Bulleted List1441"/>
    <w:rsid w:val="00E2185A"/>
  </w:style>
  <w:style w:type="table" w:customStyle="1" w:styleId="LightShading11341">
    <w:name w:val="Light Shading1134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1">
    <w:name w:val="Light Grid1134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1">
    <w:name w:val="Medium Shading 1 - Accent 11134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1">
    <w:name w:val="Medium Grid 1 - Accent 1134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1">
    <w:name w:val="Light Shading - Accent 11134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1">
    <w:name w:val="RSP_Style1341"/>
    <w:basedOn w:val="TableNormal"/>
    <w:uiPriority w:val="99"/>
    <w:qFormat/>
    <w:rsid w:val="00E2185A"/>
    <w:pPr>
      <w:spacing w:after="0" w:line="240" w:lineRule="auto"/>
    </w:pPr>
    <w:rPr>
      <w:rFonts w:ascii="Cambria" w:hAnsi="Cambria"/>
      <w:color w:val="auto"/>
    </w:rPr>
    <w:tblPr/>
  </w:style>
  <w:style w:type="table" w:customStyle="1" w:styleId="20122tableformat1341">
    <w:name w:val="2012 2 table format134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1">
    <w:name w:val="Medium Grid 1 - Accent 6134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1">
    <w:name w:val="Light List - Accent 6134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1">
    <w:name w:val="Light Grid - Accent 11134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1">
    <w:name w:val="2012 Style134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1">
    <w:name w:val="Light Shading - Accent 12134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1">
    <w:name w:val="Medium Shading 1 - Accent 434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1">
    <w:name w:val="Table Grid54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2185A"/>
  </w:style>
  <w:style w:type="numbering" w:customStyle="1" w:styleId="CurrentList181">
    <w:name w:val="Current List181"/>
    <w:rsid w:val="00E2185A"/>
  </w:style>
  <w:style w:type="table" w:customStyle="1" w:styleId="TableGrid101">
    <w:name w:val="Table Grid10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1">
    <w:name w:val="Light Shading19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1">
    <w:name w:val="Light Grid19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1">
    <w:name w:val="Medium Shading 1 - Accent 119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1">
    <w:name w:val="Medium Grid 1 - Accent 19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1">
    <w:name w:val="Light Shading - Accent 119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1">
    <w:name w:val="RSP_Style91"/>
    <w:basedOn w:val="TableNormal"/>
    <w:uiPriority w:val="99"/>
    <w:qFormat/>
    <w:rsid w:val="00E2185A"/>
    <w:pPr>
      <w:spacing w:after="0" w:line="240" w:lineRule="auto"/>
    </w:pPr>
    <w:tblPr/>
  </w:style>
  <w:style w:type="table" w:customStyle="1" w:styleId="20122tableformat91">
    <w:name w:val="2012 2 table format9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1">
    <w:name w:val="Medium Grid 1 - Accent 69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1">
    <w:name w:val="Light List - Accent 69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1">
    <w:name w:val="Light Grid - Accent 119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1">
    <w:name w:val="2012 Style9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1">
    <w:name w:val="Light Shading - Accent 129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1">
    <w:name w:val="No List191"/>
    <w:next w:val="NoList"/>
    <w:uiPriority w:val="99"/>
    <w:semiHidden/>
    <w:unhideWhenUsed/>
    <w:rsid w:val="00E2185A"/>
  </w:style>
  <w:style w:type="numbering" w:customStyle="1" w:styleId="CurrentList1191">
    <w:name w:val="Current List1191"/>
    <w:rsid w:val="00E2185A"/>
  </w:style>
  <w:style w:type="table" w:customStyle="1" w:styleId="TableGrid181">
    <w:name w:val="Table Grid18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1">
    <w:name w:val="Bulleted List191"/>
    <w:rsid w:val="00E2185A"/>
  </w:style>
  <w:style w:type="table" w:customStyle="1" w:styleId="LightShading1181">
    <w:name w:val="Light Shading118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1">
    <w:name w:val="Light Grid118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1">
    <w:name w:val="Medium Shading 1 - Accent 1118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1">
    <w:name w:val="Medium Grid 1 - Accent 118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1">
    <w:name w:val="Light Shading - Accent 1118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1">
    <w:name w:val="RSP_Style181"/>
    <w:basedOn w:val="TableNormal"/>
    <w:uiPriority w:val="99"/>
    <w:qFormat/>
    <w:rsid w:val="00E2185A"/>
    <w:pPr>
      <w:spacing w:after="0" w:line="240" w:lineRule="auto"/>
    </w:pPr>
    <w:tblPr/>
  </w:style>
  <w:style w:type="table" w:customStyle="1" w:styleId="20122tableformat181">
    <w:name w:val="2012 2 table format18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1">
    <w:name w:val="Medium Grid 1 - Accent 618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1">
    <w:name w:val="Light List - Accent 618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1">
    <w:name w:val="Light Grid - Accent 1118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1">
    <w:name w:val="2012 Style18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1">
    <w:name w:val="Light Shading - Accent 1218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1">
    <w:name w:val="Medium Shading 1 - Accent 48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1">
    <w:name w:val="No List251"/>
    <w:next w:val="NoList"/>
    <w:uiPriority w:val="99"/>
    <w:semiHidden/>
    <w:unhideWhenUsed/>
    <w:rsid w:val="00E2185A"/>
  </w:style>
  <w:style w:type="numbering" w:customStyle="1" w:styleId="CurrentList1251">
    <w:name w:val="Current List1251"/>
    <w:rsid w:val="00E2185A"/>
  </w:style>
  <w:style w:type="numbering" w:customStyle="1" w:styleId="BulletedList251">
    <w:name w:val="Bulleted List251"/>
    <w:rsid w:val="00E2185A"/>
  </w:style>
  <w:style w:type="numbering" w:customStyle="1" w:styleId="NoList1151">
    <w:name w:val="No List1151"/>
    <w:next w:val="NoList"/>
    <w:uiPriority w:val="99"/>
    <w:semiHidden/>
    <w:unhideWhenUsed/>
    <w:rsid w:val="00E2185A"/>
  </w:style>
  <w:style w:type="numbering" w:customStyle="1" w:styleId="CurrentList11151">
    <w:name w:val="Current List11151"/>
    <w:rsid w:val="00E2185A"/>
  </w:style>
  <w:style w:type="numbering" w:customStyle="1" w:styleId="BulletedList1151">
    <w:name w:val="Bulleted List1151"/>
    <w:rsid w:val="00E2185A"/>
  </w:style>
  <w:style w:type="numbering" w:customStyle="1" w:styleId="NoList351">
    <w:name w:val="No List351"/>
    <w:next w:val="NoList"/>
    <w:uiPriority w:val="99"/>
    <w:semiHidden/>
    <w:unhideWhenUsed/>
    <w:rsid w:val="00E2185A"/>
  </w:style>
  <w:style w:type="table" w:customStyle="1" w:styleId="TableGrid251">
    <w:name w:val="Table Grid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1">
    <w:name w:val="Light Shading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1">
    <w:name w:val="Light Grid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1">
    <w:name w:val="Medium Shading 1 - Accent 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1">
    <w:name w:val="Medium Grid 1 - Accent 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1">
    <w:name w:val="Light Shading - Accent 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1">
    <w:name w:val="RSP_Style251"/>
    <w:basedOn w:val="TableNormal"/>
    <w:uiPriority w:val="99"/>
    <w:qFormat/>
    <w:rsid w:val="00E2185A"/>
    <w:pPr>
      <w:spacing w:after="0" w:line="240" w:lineRule="auto"/>
    </w:pPr>
    <w:tblPr/>
  </w:style>
  <w:style w:type="table" w:customStyle="1" w:styleId="20122tableformat251">
    <w:name w:val="2012 2 table format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1">
    <w:name w:val="Medium Grid 1 - Accent 6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1">
    <w:name w:val="Light List - Accent 6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1">
    <w:name w:val="Light Grid - Accent 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1">
    <w:name w:val="2012 Style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1">
    <w:name w:val="Light Shading - Accent 12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1">
    <w:name w:val="No List1251"/>
    <w:next w:val="NoList"/>
    <w:uiPriority w:val="99"/>
    <w:semiHidden/>
    <w:unhideWhenUsed/>
    <w:rsid w:val="00E2185A"/>
  </w:style>
  <w:style w:type="numbering" w:customStyle="1" w:styleId="CurrentList11251">
    <w:name w:val="Current List11251"/>
    <w:rsid w:val="00E2185A"/>
  </w:style>
  <w:style w:type="table" w:customStyle="1" w:styleId="TableGrid1151">
    <w:name w:val="Table Grid1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1">
    <w:name w:val="Bulleted List1251"/>
    <w:rsid w:val="00E2185A"/>
  </w:style>
  <w:style w:type="table" w:customStyle="1" w:styleId="LightShading11151">
    <w:name w:val="Light Shading111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1">
    <w:name w:val="Light Grid111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1">
    <w:name w:val="Medium Shading 1 - Accent 1111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1">
    <w:name w:val="Medium Grid 1 - Accent 111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1">
    <w:name w:val="Light Shading - Accent 1111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1">
    <w:name w:val="RSP_Style1151"/>
    <w:basedOn w:val="TableNormal"/>
    <w:uiPriority w:val="99"/>
    <w:qFormat/>
    <w:rsid w:val="00E2185A"/>
    <w:pPr>
      <w:spacing w:after="0" w:line="240" w:lineRule="auto"/>
    </w:pPr>
    <w:tblPr/>
  </w:style>
  <w:style w:type="table" w:customStyle="1" w:styleId="20122tableformat1151">
    <w:name w:val="2012 2 table format11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1">
    <w:name w:val="Medium Grid 1 - Accent 611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1">
    <w:name w:val="Light List - Accent 611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1">
    <w:name w:val="Light Grid - Accent 1111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1">
    <w:name w:val="2012 Style11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1">
    <w:name w:val="Light Shading - Accent 1211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1">
    <w:name w:val="Medium Shading 1 - Accent 41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1">
    <w:name w:val="No List451"/>
    <w:next w:val="NoList"/>
    <w:uiPriority w:val="99"/>
    <w:semiHidden/>
    <w:unhideWhenUsed/>
    <w:rsid w:val="00E2185A"/>
  </w:style>
  <w:style w:type="table" w:customStyle="1" w:styleId="TableGrid361">
    <w:name w:val="Table Grid3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1">
    <w:name w:val="Light Shading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1">
    <w:name w:val="Light Grid13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1">
    <w:name w:val="Medium Shading 1 - Accent 113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1">
    <w:name w:val="Medium Grid 1 - Accent 13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1">
    <w:name w:val="Light Shading - Accent 113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1">
    <w:name w:val="RSP_Style351"/>
    <w:basedOn w:val="TableNormal"/>
    <w:uiPriority w:val="99"/>
    <w:qFormat/>
    <w:rsid w:val="00E2185A"/>
    <w:pPr>
      <w:spacing w:after="0" w:line="240" w:lineRule="auto"/>
    </w:pPr>
    <w:tblPr/>
  </w:style>
  <w:style w:type="table" w:customStyle="1" w:styleId="20122tableformat351">
    <w:name w:val="2012 2 table format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1">
    <w:name w:val="Medium Grid 1 - Accent 63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1">
    <w:name w:val="Light List - Accent 63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1">
    <w:name w:val="Light Grid - Accent 113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1">
    <w:name w:val="2012 Style3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1">
    <w:name w:val="Light Shading - Accent 12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1">
    <w:name w:val="No List1351"/>
    <w:next w:val="NoList"/>
    <w:uiPriority w:val="99"/>
    <w:semiHidden/>
    <w:unhideWhenUsed/>
    <w:rsid w:val="00E2185A"/>
  </w:style>
  <w:style w:type="numbering" w:customStyle="1" w:styleId="CurrentList11351">
    <w:name w:val="Current List11351"/>
    <w:rsid w:val="00E2185A"/>
  </w:style>
  <w:style w:type="table" w:customStyle="1" w:styleId="TableGrid1251">
    <w:name w:val="Table Grid12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1">
    <w:name w:val="Bulleted List1351"/>
    <w:rsid w:val="00E2185A"/>
  </w:style>
  <w:style w:type="table" w:customStyle="1" w:styleId="LightShading11251">
    <w:name w:val="Light Shading112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1">
    <w:name w:val="Light Grid11251"/>
    <w:basedOn w:val="TableNormal"/>
    <w:uiPriority w:val="62"/>
    <w:rsid w:val="00E2185A"/>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1">
    <w:name w:val="Medium Shading 1 - Accent 111251"/>
    <w:basedOn w:val="TableNormal"/>
    <w:uiPriority w:val="63"/>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1">
    <w:name w:val="Medium Grid 1 - Accent 11251"/>
    <w:basedOn w:val="TableNormal"/>
    <w:next w:val="MediumGrid1-Accent1"/>
    <w:uiPriority w:val="67"/>
    <w:rsid w:val="00E2185A"/>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1">
    <w:name w:val="Light Shading - Accent 111251"/>
    <w:basedOn w:val="TableNormal"/>
    <w:uiPriority w:val="60"/>
    <w:rsid w:val="00E2185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1">
    <w:name w:val="RSP_Style1251"/>
    <w:basedOn w:val="TableNormal"/>
    <w:uiPriority w:val="99"/>
    <w:qFormat/>
    <w:rsid w:val="00E2185A"/>
    <w:pPr>
      <w:spacing w:after="0" w:line="240" w:lineRule="auto"/>
    </w:pPr>
    <w:tblPr/>
  </w:style>
  <w:style w:type="table" w:customStyle="1" w:styleId="20122tableformat1251">
    <w:name w:val="2012 2 table format12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1">
    <w:name w:val="Medium Grid 1 - Accent 61251"/>
    <w:basedOn w:val="TableNormal"/>
    <w:next w:val="MediumGrid1-Accent6"/>
    <w:uiPriority w:val="67"/>
    <w:rsid w:val="00E2185A"/>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1">
    <w:name w:val="Light List - Accent 61251"/>
    <w:basedOn w:val="TableNormal"/>
    <w:next w:val="LightList-Accent6"/>
    <w:uiPriority w:val="61"/>
    <w:rsid w:val="00E2185A"/>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1">
    <w:name w:val="Light Grid - Accent 111251"/>
    <w:basedOn w:val="TableNormal"/>
    <w:uiPriority w:val="62"/>
    <w:rsid w:val="00E2185A"/>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1">
    <w:name w:val="2012 Style1251"/>
    <w:basedOn w:val="TableNormal"/>
    <w:uiPriority w:val="99"/>
    <w:qFormat/>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1">
    <w:name w:val="Light Shading - Accent 1212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1">
    <w:name w:val="Medium Shading 1 - Accent 4251"/>
    <w:basedOn w:val="TableNormal"/>
    <w:next w:val="MediumShading1-Accent4"/>
    <w:uiPriority w:val="63"/>
    <w:rsid w:val="00E2185A"/>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1">
    <w:name w:val="Current List1351"/>
    <w:rsid w:val="00E2185A"/>
  </w:style>
  <w:style w:type="table" w:customStyle="1" w:styleId="TableGrid3151">
    <w:name w:val="Table Grid31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E2185A"/>
  </w:style>
  <w:style w:type="numbering" w:customStyle="1" w:styleId="CurrentList1451">
    <w:name w:val="Current List1451"/>
    <w:rsid w:val="00E2185A"/>
  </w:style>
  <w:style w:type="table" w:customStyle="1" w:styleId="TableGrid451">
    <w:name w:val="Table Grid4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1">
    <w:name w:val="Bulleted List351"/>
    <w:rsid w:val="00E2185A"/>
  </w:style>
  <w:style w:type="table" w:customStyle="1" w:styleId="LightShading1451">
    <w:name w:val="Light Shading14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1">
    <w:name w:val="Light Grid14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1">
    <w:name w:val="Medium Shading 1 - Accent 114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1">
    <w:name w:val="Medium Grid 1 - Accent 14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1">
    <w:name w:val="Light Shading - Accent 114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1">
    <w:name w:val="RSP_Style451"/>
    <w:basedOn w:val="TableNormal"/>
    <w:uiPriority w:val="99"/>
    <w:qFormat/>
    <w:rsid w:val="00E2185A"/>
    <w:pPr>
      <w:spacing w:after="0" w:line="240" w:lineRule="auto"/>
    </w:pPr>
    <w:rPr>
      <w:rFonts w:ascii="Cambria" w:hAnsi="Cambria"/>
      <w:color w:val="auto"/>
    </w:rPr>
    <w:tblPr/>
  </w:style>
  <w:style w:type="table" w:customStyle="1" w:styleId="20122tableformat451">
    <w:name w:val="2012 2 table format4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1">
    <w:name w:val="Medium Grid 1 - Accent 64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1">
    <w:name w:val="Light List - Accent 64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1">
    <w:name w:val="Light Grid - Accent 114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1">
    <w:name w:val="2012 Style4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1">
    <w:name w:val="Light Shading - Accent 124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1">
    <w:name w:val="No List1451"/>
    <w:next w:val="NoList"/>
    <w:uiPriority w:val="99"/>
    <w:semiHidden/>
    <w:unhideWhenUsed/>
    <w:rsid w:val="00E2185A"/>
  </w:style>
  <w:style w:type="numbering" w:customStyle="1" w:styleId="CurrentList11451">
    <w:name w:val="Current List11451"/>
    <w:rsid w:val="00E2185A"/>
  </w:style>
  <w:style w:type="table" w:customStyle="1" w:styleId="TableGrid1351">
    <w:name w:val="Table Grid1351"/>
    <w:basedOn w:val="TableNormal"/>
    <w:next w:val="TableGrid"/>
    <w:uiPriority w:val="59"/>
    <w:rsid w:val="00E2185A"/>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1">
    <w:name w:val="Bulleted List1451"/>
    <w:rsid w:val="00E2185A"/>
  </w:style>
  <w:style w:type="table" w:customStyle="1" w:styleId="LightShading11351">
    <w:name w:val="Light Shading11351"/>
    <w:basedOn w:val="TableNormal"/>
    <w:uiPriority w:val="60"/>
    <w:rsid w:val="00E2185A"/>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1">
    <w:name w:val="Light Grid11351"/>
    <w:basedOn w:val="TableNormal"/>
    <w:uiPriority w:val="62"/>
    <w:rsid w:val="00E2185A"/>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1">
    <w:name w:val="Medium Shading 1 - Accent 111351"/>
    <w:basedOn w:val="TableNormal"/>
    <w:uiPriority w:val="63"/>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1">
    <w:name w:val="Medium Grid 1 - Accent 11351"/>
    <w:basedOn w:val="TableNormal"/>
    <w:next w:val="MediumGrid1-Accent1"/>
    <w:uiPriority w:val="67"/>
    <w:rsid w:val="00E2185A"/>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1">
    <w:name w:val="Light Shading - Accent 111351"/>
    <w:basedOn w:val="TableNormal"/>
    <w:uiPriority w:val="60"/>
    <w:rsid w:val="00E2185A"/>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1">
    <w:name w:val="RSP_Style1351"/>
    <w:basedOn w:val="TableNormal"/>
    <w:uiPriority w:val="99"/>
    <w:qFormat/>
    <w:rsid w:val="00E2185A"/>
    <w:pPr>
      <w:spacing w:after="0" w:line="240" w:lineRule="auto"/>
    </w:pPr>
    <w:rPr>
      <w:rFonts w:ascii="Cambria" w:hAnsi="Cambria"/>
      <w:color w:val="auto"/>
    </w:rPr>
    <w:tblPr/>
  </w:style>
  <w:style w:type="table" w:customStyle="1" w:styleId="20122tableformat1351">
    <w:name w:val="2012 2 table format1351"/>
    <w:basedOn w:val="TableNormal"/>
    <w:uiPriority w:val="63"/>
    <w:rsid w:val="00E2185A"/>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1">
    <w:name w:val="Medium Grid 1 - Accent 61351"/>
    <w:basedOn w:val="TableNormal"/>
    <w:next w:val="MediumGrid1-Accent6"/>
    <w:uiPriority w:val="67"/>
    <w:rsid w:val="00E2185A"/>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1">
    <w:name w:val="Light List - Accent 61351"/>
    <w:basedOn w:val="TableNormal"/>
    <w:next w:val="LightList-Accent6"/>
    <w:uiPriority w:val="61"/>
    <w:rsid w:val="00E2185A"/>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1">
    <w:name w:val="Light Grid - Accent 111351"/>
    <w:basedOn w:val="TableNormal"/>
    <w:uiPriority w:val="62"/>
    <w:rsid w:val="00E2185A"/>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1">
    <w:name w:val="2012 Style1351"/>
    <w:basedOn w:val="TableNormal"/>
    <w:uiPriority w:val="99"/>
    <w:qFormat/>
    <w:rsid w:val="00E2185A"/>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1">
    <w:name w:val="Light Shading - Accent 121351"/>
    <w:basedOn w:val="TableNormal"/>
    <w:uiPriority w:val="60"/>
    <w:rsid w:val="00E2185A"/>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1">
    <w:name w:val="Medium Shading 1 - Accent 4351"/>
    <w:basedOn w:val="TableNormal"/>
    <w:next w:val="MediumShading1-Accent4"/>
    <w:uiPriority w:val="63"/>
    <w:rsid w:val="00E2185A"/>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1">
    <w:name w:val="Table Grid55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E2185A"/>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2185A"/>
    <w:rPr>
      <w:rFonts w:cs="NeueHaasGroteskText Std"/>
      <w:color w:val="000000"/>
      <w:sz w:val="11"/>
      <w:szCs w:val="11"/>
    </w:rPr>
  </w:style>
  <w:style w:type="paragraph" w:customStyle="1" w:styleId="Pa18">
    <w:name w:val="Pa18"/>
    <w:basedOn w:val="Normal"/>
    <w:next w:val="Normal"/>
    <w:uiPriority w:val="99"/>
    <w:rsid w:val="00E2185A"/>
    <w:pPr>
      <w:autoSpaceDE w:val="0"/>
      <w:autoSpaceDN w:val="0"/>
      <w:adjustRightInd w:val="0"/>
      <w:spacing w:after="0" w:line="191" w:lineRule="atLeast"/>
    </w:pPr>
    <w:rPr>
      <w:rFonts w:ascii="Produkt Semibold" w:hAnsi="Produkt Semibold" w:cstheme="minorBidi"/>
      <w:sz w:val="24"/>
      <w:szCs w:val="24"/>
    </w:rPr>
  </w:style>
  <w:style w:type="character" w:customStyle="1" w:styleId="A8">
    <w:name w:val="A8"/>
    <w:uiPriority w:val="99"/>
    <w:rsid w:val="00E2185A"/>
    <w:rPr>
      <w:rFonts w:cs="Duplicate Ionic"/>
      <w:b/>
      <w:bCs/>
      <w:color w:val="000000"/>
      <w:sz w:val="28"/>
      <w:szCs w:val="28"/>
    </w:rPr>
  </w:style>
  <w:style w:type="numbering" w:customStyle="1" w:styleId="NoList27">
    <w:name w:val="No List27"/>
    <w:next w:val="NoList"/>
    <w:uiPriority w:val="99"/>
    <w:semiHidden/>
    <w:unhideWhenUsed/>
    <w:rsid w:val="00D97E2B"/>
  </w:style>
  <w:style w:type="numbering" w:customStyle="1" w:styleId="CurrentList110">
    <w:name w:val="Current List110"/>
    <w:rsid w:val="00D97E2B"/>
  </w:style>
  <w:style w:type="table" w:customStyle="1" w:styleId="TableGrid20">
    <w:name w:val="Table Grid20"/>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0">
    <w:name w:val="Light Shading12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0">
    <w:name w:val="Light Grid12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0">
    <w:name w:val="Medium Shading 1 - Accent 112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0">
    <w:name w:val="Medium Grid 1 - Accent 12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0">
    <w:name w:val="Light Shading - Accent 112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0">
    <w:name w:val="RSP_Style20"/>
    <w:basedOn w:val="TableNormal"/>
    <w:uiPriority w:val="99"/>
    <w:qFormat/>
    <w:rsid w:val="00D97E2B"/>
    <w:pPr>
      <w:spacing w:after="0" w:line="240" w:lineRule="auto"/>
    </w:pPr>
    <w:tblPr/>
  </w:style>
  <w:style w:type="table" w:customStyle="1" w:styleId="20122tableformat20">
    <w:name w:val="2012 2 table format2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0">
    <w:name w:val="Medium Grid 1 - Accent 62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0">
    <w:name w:val="Light List - Accent 62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0">
    <w:name w:val="Light Grid - Accent 112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0">
    <w:name w:val="2012 Style2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0">
    <w:name w:val="Light Shading - Accent 122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7">
    <w:name w:val="No List117"/>
    <w:next w:val="NoList"/>
    <w:uiPriority w:val="99"/>
    <w:semiHidden/>
    <w:unhideWhenUsed/>
    <w:rsid w:val="00D97E2B"/>
  </w:style>
  <w:style w:type="numbering" w:customStyle="1" w:styleId="CurrentList1117">
    <w:name w:val="Current List1117"/>
    <w:rsid w:val="00D97E2B"/>
  </w:style>
  <w:style w:type="table" w:customStyle="1" w:styleId="TableGrid117">
    <w:name w:val="Table Grid1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7">
    <w:name w:val="Bulleted List117"/>
    <w:rsid w:val="00D97E2B"/>
  </w:style>
  <w:style w:type="table" w:customStyle="1" w:styleId="LightShading1110">
    <w:name w:val="Light Shading1110"/>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0">
    <w:name w:val="Light Grid1110"/>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0">
    <w:name w:val="Medium Shading 1 - Accent 11110"/>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0">
    <w:name w:val="Medium Grid 1 - Accent 1110"/>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0">
    <w:name w:val="Light Shading - Accent 11110"/>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0">
    <w:name w:val="RSP_Style110"/>
    <w:basedOn w:val="TableNormal"/>
    <w:uiPriority w:val="99"/>
    <w:qFormat/>
    <w:rsid w:val="00D97E2B"/>
    <w:pPr>
      <w:spacing w:after="0" w:line="240" w:lineRule="auto"/>
    </w:pPr>
    <w:tblPr/>
  </w:style>
  <w:style w:type="table" w:customStyle="1" w:styleId="20122tableformat110">
    <w:name w:val="2012 2 table format110"/>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0">
    <w:name w:val="Medium Grid 1 - Accent 6110"/>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0">
    <w:name w:val="Light List - Accent 6110"/>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0">
    <w:name w:val="Light Grid - Accent 11110"/>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0">
    <w:name w:val="2012 Style110"/>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0">
    <w:name w:val="Light Shading - Accent 12110"/>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0">
    <w:name w:val="Medium Shading 1 - Accent 410"/>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8">
    <w:name w:val="No List28"/>
    <w:next w:val="NoList"/>
    <w:uiPriority w:val="99"/>
    <w:semiHidden/>
    <w:unhideWhenUsed/>
    <w:rsid w:val="00D97E2B"/>
  </w:style>
  <w:style w:type="numbering" w:customStyle="1" w:styleId="CurrentList127">
    <w:name w:val="Current List127"/>
    <w:rsid w:val="00D97E2B"/>
  </w:style>
  <w:style w:type="numbering" w:customStyle="1" w:styleId="BulletedList27">
    <w:name w:val="Bulleted List27"/>
    <w:rsid w:val="00D97E2B"/>
  </w:style>
  <w:style w:type="numbering" w:customStyle="1" w:styleId="NoList118">
    <w:name w:val="No List118"/>
    <w:next w:val="NoList"/>
    <w:uiPriority w:val="99"/>
    <w:semiHidden/>
    <w:unhideWhenUsed/>
    <w:rsid w:val="00D97E2B"/>
  </w:style>
  <w:style w:type="numbering" w:customStyle="1" w:styleId="CurrentList1118">
    <w:name w:val="Current List1118"/>
    <w:rsid w:val="00D97E2B"/>
  </w:style>
  <w:style w:type="numbering" w:customStyle="1" w:styleId="BulletedList118">
    <w:name w:val="Bulleted List118"/>
    <w:rsid w:val="00D97E2B"/>
  </w:style>
  <w:style w:type="numbering" w:customStyle="1" w:styleId="NoList37">
    <w:name w:val="No List37"/>
    <w:next w:val="NoList"/>
    <w:uiPriority w:val="99"/>
    <w:semiHidden/>
    <w:unhideWhenUsed/>
    <w:rsid w:val="00D97E2B"/>
  </w:style>
  <w:style w:type="table" w:customStyle="1" w:styleId="TableGrid27">
    <w:name w:val="Table Grid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7">
    <w:name w:val="Light Shading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7">
    <w:name w:val="Light Grid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7">
    <w:name w:val="Medium Shading 1 - Accent 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7">
    <w:name w:val="Medium Grid 1 - Accent 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7">
    <w:name w:val="Light Shading - Accent 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7">
    <w:name w:val="RSP_Style27"/>
    <w:basedOn w:val="TableNormal"/>
    <w:uiPriority w:val="99"/>
    <w:qFormat/>
    <w:rsid w:val="00D97E2B"/>
    <w:pPr>
      <w:spacing w:after="0" w:line="240" w:lineRule="auto"/>
    </w:pPr>
    <w:tblPr/>
  </w:style>
  <w:style w:type="table" w:customStyle="1" w:styleId="20122tableformat27">
    <w:name w:val="2012 2 table format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7">
    <w:name w:val="Medium Grid 1 - Accent 6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7">
    <w:name w:val="Light List - Accent 6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7">
    <w:name w:val="Light Grid - Accent 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7">
    <w:name w:val="2012 Style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7">
    <w:name w:val="Light Shading - Accent 12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7">
    <w:name w:val="No List127"/>
    <w:next w:val="NoList"/>
    <w:uiPriority w:val="99"/>
    <w:semiHidden/>
    <w:unhideWhenUsed/>
    <w:rsid w:val="00D97E2B"/>
  </w:style>
  <w:style w:type="numbering" w:customStyle="1" w:styleId="CurrentList1127">
    <w:name w:val="Current List1127"/>
    <w:rsid w:val="00D97E2B"/>
  </w:style>
  <w:style w:type="table" w:customStyle="1" w:styleId="TableGrid118">
    <w:name w:val="Table Grid11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7">
    <w:name w:val="Bulleted List127"/>
    <w:rsid w:val="00D97E2B"/>
  </w:style>
  <w:style w:type="table" w:customStyle="1" w:styleId="LightShading1117">
    <w:name w:val="Light Shading111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7">
    <w:name w:val="Light Grid111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7">
    <w:name w:val="Medium Shading 1 - Accent 1111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7">
    <w:name w:val="Medium Grid 1 - Accent 111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7">
    <w:name w:val="Light Shading - Accent 1111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7">
    <w:name w:val="RSP_Style117"/>
    <w:basedOn w:val="TableNormal"/>
    <w:uiPriority w:val="99"/>
    <w:qFormat/>
    <w:rsid w:val="00D97E2B"/>
    <w:pPr>
      <w:spacing w:after="0" w:line="240" w:lineRule="auto"/>
    </w:pPr>
    <w:tblPr/>
  </w:style>
  <w:style w:type="table" w:customStyle="1" w:styleId="20122tableformat117">
    <w:name w:val="2012 2 table format11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7">
    <w:name w:val="Medium Grid 1 - Accent 611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7">
    <w:name w:val="Light List - Accent 611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7">
    <w:name w:val="Light Grid - Accent 1111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7">
    <w:name w:val="2012 Style11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7">
    <w:name w:val="Light Shading - Accent 1211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7">
    <w:name w:val="Medium Shading 1 - Accent 41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7">
    <w:name w:val="No List47"/>
    <w:next w:val="NoList"/>
    <w:uiPriority w:val="99"/>
    <w:semiHidden/>
    <w:unhideWhenUsed/>
    <w:rsid w:val="00D97E2B"/>
  </w:style>
  <w:style w:type="table" w:customStyle="1" w:styleId="TableGrid38">
    <w:name w:val="Table Grid3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7">
    <w:name w:val="Light Shading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7">
    <w:name w:val="Light Grid13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7">
    <w:name w:val="Medium Shading 1 - Accent 113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7">
    <w:name w:val="Medium Grid 1 - Accent 13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7">
    <w:name w:val="Light Shading - Accent 113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7">
    <w:name w:val="RSP_Style37"/>
    <w:basedOn w:val="TableNormal"/>
    <w:uiPriority w:val="99"/>
    <w:qFormat/>
    <w:rsid w:val="00D97E2B"/>
    <w:pPr>
      <w:spacing w:after="0" w:line="240" w:lineRule="auto"/>
    </w:pPr>
    <w:tblPr/>
  </w:style>
  <w:style w:type="table" w:customStyle="1" w:styleId="20122tableformat37">
    <w:name w:val="2012 2 table format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7">
    <w:name w:val="Medium Grid 1 - Accent 63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7">
    <w:name w:val="Light List - Accent 63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7">
    <w:name w:val="Light Grid - Accent 113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7">
    <w:name w:val="2012 Style3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7">
    <w:name w:val="Light Shading - Accent 12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7">
    <w:name w:val="No List137"/>
    <w:next w:val="NoList"/>
    <w:uiPriority w:val="99"/>
    <w:semiHidden/>
    <w:unhideWhenUsed/>
    <w:rsid w:val="00D97E2B"/>
  </w:style>
  <w:style w:type="numbering" w:customStyle="1" w:styleId="CurrentList1137">
    <w:name w:val="Current List1137"/>
    <w:rsid w:val="00D97E2B"/>
  </w:style>
  <w:style w:type="table" w:customStyle="1" w:styleId="TableGrid127">
    <w:name w:val="Table Grid12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7">
    <w:name w:val="Bulleted List137"/>
    <w:rsid w:val="00D97E2B"/>
  </w:style>
  <w:style w:type="table" w:customStyle="1" w:styleId="LightShading1127">
    <w:name w:val="Light Shading112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7">
    <w:name w:val="Light Grid1127"/>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7">
    <w:name w:val="Medium Shading 1 - Accent 11127"/>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7">
    <w:name w:val="Medium Grid 1 - Accent 1127"/>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7">
    <w:name w:val="Light Shading - Accent 11127"/>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7">
    <w:name w:val="RSP_Style127"/>
    <w:basedOn w:val="TableNormal"/>
    <w:uiPriority w:val="99"/>
    <w:qFormat/>
    <w:rsid w:val="00D97E2B"/>
    <w:pPr>
      <w:spacing w:after="0" w:line="240" w:lineRule="auto"/>
    </w:pPr>
    <w:tblPr/>
  </w:style>
  <w:style w:type="table" w:customStyle="1" w:styleId="20122tableformat127">
    <w:name w:val="2012 2 table format12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7">
    <w:name w:val="Medium Grid 1 - Accent 6127"/>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7">
    <w:name w:val="Light List - Accent 6127"/>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7">
    <w:name w:val="Light Grid - Accent 11127"/>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7">
    <w:name w:val="2012 Style127"/>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7">
    <w:name w:val="Light Shading - Accent 1212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7">
    <w:name w:val="Medium Shading 1 - Accent 427"/>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7">
    <w:name w:val="Current List137"/>
    <w:rsid w:val="00D97E2B"/>
  </w:style>
  <w:style w:type="table" w:customStyle="1" w:styleId="TableGrid317">
    <w:name w:val="Table Grid317"/>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D97E2B"/>
  </w:style>
  <w:style w:type="numbering" w:customStyle="1" w:styleId="CurrentList147">
    <w:name w:val="Current List147"/>
    <w:rsid w:val="00D97E2B"/>
  </w:style>
  <w:style w:type="table" w:customStyle="1" w:styleId="TableGrid47">
    <w:name w:val="Table Grid4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7">
    <w:name w:val="Bulleted List37"/>
    <w:rsid w:val="00D97E2B"/>
  </w:style>
  <w:style w:type="table" w:customStyle="1" w:styleId="LightShading147">
    <w:name w:val="Light Shading14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7">
    <w:name w:val="Light Grid14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7">
    <w:name w:val="Medium Shading 1 - Accent 114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7">
    <w:name w:val="Medium Grid 1 - Accent 14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7">
    <w:name w:val="Light Shading - Accent 114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7">
    <w:name w:val="RSP_Style47"/>
    <w:basedOn w:val="TableNormal"/>
    <w:uiPriority w:val="99"/>
    <w:qFormat/>
    <w:rsid w:val="00D97E2B"/>
    <w:pPr>
      <w:spacing w:after="0" w:line="240" w:lineRule="auto"/>
    </w:pPr>
    <w:rPr>
      <w:rFonts w:ascii="Cambria" w:hAnsi="Cambria"/>
      <w:color w:val="auto"/>
    </w:rPr>
    <w:tblPr/>
  </w:style>
  <w:style w:type="table" w:customStyle="1" w:styleId="20122tableformat47">
    <w:name w:val="2012 2 table format4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7">
    <w:name w:val="Medium Grid 1 - Accent 64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7">
    <w:name w:val="Light List - Accent 64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7">
    <w:name w:val="Light Grid - Accent 114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7">
    <w:name w:val="2012 Style4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7">
    <w:name w:val="Light Shading - Accent 124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7">
    <w:name w:val="No List147"/>
    <w:next w:val="NoList"/>
    <w:uiPriority w:val="99"/>
    <w:semiHidden/>
    <w:unhideWhenUsed/>
    <w:rsid w:val="00D97E2B"/>
  </w:style>
  <w:style w:type="numbering" w:customStyle="1" w:styleId="CurrentList1147">
    <w:name w:val="Current List1147"/>
    <w:rsid w:val="00D97E2B"/>
  </w:style>
  <w:style w:type="table" w:customStyle="1" w:styleId="TableGrid137">
    <w:name w:val="Table Grid137"/>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7">
    <w:name w:val="Bulleted List147"/>
    <w:rsid w:val="00D97E2B"/>
  </w:style>
  <w:style w:type="table" w:customStyle="1" w:styleId="LightShading1137">
    <w:name w:val="Light Shading1137"/>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7">
    <w:name w:val="Light Grid1137"/>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7">
    <w:name w:val="Medium Shading 1 - Accent 11137"/>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7">
    <w:name w:val="Medium Grid 1 - Accent 1137"/>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7">
    <w:name w:val="Light Shading - Accent 11137"/>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7">
    <w:name w:val="RSP_Style137"/>
    <w:basedOn w:val="TableNormal"/>
    <w:uiPriority w:val="99"/>
    <w:qFormat/>
    <w:rsid w:val="00D97E2B"/>
    <w:pPr>
      <w:spacing w:after="0" w:line="240" w:lineRule="auto"/>
    </w:pPr>
    <w:rPr>
      <w:rFonts w:ascii="Cambria" w:hAnsi="Cambria"/>
      <w:color w:val="auto"/>
    </w:rPr>
    <w:tblPr/>
  </w:style>
  <w:style w:type="table" w:customStyle="1" w:styleId="20122tableformat137">
    <w:name w:val="2012 2 table format137"/>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7">
    <w:name w:val="Medium Grid 1 - Accent 6137"/>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7">
    <w:name w:val="Light List - Accent 6137"/>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7">
    <w:name w:val="Light Grid - Accent 11137"/>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7">
    <w:name w:val="2012 Style137"/>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7">
    <w:name w:val="Light Shading - Accent 12137"/>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7">
    <w:name w:val="Medium Shading 1 - Accent 437"/>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8">
    <w:name w:val="Table Grid58"/>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2">
    <w:name w:val="ISO Report Style12"/>
    <w:uiPriority w:val="99"/>
    <w:rsid w:val="00D97E2B"/>
  </w:style>
  <w:style w:type="numbering" w:customStyle="1" w:styleId="NoList62">
    <w:name w:val="No List62"/>
    <w:next w:val="NoList"/>
    <w:uiPriority w:val="99"/>
    <w:semiHidden/>
    <w:unhideWhenUsed/>
    <w:rsid w:val="00D97E2B"/>
  </w:style>
  <w:style w:type="table" w:customStyle="1" w:styleId="TableGrid62">
    <w:name w:val="Table Grid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2">
    <w:name w:val="Light Shading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2">
    <w:name w:val="Light Grid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2">
    <w:name w:val="Medium Shading 1 - Accent 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2">
    <w:name w:val="Medium Grid 1 - Accent 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2">
    <w:name w:val="Light Shading - Accent 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2">
    <w:name w:val="RSP_Style52"/>
    <w:basedOn w:val="TableNormal"/>
    <w:uiPriority w:val="99"/>
    <w:qFormat/>
    <w:rsid w:val="00D97E2B"/>
    <w:pPr>
      <w:spacing w:after="0" w:line="240" w:lineRule="auto"/>
    </w:pPr>
    <w:tblPr/>
  </w:style>
  <w:style w:type="table" w:customStyle="1" w:styleId="20122tableformat52">
    <w:name w:val="2012 2 table format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2">
    <w:name w:val="Medium Grid 1 - Accent 6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2">
    <w:name w:val="Light List - Accent 6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2">
    <w:name w:val="Light Grid - Accent 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2">
    <w:name w:val="2012 Style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2">
    <w:name w:val="Light Shading - Accent 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2">
    <w:name w:val="No List152"/>
    <w:next w:val="NoList"/>
    <w:uiPriority w:val="99"/>
    <w:semiHidden/>
    <w:unhideWhenUsed/>
    <w:rsid w:val="00D97E2B"/>
  </w:style>
  <w:style w:type="numbering" w:customStyle="1" w:styleId="CurrentList1152">
    <w:name w:val="Current List1152"/>
    <w:rsid w:val="00D97E2B"/>
  </w:style>
  <w:style w:type="table" w:customStyle="1" w:styleId="TableGrid142">
    <w:name w:val="Table Grid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2">
    <w:name w:val="Bulleted List152"/>
    <w:rsid w:val="00D97E2B"/>
  </w:style>
  <w:style w:type="table" w:customStyle="1" w:styleId="LightShading1142">
    <w:name w:val="Light Shading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2">
    <w:name w:val="Light Grid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2">
    <w:name w:val="Medium Shading 1 - Accent 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2">
    <w:name w:val="Medium Grid 1 - Accent 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2">
    <w:name w:val="Light Shading - Accent 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2">
    <w:name w:val="RSP_Style142"/>
    <w:basedOn w:val="TableNormal"/>
    <w:uiPriority w:val="99"/>
    <w:qFormat/>
    <w:rsid w:val="00D97E2B"/>
    <w:pPr>
      <w:spacing w:after="0" w:line="240" w:lineRule="auto"/>
    </w:pPr>
    <w:tblPr/>
  </w:style>
  <w:style w:type="table" w:customStyle="1" w:styleId="20122tableformat142">
    <w:name w:val="2012 2 table format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2">
    <w:name w:val="Medium Grid 1 - Accent 6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2">
    <w:name w:val="Light List - Accent 6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2">
    <w:name w:val="Light Grid - Accent 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2">
    <w:name w:val="2012 Style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2">
    <w:name w:val="Light Shading - Accent 12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2">
    <w:name w:val="Medium Shading 1 - Accent 4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2">
    <w:name w:val="No List212"/>
    <w:next w:val="NoList"/>
    <w:uiPriority w:val="99"/>
    <w:semiHidden/>
    <w:unhideWhenUsed/>
    <w:rsid w:val="00D97E2B"/>
  </w:style>
  <w:style w:type="numbering" w:customStyle="1" w:styleId="CurrentList1212">
    <w:name w:val="Current List1212"/>
    <w:rsid w:val="00D97E2B"/>
  </w:style>
  <w:style w:type="numbering" w:customStyle="1" w:styleId="BulletedList212">
    <w:name w:val="Bulleted List212"/>
    <w:rsid w:val="00D97E2B"/>
  </w:style>
  <w:style w:type="numbering" w:customStyle="1" w:styleId="NoList1112">
    <w:name w:val="No List1112"/>
    <w:next w:val="NoList"/>
    <w:uiPriority w:val="99"/>
    <w:semiHidden/>
    <w:unhideWhenUsed/>
    <w:rsid w:val="00D97E2B"/>
  </w:style>
  <w:style w:type="numbering" w:customStyle="1" w:styleId="CurrentList11112">
    <w:name w:val="Current List11112"/>
    <w:rsid w:val="00D97E2B"/>
  </w:style>
  <w:style w:type="numbering" w:customStyle="1" w:styleId="BulletedList1112">
    <w:name w:val="Bulleted List1112"/>
    <w:rsid w:val="00D97E2B"/>
  </w:style>
  <w:style w:type="numbering" w:customStyle="1" w:styleId="NoList312">
    <w:name w:val="No List312"/>
    <w:next w:val="NoList"/>
    <w:uiPriority w:val="99"/>
    <w:semiHidden/>
    <w:unhideWhenUsed/>
    <w:rsid w:val="00D97E2B"/>
  </w:style>
  <w:style w:type="table" w:customStyle="1" w:styleId="TableGrid212">
    <w:name w:val="Table Grid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2">
    <w:name w:val="Light Shading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2">
    <w:name w:val="Light Grid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2">
    <w:name w:val="Medium Shading 1 - Accent 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2">
    <w:name w:val="Medium Grid 1 - Accent 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2">
    <w:name w:val="Light Shading - Accent 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2">
    <w:name w:val="RSP_Style212"/>
    <w:basedOn w:val="TableNormal"/>
    <w:uiPriority w:val="99"/>
    <w:qFormat/>
    <w:rsid w:val="00D97E2B"/>
    <w:pPr>
      <w:spacing w:after="0" w:line="240" w:lineRule="auto"/>
    </w:pPr>
    <w:tblPr/>
  </w:style>
  <w:style w:type="table" w:customStyle="1" w:styleId="20122tableformat212">
    <w:name w:val="2012 2 table format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2">
    <w:name w:val="Medium Grid 1 - Accent 6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2">
    <w:name w:val="Light List - Accent 6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2">
    <w:name w:val="Light Grid - Accent 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2">
    <w:name w:val="2012 Style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2">
    <w:name w:val="Light Shading - Accent 12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2">
    <w:name w:val="No List1212"/>
    <w:next w:val="NoList"/>
    <w:uiPriority w:val="99"/>
    <w:semiHidden/>
    <w:unhideWhenUsed/>
    <w:rsid w:val="00D97E2B"/>
  </w:style>
  <w:style w:type="numbering" w:customStyle="1" w:styleId="CurrentList11212">
    <w:name w:val="Current List11212"/>
    <w:rsid w:val="00D97E2B"/>
  </w:style>
  <w:style w:type="table" w:customStyle="1" w:styleId="TableGrid1112">
    <w:name w:val="Table Grid1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2">
    <w:name w:val="Bulleted List1212"/>
    <w:rsid w:val="00D97E2B"/>
  </w:style>
  <w:style w:type="table" w:customStyle="1" w:styleId="LightShading11112">
    <w:name w:val="Light Shading111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2">
    <w:name w:val="Light Grid111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2">
    <w:name w:val="Medium Shading 1 - Accent 1111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2">
    <w:name w:val="Medium Grid 1 - Accent 111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2">
    <w:name w:val="Light Shading - Accent 1111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2">
    <w:name w:val="RSP_Style1112"/>
    <w:basedOn w:val="TableNormal"/>
    <w:uiPriority w:val="99"/>
    <w:qFormat/>
    <w:rsid w:val="00D97E2B"/>
    <w:pPr>
      <w:spacing w:after="0" w:line="240" w:lineRule="auto"/>
    </w:pPr>
    <w:tblPr/>
  </w:style>
  <w:style w:type="table" w:customStyle="1" w:styleId="20122tableformat1112">
    <w:name w:val="2012 2 table format11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2">
    <w:name w:val="Medium Grid 1 - Accent 611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2">
    <w:name w:val="Light List - Accent 611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2">
    <w:name w:val="Light Grid - Accent 1111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2">
    <w:name w:val="2012 Style11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2">
    <w:name w:val="Light Shading - Accent 1211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2">
    <w:name w:val="Medium Shading 1 - Accent 41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2">
    <w:name w:val="No List412"/>
    <w:next w:val="NoList"/>
    <w:uiPriority w:val="99"/>
    <w:semiHidden/>
    <w:unhideWhenUsed/>
    <w:rsid w:val="00D97E2B"/>
  </w:style>
  <w:style w:type="table" w:customStyle="1" w:styleId="TableGrid322">
    <w:name w:val="Table Grid3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2">
    <w:name w:val="Light Shading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2">
    <w:name w:val="Light Grid13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2">
    <w:name w:val="Medium Shading 1 - Accent 113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2">
    <w:name w:val="Medium Grid 1 - Accent 13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2">
    <w:name w:val="Light Shading - Accent 113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2">
    <w:name w:val="RSP_Style312"/>
    <w:basedOn w:val="TableNormal"/>
    <w:uiPriority w:val="99"/>
    <w:qFormat/>
    <w:rsid w:val="00D97E2B"/>
    <w:pPr>
      <w:spacing w:after="0" w:line="240" w:lineRule="auto"/>
    </w:pPr>
    <w:tblPr/>
  </w:style>
  <w:style w:type="table" w:customStyle="1" w:styleId="20122tableformat312">
    <w:name w:val="2012 2 table format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2">
    <w:name w:val="Medium Grid 1 - Accent 63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2">
    <w:name w:val="Light List - Accent 63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2">
    <w:name w:val="Light Grid - Accent 113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2">
    <w:name w:val="2012 Style3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2">
    <w:name w:val="Light Shading - Accent 12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2">
    <w:name w:val="No List1312"/>
    <w:next w:val="NoList"/>
    <w:uiPriority w:val="99"/>
    <w:semiHidden/>
    <w:unhideWhenUsed/>
    <w:rsid w:val="00D97E2B"/>
  </w:style>
  <w:style w:type="numbering" w:customStyle="1" w:styleId="CurrentList11312">
    <w:name w:val="Current List11312"/>
    <w:rsid w:val="00D97E2B"/>
  </w:style>
  <w:style w:type="table" w:customStyle="1" w:styleId="TableGrid1212">
    <w:name w:val="Table Grid12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2">
    <w:name w:val="Bulleted List1312"/>
    <w:rsid w:val="00D97E2B"/>
  </w:style>
  <w:style w:type="table" w:customStyle="1" w:styleId="LightShading11212">
    <w:name w:val="Light Shading112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2">
    <w:name w:val="Light Grid1121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2">
    <w:name w:val="Medium Shading 1 - Accent 11121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2">
    <w:name w:val="Medium Grid 1 - Accent 1121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2">
    <w:name w:val="Light Shading - Accent 11121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2">
    <w:name w:val="RSP_Style1212"/>
    <w:basedOn w:val="TableNormal"/>
    <w:uiPriority w:val="99"/>
    <w:qFormat/>
    <w:rsid w:val="00D97E2B"/>
    <w:pPr>
      <w:spacing w:after="0" w:line="240" w:lineRule="auto"/>
    </w:pPr>
    <w:tblPr/>
  </w:style>
  <w:style w:type="table" w:customStyle="1" w:styleId="20122tableformat1212">
    <w:name w:val="2012 2 table format12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2">
    <w:name w:val="Medium Grid 1 - Accent 6121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2">
    <w:name w:val="Light List - Accent 6121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2">
    <w:name w:val="Light Grid - Accent 11121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2">
    <w:name w:val="2012 Style121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2">
    <w:name w:val="Light Shading - Accent 1212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2">
    <w:name w:val="Medium Shading 1 - Accent 421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2">
    <w:name w:val="Current List1312"/>
    <w:rsid w:val="00D97E2B"/>
  </w:style>
  <w:style w:type="table" w:customStyle="1" w:styleId="TableGrid3112">
    <w:name w:val="Table Grid31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D97E2B"/>
  </w:style>
  <w:style w:type="numbering" w:customStyle="1" w:styleId="CurrentList1412">
    <w:name w:val="Current List1412"/>
    <w:rsid w:val="00D97E2B"/>
  </w:style>
  <w:style w:type="table" w:customStyle="1" w:styleId="TableGrid412">
    <w:name w:val="Table Grid4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2">
    <w:name w:val="Bulleted List312"/>
    <w:rsid w:val="00D97E2B"/>
  </w:style>
  <w:style w:type="table" w:customStyle="1" w:styleId="LightShading1412">
    <w:name w:val="Light Shading14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2">
    <w:name w:val="Light Grid14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2">
    <w:name w:val="Medium Shading 1 - Accent 114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2">
    <w:name w:val="Medium Grid 1 - Accent 14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2">
    <w:name w:val="Light Shading - Accent 114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2">
    <w:name w:val="RSP_Style412"/>
    <w:basedOn w:val="TableNormal"/>
    <w:uiPriority w:val="99"/>
    <w:qFormat/>
    <w:rsid w:val="00D97E2B"/>
    <w:pPr>
      <w:spacing w:after="0" w:line="240" w:lineRule="auto"/>
    </w:pPr>
    <w:rPr>
      <w:rFonts w:ascii="Cambria" w:hAnsi="Cambria"/>
      <w:color w:val="auto"/>
    </w:rPr>
    <w:tblPr/>
  </w:style>
  <w:style w:type="table" w:customStyle="1" w:styleId="20122tableformat412">
    <w:name w:val="2012 2 table format4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2">
    <w:name w:val="Medium Grid 1 - Accent 64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2">
    <w:name w:val="Light List - Accent 64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2">
    <w:name w:val="Light Grid - Accent 114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2">
    <w:name w:val="2012 Style4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2">
    <w:name w:val="Light Shading - Accent 124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2">
    <w:name w:val="No List1412"/>
    <w:next w:val="NoList"/>
    <w:uiPriority w:val="99"/>
    <w:semiHidden/>
    <w:unhideWhenUsed/>
    <w:rsid w:val="00D97E2B"/>
  </w:style>
  <w:style w:type="numbering" w:customStyle="1" w:styleId="CurrentList11412">
    <w:name w:val="Current List11412"/>
    <w:rsid w:val="00D97E2B"/>
  </w:style>
  <w:style w:type="table" w:customStyle="1" w:styleId="TableGrid1312">
    <w:name w:val="Table Grid131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2">
    <w:name w:val="Bulleted List1412"/>
    <w:rsid w:val="00D97E2B"/>
  </w:style>
  <w:style w:type="table" w:customStyle="1" w:styleId="LightShading11312">
    <w:name w:val="Light Shading1131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2">
    <w:name w:val="Light Grid1131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2">
    <w:name w:val="Medium Shading 1 - Accent 11131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2">
    <w:name w:val="Medium Grid 1 - Accent 1131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2">
    <w:name w:val="Light Shading - Accent 11131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2">
    <w:name w:val="RSP_Style1312"/>
    <w:basedOn w:val="TableNormal"/>
    <w:uiPriority w:val="99"/>
    <w:qFormat/>
    <w:rsid w:val="00D97E2B"/>
    <w:pPr>
      <w:spacing w:after="0" w:line="240" w:lineRule="auto"/>
    </w:pPr>
    <w:rPr>
      <w:rFonts w:ascii="Cambria" w:hAnsi="Cambria"/>
      <w:color w:val="auto"/>
    </w:rPr>
    <w:tblPr/>
  </w:style>
  <w:style w:type="table" w:customStyle="1" w:styleId="20122tableformat1312">
    <w:name w:val="2012 2 table format131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2">
    <w:name w:val="Medium Grid 1 - Accent 6131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2">
    <w:name w:val="Light List - Accent 6131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2">
    <w:name w:val="Light Grid - Accent 11131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2">
    <w:name w:val="2012 Style131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2">
    <w:name w:val="Light Shading - Accent 12131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2">
    <w:name w:val="Medium Shading 1 - Accent 431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2">
    <w:name w:val="Table Grid51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E2B"/>
  </w:style>
  <w:style w:type="table" w:customStyle="1" w:styleId="TableGrid72">
    <w:name w:val="Table Grid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2">
    <w:name w:val="Light Shading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2">
    <w:name w:val="Light Grid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2">
    <w:name w:val="Medium Shading 1 - Accent 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2">
    <w:name w:val="Medium Grid 1 - Accent 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2">
    <w:name w:val="Light Shading - Accent 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2">
    <w:name w:val="RSP_Style62"/>
    <w:basedOn w:val="TableNormal"/>
    <w:uiPriority w:val="99"/>
    <w:qFormat/>
    <w:rsid w:val="00D97E2B"/>
    <w:pPr>
      <w:spacing w:after="0" w:line="240" w:lineRule="auto"/>
    </w:pPr>
    <w:tblPr/>
  </w:style>
  <w:style w:type="table" w:customStyle="1" w:styleId="20122tableformat62">
    <w:name w:val="2012 2 table format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2">
    <w:name w:val="Medium Grid 1 - Accent 6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2">
    <w:name w:val="Light List - Accent 6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2">
    <w:name w:val="Light Grid - Accent 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2">
    <w:name w:val="2012 Style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2">
    <w:name w:val="Light Shading - Accent 12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2">
    <w:name w:val="No List162"/>
    <w:next w:val="NoList"/>
    <w:uiPriority w:val="99"/>
    <w:semiHidden/>
    <w:unhideWhenUsed/>
    <w:rsid w:val="00D97E2B"/>
  </w:style>
  <w:style w:type="numbering" w:customStyle="1" w:styleId="CurrentList1162">
    <w:name w:val="Current List1162"/>
    <w:rsid w:val="00D97E2B"/>
  </w:style>
  <w:style w:type="table" w:customStyle="1" w:styleId="TableGrid152">
    <w:name w:val="Table Grid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2">
    <w:name w:val="Bulleted List162"/>
    <w:rsid w:val="00D97E2B"/>
  </w:style>
  <w:style w:type="table" w:customStyle="1" w:styleId="LightShading1152">
    <w:name w:val="Light Shading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2">
    <w:name w:val="Light Grid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2">
    <w:name w:val="Medium Shading 1 - Accent 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2">
    <w:name w:val="Medium Grid 1 - Accent 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2">
    <w:name w:val="Light Shading - Accent 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2">
    <w:name w:val="RSP_Style152"/>
    <w:basedOn w:val="TableNormal"/>
    <w:uiPriority w:val="99"/>
    <w:qFormat/>
    <w:rsid w:val="00D97E2B"/>
    <w:pPr>
      <w:spacing w:after="0" w:line="240" w:lineRule="auto"/>
    </w:pPr>
    <w:tblPr/>
  </w:style>
  <w:style w:type="table" w:customStyle="1" w:styleId="20122tableformat152">
    <w:name w:val="2012 2 table format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2">
    <w:name w:val="Medium Grid 1 - Accent 6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2">
    <w:name w:val="Light List - Accent 6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2">
    <w:name w:val="Light Grid - Accent 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2">
    <w:name w:val="2012 Style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2">
    <w:name w:val="Light Shading - Accent 12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2">
    <w:name w:val="Medium Shading 1 - Accent 4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2">
    <w:name w:val="No List222"/>
    <w:next w:val="NoList"/>
    <w:uiPriority w:val="99"/>
    <w:semiHidden/>
    <w:unhideWhenUsed/>
    <w:rsid w:val="00D97E2B"/>
  </w:style>
  <w:style w:type="numbering" w:customStyle="1" w:styleId="CurrentList1222">
    <w:name w:val="Current List1222"/>
    <w:rsid w:val="00D97E2B"/>
  </w:style>
  <w:style w:type="numbering" w:customStyle="1" w:styleId="BulletedList222">
    <w:name w:val="Bulleted List222"/>
    <w:rsid w:val="00D97E2B"/>
  </w:style>
  <w:style w:type="numbering" w:customStyle="1" w:styleId="NoList1122">
    <w:name w:val="No List1122"/>
    <w:next w:val="NoList"/>
    <w:uiPriority w:val="99"/>
    <w:semiHidden/>
    <w:unhideWhenUsed/>
    <w:rsid w:val="00D97E2B"/>
  </w:style>
  <w:style w:type="numbering" w:customStyle="1" w:styleId="CurrentList11122">
    <w:name w:val="Current List11122"/>
    <w:rsid w:val="00D97E2B"/>
  </w:style>
  <w:style w:type="numbering" w:customStyle="1" w:styleId="BulletedList1122">
    <w:name w:val="Bulleted List1122"/>
    <w:rsid w:val="00D97E2B"/>
  </w:style>
  <w:style w:type="numbering" w:customStyle="1" w:styleId="NoList322">
    <w:name w:val="No List322"/>
    <w:next w:val="NoList"/>
    <w:uiPriority w:val="99"/>
    <w:semiHidden/>
    <w:unhideWhenUsed/>
    <w:rsid w:val="00D97E2B"/>
  </w:style>
  <w:style w:type="table" w:customStyle="1" w:styleId="TableGrid223">
    <w:name w:val="Table Grid223"/>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2">
    <w:name w:val="Light Shading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2">
    <w:name w:val="Light Grid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2">
    <w:name w:val="Medium Shading 1 - Accent 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2">
    <w:name w:val="Medium Grid 1 - Accent 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2">
    <w:name w:val="Light Shading - Accent 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2">
    <w:name w:val="RSP_Style222"/>
    <w:basedOn w:val="TableNormal"/>
    <w:uiPriority w:val="99"/>
    <w:qFormat/>
    <w:rsid w:val="00D97E2B"/>
    <w:pPr>
      <w:spacing w:after="0" w:line="240" w:lineRule="auto"/>
    </w:pPr>
    <w:tblPr/>
  </w:style>
  <w:style w:type="table" w:customStyle="1" w:styleId="20122tableformat222">
    <w:name w:val="2012 2 table format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2">
    <w:name w:val="Medium Grid 1 - Accent 6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2">
    <w:name w:val="Light List - Accent 6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2">
    <w:name w:val="Light Grid - Accent 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2">
    <w:name w:val="2012 Style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2">
    <w:name w:val="Light Shading - Accent 12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2">
    <w:name w:val="No List1222"/>
    <w:next w:val="NoList"/>
    <w:uiPriority w:val="99"/>
    <w:semiHidden/>
    <w:unhideWhenUsed/>
    <w:rsid w:val="00D97E2B"/>
  </w:style>
  <w:style w:type="numbering" w:customStyle="1" w:styleId="CurrentList11222">
    <w:name w:val="Current List11222"/>
    <w:rsid w:val="00D97E2B"/>
  </w:style>
  <w:style w:type="table" w:customStyle="1" w:styleId="TableGrid1122">
    <w:name w:val="Table Grid1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2">
    <w:name w:val="Bulleted List1222"/>
    <w:rsid w:val="00D97E2B"/>
  </w:style>
  <w:style w:type="table" w:customStyle="1" w:styleId="LightShading11122">
    <w:name w:val="Light Shading111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2">
    <w:name w:val="Light Grid111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2">
    <w:name w:val="Medium Shading 1 - Accent 1111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2">
    <w:name w:val="Medium Grid 1 - Accent 111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2">
    <w:name w:val="Light Shading - Accent 1111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2">
    <w:name w:val="RSP_Style1122"/>
    <w:basedOn w:val="TableNormal"/>
    <w:uiPriority w:val="99"/>
    <w:qFormat/>
    <w:rsid w:val="00D97E2B"/>
    <w:pPr>
      <w:spacing w:after="0" w:line="240" w:lineRule="auto"/>
    </w:pPr>
    <w:tblPr/>
  </w:style>
  <w:style w:type="table" w:customStyle="1" w:styleId="20122tableformat1122">
    <w:name w:val="2012 2 table format11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2">
    <w:name w:val="Medium Grid 1 - Accent 611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2">
    <w:name w:val="Light List - Accent 611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2">
    <w:name w:val="Light Grid - Accent 1111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2">
    <w:name w:val="2012 Style11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2">
    <w:name w:val="Light Shading - Accent 1211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2">
    <w:name w:val="Medium Shading 1 - Accent 41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2">
    <w:name w:val="No List422"/>
    <w:next w:val="NoList"/>
    <w:uiPriority w:val="99"/>
    <w:semiHidden/>
    <w:unhideWhenUsed/>
    <w:rsid w:val="00D97E2B"/>
  </w:style>
  <w:style w:type="table" w:customStyle="1" w:styleId="TableGrid332">
    <w:name w:val="Table Grid3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2">
    <w:name w:val="Light Shading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2">
    <w:name w:val="Light Grid13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2">
    <w:name w:val="Medium Shading 1 - Accent 113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2">
    <w:name w:val="Medium Grid 1 - Accent 13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2">
    <w:name w:val="Light Shading - Accent 113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2">
    <w:name w:val="RSP_Style322"/>
    <w:basedOn w:val="TableNormal"/>
    <w:uiPriority w:val="99"/>
    <w:qFormat/>
    <w:rsid w:val="00D97E2B"/>
    <w:pPr>
      <w:spacing w:after="0" w:line="240" w:lineRule="auto"/>
    </w:pPr>
    <w:tblPr/>
  </w:style>
  <w:style w:type="table" w:customStyle="1" w:styleId="20122tableformat322">
    <w:name w:val="2012 2 table format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2">
    <w:name w:val="Medium Grid 1 - Accent 63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2">
    <w:name w:val="Light List - Accent 63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2">
    <w:name w:val="Light Grid - Accent 113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2">
    <w:name w:val="2012 Style3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2">
    <w:name w:val="Light Shading - Accent 12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2">
    <w:name w:val="No List1322"/>
    <w:next w:val="NoList"/>
    <w:uiPriority w:val="99"/>
    <w:semiHidden/>
    <w:unhideWhenUsed/>
    <w:rsid w:val="00D97E2B"/>
  </w:style>
  <w:style w:type="numbering" w:customStyle="1" w:styleId="CurrentList11322">
    <w:name w:val="Current List11322"/>
    <w:rsid w:val="00D97E2B"/>
  </w:style>
  <w:style w:type="table" w:customStyle="1" w:styleId="TableGrid1222">
    <w:name w:val="Table Grid12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2">
    <w:name w:val="Bulleted List1322"/>
    <w:rsid w:val="00D97E2B"/>
  </w:style>
  <w:style w:type="table" w:customStyle="1" w:styleId="LightShading11222">
    <w:name w:val="Light Shading112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2">
    <w:name w:val="Light Grid1122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2">
    <w:name w:val="Medium Shading 1 - Accent 11122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2">
    <w:name w:val="Medium Grid 1 - Accent 1122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2">
    <w:name w:val="Light Shading - Accent 11122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2">
    <w:name w:val="RSP_Style1222"/>
    <w:basedOn w:val="TableNormal"/>
    <w:uiPriority w:val="99"/>
    <w:qFormat/>
    <w:rsid w:val="00D97E2B"/>
    <w:pPr>
      <w:spacing w:after="0" w:line="240" w:lineRule="auto"/>
    </w:pPr>
    <w:tblPr/>
  </w:style>
  <w:style w:type="table" w:customStyle="1" w:styleId="20122tableformat1222">
    <w:name w:val="2012 2 table format12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2">
    <w:name w:val="Medium Grid 1 - Accent 6122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2">
    <w:name w:val="Light List - Accent 6122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2">
    <w:name w:val="Light Grid - Accent 11122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2">
    <w:name w:val="2012 Style122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2">
    <w:name w:val="Light Shading - Accent 1212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2">
    <w:name w:val="Medium Shading 1 - Accent 422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2">
    <w:name w:val="Current List1322"/>
    <w:rsid w:val="00D97E2B"/>
  </w:style>
  <w:style w:type="table" w:customStyle="1" w:styleId="TableGrid3122">
    <w:name w:val="Table Grid31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D97E2B"/>
  </w:style>
  <w:style w:type="numbering" w:customStyle="1" w:styleId="CurrentList1422">
    <w:name w:val="Current List1422"/>
    <w:rsid w:val="00D97E2B"/>
  </w:style>
  <w:style w:type="table" w:customStyle="1" w:styleId="TableGrid422">
    <w:name w:val="Table Grid4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2">
    <w:name w:val="Bulleted List322"/>
    <w:rsid w:val="00D97E2B"/>
  </w:style>
  <w:style w:type="table" w:customStyle="1" w:styleId="LightShading1422">
    <w:name w:val="Light Shading14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2">
    <w:name w:val="Light Grid14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2">
    <w:name w:val="Medium Shading 1 - Accent 114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2">
    <w:name w:val="Medium Grid 1 - Accent 14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2">
    <w:name w:val="Light Shading - Accent 114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2">
    <w:name w:val="RSP_Style422"/>
    <w:basedOn w:val="TableNormal"/>
    <w:uiPriority w:val="99"/>
    <w:qFormat/>
    <w:rsid w:val="00D97E2B"/>
    <w:pPr>
      <w:spacing w:after="0" w:line="240" w:lineRule="auto"/>
    </w:pPr>
    <w:rPr>
      <w:rFonts w:ascii="Cambria" w:hAnsi="Cambria"/>
      <w:color w:val="auto"/>
    </w:rPr>
    <w:tblPr/>
  </w:style>
  <w:style w:type="table" w:customStyle="1" w:styleId="20122tableformat422">
    <w:name w:val="2012 2 table format4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2">
    <w:name w:val="Medium Grid 1 - Accent 64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2">
    <w:name w:val="Light List - Accent 64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2">
    <w:name w:val="Light Grid - Accent 114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2">
    <w:name w:val="2012 Style4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2">
    <w:name w:val="Light Shading - Accent 124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2">
    <w:name w:val="No List1422"/>
    <w:next w:val="NoList"/>
    <w:uiPriority w:val="99"/>
    <w:semiHidden/>
    <w:unhideWhenUsed/>
    <w:rsid w:val="00D97E2B"/>
  </w:style>
  <w:style w:type="numbering" w:customStyle="1" w:styleId="CurrentList11422">
    <w:name w:val="Current List11422"/>
    <w:rsid w:val="00D97E2B"/>
  </w:style>
  <w:style w:type="table" w:customStyle="1" w:styleId="TableGrid1322">
    <w:name w:val="Table Grid132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2">
    <w:name w:val="Bulleted List1422"/>
    <w:rsid w:val="00D97E2B"/>
  </w:style>
  <w:style w:type="table" w:customStyle="1" w:styleId="LightShading11322">
    <w:name w:val="Light Shading1132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2">
    <w:name w:val="Light Grid1132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2">
    <w:name w:val="Medium Shading 1 - Accent 11132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2">
    <w:name w:val="Medium Grid 1 - Accent 1132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2">
    <w:name w:val="Light Shading - Accent 11132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2">
    <w:name w:val="RSP_Style1322"/>
    <w:basedOn w:val="TableNormal"/>
    <w:uiPriority w:val="99"/>
    <w:qFormat/>
    <w:rsid w:val="00D97E2B"/>
    <w:pPr>
      <w:spacing w:after="0" w:line="240" w:lineRule="auto"/>
    </w:pPr>
    <w:rPr>
      <w:rFonts w:ascii="Cambria" w:hAnsi="Cambria"/>
      <w:color w:val="auto"/>
    </w:rPr>
    <w:tblPr/>
  </w:style>
  <w:style w:type="table" w:customStyle="1" w:styleId="20122tableformat1322">
    <w:name w:val="2012 2 table format132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2">
    <w:name w:val="Medium Grid 1 - Accent 6132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2">
    <w:name w:val="Light List - Accent 6132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2">
    <w:name w:val="Light Grid - Accent 11132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2">
    <w:name w:val="2012 Style132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2">
    <w:name w:val="Light Shading - Accent 12132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2">
    <w:name w:val="Medium Shading 1 - Accent 432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D97E2B"/>
  </w:style>
  <w:style w:type="numbering" w:customStyle="1" w:styleId="CurrentList162">
    <w:name w:val="Current List162"/>
    <w:rsid w:val="00D97E2B"/>
  </w:style>
  <w:style w:type="table" w:customStyle="1" w:styleId="TableGrid82">
    <w:name w:val="Table Grid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2">
    <w:name w:val="Light Shading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2">
    <w:name w:val="Light Grid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2">
    <w:name w:val="Medium Shading 1 - Accent 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2">
    <w:name w:val="Medium Grid 1 - Accent 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2">
    <w:name w:val="Light Shading - Accent 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2">
    <w:name w:val="RSP_Style72"/>
    <w:basedOn w:val="TableNormal"/>
    <w:uiPriority w:val="99"/>
    <w:qFormat/>
    <w:rsid w:val="00D97E2B"/>
    <w:pPr>
      <w:spacing w:after="0" w:line="240" w:lineRule="auto"/>
    </w:pPr>
    <w:tblPr/>
  </w:style>
  <w:style w:type="table" w:customStyle="1" w:styleId="20122tableformat72">
    <w:name w:val="2012 2 table format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2">
    <w:name w:val="Medium Grid 1 - Accent 6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2">
    <w:name w:val="Light List - Accent 6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2">
    <w:name w:val="Light Grid - Accent 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2">
    <w:name w:val="2012 Style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2">
    <w:name w:val="Light Shading - Accent 12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2">
    <w:name w:val="No List172"/>
    <w:next w:val="NoList"/>
    <w:uiPriority w:val="99"/>
    <w:semiHidden/>
    <w:unhideWhenUsed/>
    <w:rsid w:val="00D97E2B"/>
  </w:style>
  <w:style w:type="numbering" w:customStyle="1" w:styleId="CurrentList1172">
    <w:name w:val="Current List1172"/>
    <w:rsid w:val="00D97E2B"/>
  </w:style>
  <w:style w:type="table" w:customStyle="1" w:styleId="TableGrid162">
    <w:name w:val="Table Grid1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2">
    <w:name w:val="Bulleted List172"/>
    <w:rsid w:val="00D97E2B"/>
  </w:style>
  <w:style w:type="table" w:customStyle="1" w:styleId="LightShading1162">
    <w:name w:val="Light Shading116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2">
    <w:name w:val="Light Grid116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2">
    <w:name w:val="Medium Shading 1 - Accent 1116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2">
    <w:name w:val="Medium Grid 1 - Accent 116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2">
    <w:name w:val="Light Shading - Accent 1116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2">
    <w:name w:val="RSP_Style162"/>
    <w:basedOn w:val="TableNormal"/>
    <w:uiPriority w:val="99"/>
    <w:qFormat/>
    <w:rsid w:val="00D97E2B"/>
    <w:pPr>
      <w:spacing w:after="0" w:line="240" w:lineRule="auto"/>
    </w:pPr>
    <w:tblPr/>
  </w:style>
  <w:style w:type="table" w:customStyle="1" w:styleId="20122tableformat162">
    <w:name w:val="2012 2 table format16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2">
    <w:name w:val="Medium Grid 1 - Accent 616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2">
    <w:name w:val="Light List - Accent 616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2">
    <w:name w:val="Light Grid - Accent 1116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2">
    <w:name w:val="2012 Style16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2">
    <w:name w:val="Light Shading - Accent 1216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2">
    <w:name w:val="Medium Shading 1 - Accent 46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2">
    <w:name w:val="No List232"/>
    <w:next w:val="NoList"/>
    <w:uiPriority w:val="99"/>
    <w:semiHidden/>
    <w:unhideWhenUsed/>
    <w:rsid w:val="00D97E2B"/>
  </w:style>
  <w:style w:type="numbering" w:customStyle="1" w:styleId="CurrentList1232">
    <w:name w:val="Current List1232"/>
    <w:rsid w:val="00D97E2B"/>
  </w:style>
  <w:style w:type="numbering" w:customStyle="1" w:styleId="BulletedList232">
    <w:name w:val="Bulleted List232"/>
    <w:rsid w:val="00D97E2B"/>
  </w:style>
  <w:style w:type="numbering" w:customStyle="1" w:styleId="NoList1132">
    <w:name w:val="No List1132"/>
    <w:next w:val="NoList"/>
    <w:uiPriority w:val="99"/>
    <w:semiHidden/>
    <w:unhideWhenUsed/>
    <w:rsid w:val="00D97E2B"/>
  </w:style>
  <w:style w:type="numbering" w:customStyle="1" w:styleId="CurrentList11132">
    <w:name w:val="Current List11132"/>
    <w:rsid w:val="00D97E2B"/>
  </w:style>
  <w:style w:type="numbering" w:customStyle="1" w:styleId="BulletedList1132">
    <w:name w:val="Bulleted List1132"/>
    <w:rsid w:val="00D97E2B"/>
  </w:style>
  <w:style w:type="numbering" w:customStyle="1" w:styleId="NoList332">
    <w:name w:val="No List332"/>
    <w:next w:val="NoList"/>
    <w:uiPriority w:val="99"/>
    <w:semiHidden/>
    <w:unhideWhenUsed/>
    <w:rsid w:val="00D97E2B"/>
  </w:style>
  <w:style w:type="table" w:customStyle="1" w:styleId="TableGrid232">
    <w:name w:val="Table Grid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2">
    <w:name w:val="Light Shading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2">
    <w:name w:val="Light Grid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2">
    <w:name w:val="Medium Shading 1 - Accent 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2">
    <w:name w:val="Medium Grid 1 - Accent 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2">
    <w:name w:val="Light Shading - Accent 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2">
    <w:name w:val="RSP_Style232"/>
    <w:basedOn w:val="TableNormal"/>
    <w:uiPriority w:val="99"/>
    <w:qFormat/>
    <w:rsid w:val="00D97E2B"/>
    <w:pPr>
      <w:spacing w:after="0" w:line="240" w:lineRule="auto"/>
    </w:pPr>
    <w:tblPr/>
  </w:style>
  <w:style w:type="table" w:customStyle="1" w:styleId="20122tableformat232">
    <w:name w:val="2012 2 table format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2">
    <w:name w:val="Medium Grid 1 - Accent 6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2">
    <w:name w:val="Light List - Accent 6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2">
    <w:name w:val="Light Grid - Accent 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2">
    <w:name w:val="2012 Style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2">
    <w:name w:val="Light Shading - Accent 12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2">
    <w:name w:val="No List1232"/>
    <w:next w:val="NoList"/>
    <w:uiPriority w:val="99"/>
    <w:semiHidden/>
    <w:unhideWhenUsed/>
    <w:rsid w:val="00D97E2B"/>
  </w:style>
  <w:style w:type="numbering" w:customStyle="1" w:styleId="CurrentList11232">
    <w:name w:val="Current List11232"/>
    <w:rsid w:val="00D97E2B"/>
  </w:style>
  <w:style w:type="table" w:customStyle="1" w:styleId="TableGrid1132">
    <w:name w:val="Table Grid1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2">
    <w:name w:val="Bulleted List1232"/>
    <w:rsid w:val="00D97E2B"/>
  </w:style>
  <w:style w:type="table" w:customStyle="1" w:styleId="LightShading11132">
    <w:name w:val="Light Shading111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2">
    <w:name w:val="Light Grid111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2">
    <w:name w:val="Medium Shading 1 - Accent 1111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2">
    <w:name w:val="Medium Grid 1 - Accent 111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2">
    <w:name w:val="Light Shading - Accent 1111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2">
    <w:name w:val="RSP_Style1132"/>
    <w:basedOn w:val="TableNormal"/>
    <w:uiPriority w:val="99"/>
    <w:qFormat/>
    <w:rsid w:val="00D97E2B"/>
    <w:pPr>
      <w:spacing w:after="0" w:line="240" w:lineRule="auto"/>
    </w:pPr>
    <w:tblPr/>
  </w:style>
  <w:style w:type="table" w:customStyle="1" w:styleId="20122tableformat1132">
    <w:name w:val="2012 2 table format11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2">
    <w:name w:val="Medium Grid 1 - Accent 611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2">
    <w:name w:val="Light List - Accent 611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2">
    <w:name w:val="Light Grid - Accent 1111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2">
    <w:name w:val="2012 Style11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2">
    <w:name w:val="Light Shading - Accent 1211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2">
    <w:name w:val="Medium Shading 1 - Accent 41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2">
    <w:name w:val="No List432"/>
    <w:next w:val="NoList"/>
    <w:uiPriority w:val="99"/>
    <w:semiHidden/>
    <w:unhideWhenUsed/>
    <w:rsid w:val="00D97E2B"/>
  </w:style>
  <w:style w:type="table" w:customStyle="1" w:styleId="TableGrid342">
    <w:name w:val="Table Grid3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2">
    <w:name w:val="Light Shading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2">
    <w:name w:val="Light Grid13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2">
    <w:name w:val="Medium Shading 1 - Accent 113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2">
    <w:name w:val="Medium Grid 1 - Accent 13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2">
    <w:name w:val="Light Shading - Accent 113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2">
    <w:name w:val="RSP_Style332"/>
    <w:basedOn w:val="TableNormal"/>
    <w:uiPriority w:val="99"/>
    <w:qFormat/>
    <w:rsid w:val="00D97E2B"/>
    <w:pPr>
      <w:spacing w:after="0" w:line="240" w:lineRule="auto"/>
    </w:pPr>
    <w:tblPr/>
  </w:style>
  <w:style w:type="table" w:customStyle="1" w:styleId="20122tableformat332">
    <w:name w:val="2012 2 table format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2">
    <w:name w:val="Medium Grid 1 - Accent 63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2">
    <w:name w:val="Light List - Accent 63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2">
    <w:name w:val="Light Grid - Accent 113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2">
    <w:name w:val="2012 Style3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2">
    <w:name w:val="Light Shading - Accent 12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2">
    <w:name w:val="No List1332"/>
    <w:next w:val="NoList"/>
    <w:uiPriority w:val="99"/>
    <w:semiHidden/>
    <w:unhideWhenUsed/>
    <w:rsid w:val="00D97E2B"/>
  </w:style>
  <w:style w:type="numbering" w:customStyle="1" w:styleId="CurrentList11332">
    <w:name w:val="Current List11332"/>
    <w:rsid w:val="00D97E2B"/>
  </w:style>
  <w:style w:type="table" w:customStyle="1" w:styleId="TableGrid1232">
    <w:name w:val="Table Grid12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2">
    <w:name w:val="Bulleted List1332"/>
    <w:rsid w:val="00D97E2B"/>
  </w:style>
  <w:style w:type="table" w:customStyle="1" w:styleId="LightShading11232">
    <w:name w:val="Light Shading112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2">
    <w:name w:val="Light Grid1123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2">
    <w:name w:val="Medium Shading 1 - Accent 11123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2">
    <w:name w:val="Medium Grid 1 - Accent 1123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2">
    <w:name w:val="Light Shading - Accent 11123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2">
    <w:name w:val="RSP_Style1232"/>
    <w:basedOn w:val="TableNormal"/>
    <w:uiPriority w:val="99"/>
    <w:qFormat/>
    <w:rsid w:val="00D97E2B"/>
    <w:pPr>
      <w:spacing w:after="0" w:line="240" w:lineRule="auto"/>
    </w:pPr>
    <w:tblPr/>
  </w:style>
  <w:style w:type="table" w:customStyle="1" w:styleId="20122tableformat1232">
    <w:name w:val="2012 2 table format12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2">
    <w:name w:val="Medium Grid 1 - Accent 6123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2">
    <w:name w:val="Light List - Accent 6123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2">
    <w:name w:val="Light Grid - Accent 11123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2">
    <w:name w:val="2012 Style123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2">
    <w:name w:val="Light Shading - Accent 1212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2">
    <w:name w:val="Medium Shading 1 - Accent 423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2">
    <w:name w:val="Current List1332"/>
    <w:rsid w:val="00D97E2B"/>
  </w:style>
  <w:style w:type="table" w:customStyle="1" w:styleId="TableGrid3132">
    <w:name w:val="Table Grid31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2">
    <w:name w:val="ISO Report Style22"/>
    <w:uiPriority w:val="99"/>
    <w:rsid w:val="00D97E2B"/>
  </w:style>
  <w:style w:type="numbering" w:customStyle="1" w:styleId="NoList532">
    <w:name w:val="No List532"/>
    <w:next w:val="NoList"/>
    <w:uiPriority w:val="99"/>
    <w:semiHidden/>
    <w:unhideWhenUsed/>
    <w:rsid w:val="00D97E2B"/>
  </w:style>
  <w:style w:type="numbering" w:customStyle="1" w:styleId="CurrentList1432">
    <w:name w:val="Current List1432"/>
    <w:rsid w:val="00D97E2B"/>
  </w:style>
  <w:style w:type="table" w:customStyle="1" w:styleId="TableGrid432">
    <w:name w:val="Table Grid4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2">
    <w:name w:val="Bulleted List332"/>
    <w:rsid w:val="00D97E2B"/>
  </w:style>
  <w:style w:type="table" w:customStyle="1" w:styleId="LightShading1432">
    <w:name w:val="Light Shading14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2">
    <w:name w:val="Light Grid14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2">
    <w:name w:val="Medium Shading 1 - Accent 114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2">
    <w:name w:val="Medium Grid 1 - Accent 14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2">
    <w:name w:val="Light Shading - Accent 114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2">
    <w:name w:val="RSP_Style432"/>
    <w:basedOn w:val="TableNormal"/>
    <w:uiPriority w:val="99"/>
    <w:qFormat/>
    <w:rsid w:val="00D97E2B"/>
    <w:pPr>
      <w:spacing w:after="0" w:line="240" w:lineRule="auto"/>
    </w:pPr>
    <w:rPr>
      <w:rFonts w:ascii="Cambria" w:hAnsi="Cambria"/>
      <w:color w:val="auto"/>
    </w:rPr>
    <w:tblPr/>
  </w:style>
  <w:style w:type="table" w:customStyle="1" w:styleId="20122tableformat432">
    <w:name w:val="2012 2 table format4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2">
    <w:name w:val="Medium Grid 1 - Accent 64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2">
    <w:name w:val="Light List - Accent 64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2">
    <w:name w:val="Light Grid - Accent 114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2">
    <w:name w:val="2012 Style4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2">
    <w:name w:val="Light Shading - Accent 124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2">
    <w:name w:val="No List1432"/>
    <w:next w:val="NoList"/>
    <w:uiPriority w:val="99"/>
    <w:semiHidden/>
    <w:unhideWhenUsed/>
    <w:rsid w:val="00D97E2B"/>
  </w:style>
  <w:style w:type="numbering" w:customStyle="1" w:styleId="CurrentList11432">
    <w:name w:val="Current List11432"/>
    <w:rsid w:val="00D97E2B"/>
  </w:style>
  <w:style w:type="table" w:customStyle="1" w:styleId="TableGrid1332">
    <w:name w:val="Table Grid133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2">
    <w:name w:val="Bulleted List1432"/>
    <w:rsid w:val="00D97E2B"/>
  </w:style>
  <w:style w:type="table" w:customStyle="1" w:styleId="LightShading11332">
    <w:name w:val="Light Shading1133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2">
    <w:name w:val="Light Grid1133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2">
    <w:name w:val="Medium Shading 1 - Accent 11133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2">
    <w:name w:val="Medium Grid 1 - Accent 1133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2">
    <w:name w:val="Light Shading - Accent 11133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2">
    <w:name w:val="RSP_Style1332"/>
    <w:basedOn w:val="TableNormal"/>
    <w:uiPriority w:val="99"/>
    <w:qFormat/>
    <w:rsid w:val="00D97E2B"/>
    <w:pPr>
      <w:spacing w:after="0" w:line="240" w:lineRule="auto"/>
    </w:pPr>
    <w:rPr>
      <w:rFonts w:ascii="Cambria" w:hAnsi="Cambria"/>
      <w:color w:val="auto"/>
    </w:rPr>
    <w:tblPr/>
  </w:style>
  <w:style w:type="table" w:customStyle="1" w:styleId="20122tableformat1332">
    <w:name w:val="2012 2 table format133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2">
    <w:name w:val="Medium Grid 1 - Accent 6133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2">
    <w:name w:val="Light List - Accent 6133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2">
    <w:name w:val="Light Grid - Accent 11133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2">
    <w:name w:val="2012 Style133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2">
    <w:name w:val="Light Shading - Accent 12133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2">
    <w:name w:val="Medium Shading 1 - Accent 433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2">
    <w:name w:val="Table Grid53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E2B"/>
  </w:style>
  <w:style w:type="numbering" w:customStyle="1" w:styleId="CurrentList172">
    <w:name w:val="Current List172"/>
    <w:rsid w:val="00D97E2B"/>
  </w:style>
  <w:style w:type="table" w:customStyle="1" w:styleId="TableGrid92">
    <w:name w:val="Table Grid9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2">
    <w:name w:val="Light Shading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2">
    <w:name w:val="Light Grid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2">
    <w:name w:val="Medium Shading 1 - Accent 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2">
    <w:name w:val="Medium Grid 1 - Accent 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2">
    <w:name w:val="Light Shading - Accent 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2">
    <w:name w:val="RSP_Style82"/>
    <w:basedOn w:val="TableNormal"/>
    <w:uiPriority w:val="99"/>
    <w:qFormat/>
    <w:rsid w:val="00D97E2B"/>
    <w:pPr>
      <w:spacing w:after="0" w:line="240" w:lineRule="auto"/>
    </w:pPr>
    <w:tblPr/>
  </w:style>
  <w:style w:type="table" w:customStyle="1" w:styleId="20122tableformat82">
    <w:name w:val="2012 2 table format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2">
    <w:name w:val="Medium Grid 1 - Accent 6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2">
    <w:name w:val="Light List - Accent 6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2">
    <w:name w:val="Light Grid - Accent 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2">
    <w:name w:val="2012 Style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2">
    <w:name w:val="Light Shading - Accent 12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2">
    <w:name w:val="No List182"/>
    <w:next w:val="NoList"/>
    <w:uiPriority w:val="99"/>
    <w:semiHidden/>
    <w:unhideWhenUsed/>
    <w:rsid w:val="00D97E2B"/>
  </w:style>
  <w:style w:type="numbering" w:customStyle="1" w:styleId="CurrentList1182">
    <w:name w:val="Current List1182"/>
    <w:rsid w:val="00D97E2B"/>
  </w:style>
  <w:style w:type="table" w:customStyle="1" w:styleId="TableGrid172">
    <w:name w:val="Table Grid17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2">
    <w:name w:val="Bulleted List182"/>
    <w:rsid w:val="00D97E2B"/>
  </w:style>
  <w:style w:type="table" w:customStyle="1" w:styleId="LightShading1172">
    <w:name w:val="Light Shading117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2">
    <w:name w:val="Light Grid117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2">
    <w:name w:val="Medium Shading 1 - Accent 1117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2">
    <w:name w:val="Medium Grid 1 - Accent 117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2">
    <w:name w:val="Light Shading - Accent 1117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2">
    <w:name w:val="RSP_Style172"/>
    <w:basedOn w:val="TableNormal"/>
    <w:uiPriority w:val="99"/>
    <w:qFormat/>
    <w:rsid w:val="00D97E2B"/>
    <w:pPr>
      <w:spacing w:after="0" w:line="240" w:lineRule="auto"/>
    </w:pPr>
    <w:tblPr/>
  </w:style>
  <w:style w:type="table" w:customStyle="1" w:styleId="20122tableformat172">
    <w:name w:val="2012 2 table format17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2">
    <w:name w:val="Medium Grid 1 - Accent 617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2">
    <w:name w:val="Light List - Accent 617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2">
    <w:name w:val="Light Grid - Accent 1117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2">
    <w:name w:val="2012 Style17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2">
    <w:name w:val="Light Shading - Accent 1217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2">
    <w:name w:val="Medium Shading 1 - Accent 47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2">
    <w:name w:val="No List242"/>
    <w:next w:val="NoList"/>
    <w:uiPriority w:val="99"/>
    <w:semiHidden/>
    <w:unhideWhenUsed/>
    <w:rsid w:val="00D97E2B"/>
  </w:style>
  <w:style w:type="numbering" w:customStyle="1" w:styleId="CurrentList1242">
    <w:name w:val="Current List1242"/>
    <w:rsid w:val="00D97E2B"/>
  </w:style>
  <w:style w:type="numbering" w:customStyle="1" w:styleId="BulletedList242">
    <w:name w:val="Bulleted List242"/>
    <w:rsid w:val="00D97E2B"/>
  </w:style>
  <w:style w:type="numbering" w:customStyle="1" w:styleId="NoList1142">
    <w:name w:val="No List1142"/>
    <w:next w:val="NoList"/>
    <w:uiPriority w:val="99"/>
    <w:semiHidden/>
    <w:unhideWhenUsed/>
    <w:rsid w:val="00D97E2B"/>
  </w:style>
  <w:style w:type="numbering" w:customStyle="1" w:styleId="CurrentList11142">
    <w:name w:val="Current List11142"/>
    <w:rsid w:val="00D97E2B"/>
  </w:style>
  <w:style w:type="numbering" w:customStyle="1" w:styleId="BulletedList1142">
    <w:name w:val="Bulleted List1142"/>
    <w:rsid w:val="00D97E2B"/>
  </w:style>
  <w:style w:type="numbering" w:customStyle="1" w:styleId="NoList342">
    <w:name w:val="No List342"/>
    <w:next w:val="NoList"/>
    <w:uiPriority w:val="99"/>
    <w:semiHidden/>
    <w:unhideWhenUsed/>
    <w:rsid w:val="00D97E2B"/>
  </w:style>
  <w:style w:type="table" w:customStyle="1" w:styleId="TableGrid242">
    <w:name w:val="Table Grid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2">
    <w:name w:val="Light Shading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2">
    <w:name w:val="Light Grid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2">
    <w:name w:val="Medium Shading 1 - Accent 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2">
    <w:name w:val="Medium Grid 1 - Accent 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2">
    <w:name w:val="Light Shading - Accent 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2">
    <w:name w:val="RSP_Style242"/>
    <w:basedOn w:val="TableNormal"/>
    <w:uiPriority w:val="99"/>
    <w:qFormat/>
    <w:rsid w:val="00D97E2B"/>
    <w:pPr>
      <w:spacing w:after="0" w:line="240" w:lineRule="auto"/>
    </w:pPr>
    <w:tblPr/>
  </w:style>
  <w:style w:type="table" w:customStyle="1" w:styleId="20122tableformat242">
    <w:name w:val="2012 2 table format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2">
    <w:name w:val="Medium Grid 1 - Accent 6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2">
    <w:name w:val="Light List - Accent 6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2">
    <w:name w:val="Light Grid - Accent 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2">
    <w:name w:val="2012 Style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2">
    <w:name w:val="Light Shading - Accent 12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2">
    <w:name w:val="No List1242"/>
    <w:next w:val="NoList"/>
    <w:uiPriority w:val="99"/>
    <w:semiHidden/>
    <w:unhideWhenUsed/>
    <w:rsid w:val="00D97E2B"/>
  </w:style>
  <w:style w:type="numbering" w:customStyle="1" w:styleId="CurrentList11242">
    <w:name w:val="Current List11242"/>
    <w:rsid w:val="00D97E2B"/>
  </w:style>
  <w:style w:type="table" w:customStyle="1" w:styleId="TableGrid1142">
    <w:name w:val="Table Grid1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2">
    <w:name w:val="Bulleted List1242"/>
    <w:rsid w:val="00D97E2B"/>
  </w:style>
  <w:style w:type="table" w:customStyle="1" w:styleId="LightShading11142">
    <w:name w:val="Light Shading111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2">
    <w:name w:val="Light Grid111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2">
    <w:name w:val="Medium Shading 1 - Accent 1111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2">
    <w:name w:val="Medium Grid 1 - Accent 111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2">
    <w:name w:val="Light Shading - Accent 1111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2">
    <w:name w:val="RSP_Style1142"/>
    <w:basedOn w:val="TableNormal"/>
    <w:uiPriority w:val="99"/>
    <w:qFormat/>
    <w:rsid w:val="00D97E2B"/>
    <w:pPr>
      <w:spacing w:after="0" w:line="240" w:lineRule="auto"/>
    </w:pPr>
    <w:tblPr/>
  </w:style>
  <w:style w:type="table" w:customStyle="1" w:styleId="20122tableformat1142">
    <w:name w:val="2012 2 table format11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2">
    <w:name w:val="Medium Grid 1 - Accent 611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2">
    <w:name w:val="Light List - Accent 611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2">
    <w:name w:val="Light Grid - Accent 1111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2">
    <w:name w:val="2012 Style11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2">
    <w:name w:val="Light Shading - Accent 1211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2">
    <w:name w:val="Medium Shading 1 - Accent 41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2">
    <w:name w:val="No List442"/>
    <w:next w:val="NoList"/>
    <w:uiPriority w:val="99"/>
    <w:semiHidden/>
    <w:unhideWhenUsed/>
    <w:rsid w:val="00D97E2B"/>
  </w:style>
  <w:style w:type="table" w:customStyle="1" w:styleId="TableGrid352">
    <w:name w:val="Table Grid3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2">
    <w:name w:val="Light Shading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2">
    <w:name w:val="Light Grid13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2">
    <w:name w:val="Medium Shading 1 - Accent 113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2">
    <w:name w:val="Medium Grid 1 - Accent 13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2">
    <w:name w:val="Light Shading - Accent 113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2">
    <w:name w:val="RSP_Style342"/>
    <w:basedOn w:val="TableNormal"/>
    <w:uiPriority w:val="99"/>
    <w:qFormat/>
    <w:rsid w:val="00D97E2B"/>
    <w:pPr>
      <w:spacing w:after="0" w:line="240" w:lineRule="auto"/>
    </w:pPr>
    <w:tblPr/>
  </w:style>
  <w:style w:type="table" w:customStyle="1" w:styleId="20122tableformat342">
    <w:name w:val="2012 2 table format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2">
    <w:name w:val="Medium Grid 1 - Accent 63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2">
    <w:name w:val="Light List - Accent 63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2">
    <w:name w:val="Light Grid - Accent 113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2">
    <w:name w:val="2012 Style3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2">
    <w:name w:val="Light Shading - Accent 12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2">
    <w:name w:val="No List1342"/>
    <w:next w:val="NoList"/>
    <w:uiPriority w:val="99"/>
    <w:semiHidden/>
    <w:unhideWhenUsed/>
    <w:rsid w:val="00D97E2B"/>
  </w:style>
  <w:style w:type="numbering" w:customStyle="1" w:styleId="CurrentList11342">
    <w:name w:val="Current List11342"/>
    <w:rsid w:val="00D97E2B"/>
  </w:style>
  <w:style w:type="table" w:customStyle="1" w:styleId="TableGrid1242">
    <w:name w:val="Table Grid12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2">
    <w:name w:val="Bulleted List1342"/>
    <w:rsid w:val="00D97E2B"/>
  </w:style>
  <w:style w:type="table" w:customStyle="1" w:styleId="LightShading11242">
    <w:name w:val="Light Shading112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2">
    <w:name w:val="Light Grid1124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2">
    <w:name w:val="Medium Shading 1 - Accent 11124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2">
    <w:name w:val="Medium Grid 1 - Accent 1124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2">
    <w:name w:val="Light Shading - Accent 11124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2">
    <w:name w:val="RSP_Style1242"/>
    <w:basedOn w:val="TableNormal"/>
    <w:uiPriority w:val="99"/>
    <w:qFormat/>
    <w:rsid w:val="00D97E2B"/>
    <w:pPr>
      <w:spacing w:after="0" w:line="240" w:lineRule="auto"/>
    </w:pPr>
    <w:tblPr/>
  </w:style>
  <w:style w:type="table" w:customStyle="1" w:styleId="20122tableformat1242">
    <w:name w:val="2012 2 table format12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2">
    <w:name w:val="Medium Grid 1 - Accent 6124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2">
    <w:name w:val="Light List - Accent 6124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2">
    <w:name w:val="Light Grid - Accent 11124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2">
    <w:name w:val="2012 Style124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2">
    <w:name w:val="Light Shading - Accent 1212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2">
    <w:name w:val="Medium Shading 1 - Accent 424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2">
    <w:name w:val="Current List1342"/>
    <w:rsid w:val="00D97E2B"/>
  </w:style>
  <w:style w:type="table" w:customStyle="1" w:styleId="TableGrid3142">
    <w:name w:val="Table Grid31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D97E2B"/>
  </w:style>
  <w:style w:type="numbering" w:customStyle="1" w:styleId="CurrentList1442">
    <w:name w:val="Current List1442"/>
    <w:rsid w:val="00D97E2B"/>
  </w:style>
  <w:style w:type="table" w:customStyle="1" w:styleId="TableGrid442">
    <w:name w:val="Table Grid4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2">
    <w:name w:val="Bulleted List342"/>
    <w:rsid w:val="00D97E2B"/>
  </w:style>
  <w:style w:type="table" w:customStyle="1" w:styleId="LightShading1442">
    <w:name w:val="Light Shading14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2">
    <w:name w:val="Light Grid14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2">
    <w:name w:val="Medium Shading 1 - Accent 114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2">
    <w:name w:val="Medium Grid 1 - Accent 14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2">
    <w:name w:val="Light Shading - Accent 114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2">
    <w:name w:val="RSP_Style442"/>
    <w:basedOn w:val="TableNormal"/>
    <w:uiPriority w:val="99"/>
    <w:qFormat/>
    <w:rsid w:val="00D97E2B"/>
    <w:pPr>
      <w:spacing w:after="0" w:line="240" w:lineRule="auto"/>
    </w:pPr>
    <w:rPr>
      <w:rFonts w:ascii="Cambria" w:hAnsi="Cambria"/>
      <w:color w:val="auto"/>
    </w:rPr>
    <w:tblPr/>
  </w:style>
  <w:style w:type="table" w:customStyle="1" w:styleId="20122tableformat442">
    <w:name w:val="2012 2 table format4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2">
    <w:name w:val="Medium Grid 1 - Accent 64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2">
    <w:name w:val="Light List - Accent 64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2">
    <w:name w:val="Light Grid - Accent 114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2">
    <w:name w:val="2012 Style4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2">
    <w:name w:val="Light Shading - Accent 124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2">
    <w:name w:val="No List1442"/>
    <w:next w:val="NoList"/>
    <w:uiPriority w:val="99"/>
    <w:semiHidden/>
    <w:unhideWhenUsed/>
    <w:rsid w:val="00D97E2B"/>
  </w:style>
  <w:style w:type="numbering" w:customStyle="1" w:styleId="CurrentList11442">
    <w:name w:val="Current List11442"/>
    <w:rsid w:val="00D97E2B"/>
  </w:style>
  <w:style w:type="table" w:customStyle="1" w:styleId="TableGrid1342">
    <w:name w:val="Table Grid134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2">
    <w:name w:val="Bulleted List1442"/>
    <w:rsid w:val="00D97E2B"/>
  </w:style>
  <w:style w:type="table" w:customStyle="1" w:styleId="LightShading11342">
    <w:name w:val="Light Shading1134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2">
    <w:name w:val="Light Grid1134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2">
    <w:name w:val="Medium Shading 1 - Accent 11134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2">
    <w:name w:val="Medium Grid 1 - Accent 1134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2">
    <w:name w:val="Light Shading - Accent 11134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2">
    <w:name w:val="RSP_Style1342"/>
    <w:basedOn w:val="TableNormal"/>
    <w:uiPriority w:val="99"/>
    <w:qFormat/>
    <w:rsid w:val="00D97E2B"/>
    <w:pPr>
      <w:spacing w:after="0" w:line="240" w:lineRule="auto"/>
    </w:pPr>
    <w:rPr>
      <w:rFonts w:ascii="Cambria" w:hAnsi="Cambria"/>
      <w:color w:val="auto"/>
    </w:rPr>
    <w:tblPr/>
  </w:style>
  <w:style w:type="table" w:customStyle="1" w:styleId="20122tableformat1342">
    <w:name w:val="2012 2 table format134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2">
    <w:name w:val="Medium Grid 1 - Accent 6134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2">
    <w:name w:val="Light List - Accent 6134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2">
    <w:name w:val="Light Grid - Accent 11134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2">
    <w:name w:val="2012 Style134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2">
    <w:name w:val="Light Shading - Accent 12134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2">
    <w:name w:val="Medium Shading 1 - Accent 434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2">
    <w:name w:val="Table Grid54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D97E2B"/>
  </w:style>
  <w:style w:type="numbering" w:customStyle="1" w:styleId="CurrentList182">
    <w:name w:val="Current List182"/>
    <w:rsid w:val="00D97E2B"/>
  </w:style>
  <w:style w:type="table" w:customStyle="1" w:styleId="TableGrid102">
    <w:name w:val="Table Grid10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2">
    <w:name w:val="Light Shading19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2">
    <w:name w:val="Light Grid19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2">
    <w:name w:val="Medium Shading 1 - Accent 119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2">
    <w:name w:val="Medium Grid 1 - Accent 19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2">
    <w:name w:val="Light Shading - Accent 119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2">
    <w:name w:val="RSP_Style92"/>
    <w:basedOn w:val="TableNormal"/>
    <w:uiPriority w:val="99"/>
    <w:qFormat/>
    <w:rsid w:val="00D97E2B"/>
    <w:pPr>
      <w:spacing w:after="0" w:line="240" w:lineRule="auto"/>
    </w:pPr>
    <w:tblPr/>
  </w:style>
  <w:style w:type="table" w:customStyle="1" w:styleId="20122tableformat92">
    <w:name w:val="2012 2 table format9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2">
    <w:name w:val="Medium Grid 1 - Accent 69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2">
    <w:name w:val="Light List - Accent 69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2">
    <w:name w:val="Light Grid - Accent 119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2">
    <w:name w:val="2012 Style9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2">
    <w:name w:val="Light Shading - Accent 129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2">
    <w:name w:val="No List192"/>
    <w:next w:val="NoList"/>
    <w:uiPriority w:val="99"/>
    <w:semiHidden/>
    <w:unhideWhenUsed/>
    <w:rsid w:val="00D97E2B"/>
  </w:style>
  <w:style w:type="numbering" w:customStyle="1" w:styleId="CurrentList1192">
    <w:name w:val="Current List1192"/>
    <w:rsid w:val="00D97E2B"/>
  </w:style>
  <w:style w:type="table" w:customStyle="1" w:styleId="TableGrid182">
    <w:name w:val="Table Grid18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2">
    <w:name w:val="Bulleted List192"/>
    <w:rsid w:val="00D97E2B"/>
  </w:style>
  <w:style w:type="table" w:customStyle="1" w:styleId="LightShading1182">
    <w:name w:val="Light Shading118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2">
    <w:name w:val="Light Grid118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2">
    <w:name w:val="Medium Shading 1 - Accent 1118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2">
    <w:name w:val="Medium Grid 1 - Accent 118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2">
    <w:name w:val="Light Shading - Accent 1118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2">
    <w:name w:val="RSP_Style182"/>
    <w:basedOn w:val="TableNormal"/>
    <w:uiPriority w:val="99"/>
    <w:qFormat/>
    <w:rsid w:val="00D97E2B"/>
    <w:pPr>
      <w:spacing w:after="0" w:line="240" w:lineRule="auto"/>
    </w:pPr>
    <w:tblPr/>
  </w:style>
  <w:style w:type="table" w:customStyle="1" w:styleId="20122tableformat182">
    <w:name w:val="2012 2 table format18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2">
    <w:name w:val="Medium Grid 1 - Accent 618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2">
    <w:name w:val="Light List - Accent 618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2">
    <w:name w:val="Light Grid - Accent 1118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2">
    <w:name w:val="2012 Style18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2">
    <w:name w:val="Light Shading - Accent 1218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2">
    <w:name w:val="Medium Shading 1 - Accent 48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2">
    <w:name w:val="No List252"/>
    <w:next w:val="NoList"/>
    <w:uiPriority w:val="99"/>
    <w:semiHidden/>
    <w:unhideWhenUsed/>
    <w:rsid w:val="00D97E2B"/>
  </w:style>
  <w:style w:type="numbering" w:customStyle="1" w:styleId="CurrentList1252">
    <w:name w:val="Current List1252"/>
    <w:rsid w:val="00D97E2B"/>
  </w:style>
  <w:style w:type="numbering" w:customStyle="1" w:styleId="BulletedList252">
    <w:name w:val="Bulleted List252"/>
    <w:rsid w:val="00D97E2B"/>
  </w:style>
  <w:style w:type="numbering" w:customStyle="1" w:styleId="NoList1152">
    <w:name w:val="No List1152"/>
    <w:next w:val="NoList"/>
    <w:uiPriority w:val="99"/>
    <w:semiHidden/>
    <w:unhideWhenUsed/>
    <w:rsid w:val="00D97E2B"/>
  </w:style>
  <w:style w:type="numbering" w:customStyle="1" w:styleId="CurrentList11152">
    <w:name w:val="Current List11152"/>
    <w:rsid w:val="00D97E2B"/>
  </w:style>
  <w:style w:type="numbering" w:customStyle="1" w:styleId="BulletedList1152">
    <w:name w:val="Bulleted List1152"/>
    <w:rsid w:val="00D97E2B"/>
  </w:style>
  <w:style w:type="numbering" w:customStyle="1" w:styleId="NoList352">
    <w:name w:val="No List352"/>
    <w:next w:val="NoList"/>
    <w:uiPriority w:val="99"/>
    <w:semiHidden/>
    <w:unhideWhenUsed/>
    <w:rsid w:val="00D97E2B"/>
  </w:style>
  <w:style w:type="table" w:customStyle="1" w:styleId="TableGrid252">
    <w:name w:val="Table Grid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2">
    <w:name w:val="Light Shading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2">
    <w:name w:val="Light Grid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2">
    <w:name w:val="Medium Shading 1 - Accent 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2">
    <w:name w:val="Medium Grid 1 - Accent 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2">
    <w:name w:val="Light Shading - Accent 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2">
    <w:name w:val="RSP_Style252"/>
    <w:basedOn w:val="TableNormal"/>
    <w:uiPriority w:val="99"/>
    <w:qFormat/>
    <w:rsid w:val="00D97E2B"/>
    <w:pPr>
      <w:spacing w:after="0" w:line="240" w:lineRule="auto"/>
    </w:pPr>
    <w:tblPr/>
  </w:style>
  <w:style w:type="table" w:customStyle="1" w:styleId="20122tableformat252">
    <w:name w:val="2012 2 table format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2">
    <w:name w:val="Medium Grid 1 - Accent 6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2">
    <w:name w:val="Light List - Accent 6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2">
    <w:name w:val="Light Grid - Accent 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2">
    <w:name w:val="2012 Style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2">
    <w:name w:val="Light Shading - Accent 12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2">
    <w:name w:val="No List1252"/>
    <w:next w:val="NoList"/>
    <w:uiPriority w:val="99"/>
    <w:semiHidden/>
    <w:unhideWhenUsed/>
    <w:rsid w:val="00D97E2B"/>
  </w:style>
  <w:style w:type="numbering" w:customStyle="1" w:styleId="CurrentList11252">
    <w:name w:val="Current List11252"/>
    <w:rsid w:val="00D97E2B"/>
  </w:style>
  <w:style w:type="table" w:customStyle="1" w:styleId="TableGrid1152">
    <w:name w:val="Table Grid1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2">
    <w:name w:val="Bulleted List1252"/>
    <w:rsid w:val="00D97E2B"/>
  </w:style>
  <w:style w:type="table" w:customStyle="1" w:styleId="LightShading11152">
    <w:name w:val="Light Shading111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2">
    <w:name w:val="Light Grid111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2">
    <w:name w:val="Medium Shading 1 - Accent 1111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2">
    <w:name w:val="Medium Grid 1 - Accent 111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2">
    <w:name w:val="Light Shading - Accent 1111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2">
    <w:name w:val="RSP_Style1152"/>
    <w:basedOn w:val="TableNormal"/>
    <w:uiPriority w:val="99"/>
    <w:qFormat/>
    <w:rsid w:val="00D97E2B"/>
    <w:pPr>
      <w:spacing w:after="0" w:line="240" w:lineRule="auto"/>
    </w:pPr>
    <w:tblPr/>
  </w:style>
  <w:style w:type="table" w:customStyle="1" w:styleId="20122tableformat1152">
    <w:name w:val="2012 2 table format11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2">
    <w:name w:val="Medium Grid 1 - Accent 611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2">
    <w:name w:val="Light List - Accent 611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2">
    <w:name w:val="Light Grid - Accent 1111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2">
    <w:name w:val="2012 Style11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2">
    <w:name w:val="Light Shading - Accent 1211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2">
    <w:name w:val="Medium Shading 1 - Accent 41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2">
    <w:name w:val="No List452"/>
    <w:next w:val="NoList"/>
    <w:uiPriority w:val="99"/>
    <w:semiHidden/>
    <w:unhideWhenUsed/>
    <w:rsid w:val="00D97E2B"/>
  </w:style>
  <w:style w:type="table" w:customStyle="1" w:styleId="TableGrid362">
    <w:name w:val="Table Grid3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2">
    <w:name w:val="Light Shading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2">
    <w:name w:val="Light Grid13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2">
    <w:name w:val="Medium Shading 1 - Accent 113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2">
    <w:name w:val="Medium Grid 1 - Accent 13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2">
    <w:name w:val="Light Shading - Accent 113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2">
    <w:name w:val="RSP_Style352"/>
    <w:basedOn w:val="TableNormal"/>
    <w:uiPriority w:val="99"/>
    <w:qFormat/>
    <w:rsid w:val="00D97E2B"/>
    <w:pPr>
      <w:spacing w:after="0" w:line="240" w:lineRule="auto"/>
    </w:pPr>
    <w:tblPr/>
  </w:style>
  <w:style w:type="table" w:customStyle="1" w:styleId="20122tableformat352">
    <w:name w:val="2012 2 table format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2">
    <w:name w:val="Medium Grid 1 - Accent 63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2">
    <w:name w:val="Light List - Accent 63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2">
    <w:name w:val="Light Grid - Accent 113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2">
    <w:name w:val="2012 Style3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2">
    <w:name w:val="Light Shading - Accent 12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2">
    <w:name w:val="No List1352"/>
    <w:next w:val="NoList"/>
    <w:uiPriority w:val="99"/>
    <w:semiHidden/>
    <w:unhideWhenUsed/>
    <w:rsid w:val="00D97E2B"/>
  </w:style>
  <w:style w:type="numbering" w:customStyle="1" w:styleId="CurrentList11352">
    <w:name w:val="Current List11352"/>
    <w:rsid w:val="00D97E2B"/>
  </w:style>
  <w:style w:type="table" w:customStyle="1" w:styleId="TableGrid1252">
    <w:name w:val="Table Grid12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2">
    <w:name w:val="Bulleted List1352"/>
    <w:rsid w:val="00D97E2B"/>
  </w:style>
  <w:style w:type="table" w:customStyle="1" w:styleId="LightShading11252">
    <w:name w:val="Light Shading112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2">
    <w:name w:val="Light Grid11252"/>
    <w:basedOn w:val="TableNormal"/>
    <w:uiPriority w:val="62"/>
    <w:rsid w:val="00D97E2B"/>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2">
    <w:name w:val="Medium Shading 1 - Accent 111252"/>
    <w:basedOn w:val="TableNormal"/>
    <w:uiPriority w:val="63"/>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2">
    <w:name w:val="Medium Grid 1 - Accent 11252"/>
    <w:basedOn w:val="TableNormal"/>
    <w:next w:val="MediumGrid1-Accent1"/>
    <w:uiPriority w:val="67"/>
    <w:rsid w:val="00D97E2B"/>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2">
    <w:name w:val="Light Shading - Accent 111252"/>
    <w:basedOn w:val="TableNormal"/>
    <w:uiPriority w:val="60"/>
    <w:rsid w:val="00D97E2B"/>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2">
    <w:name w:val="RSP_Style1252"/>
    <w:basedOn w:val="TableNormal"/>
    <w:uiPriority w:val="99"/>
    <w:qFormat/>
    <w:rsid w:val="00D97E2B"/>
    <w:pPr>
      <w:spacing w:after="0" w:line="240" w:lineRule="auto"/>
    </w:pPr>
    <w:tblPr/>
  </w:style>
  <w:style w:type="table" w:customStyle="1" w:styleId="20122tableformat1252">
    <w:name w:val="2012 2 table format12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2">
    <w:name w:val="Medium Grid 1 - Accent 61252"/>
    <w:basedOn w:val="TableNormal"/>
    <w:next w:val="MediumGrid1-Accent6"/>
    <w:uiPriority w:val="67"/>
    <w:rsid w:val="00D97E2B"/>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2">
    <w:name w:val="Light List - Accent 61252"/>
    <w:basedOn w:val="TableNormal"/>
    <w:next w:val="LightList-Accent6"/>
    <w:uiPriority w:val="61"/>
    <w:rsid w:val="00D97E2B"/>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2">
    <w:name w:val="Light Grid - Accent 111252"/>
    <w:basedOn w:val="TableNormal"/>
    <w:uiPriority w:val="62"/>
    <w:rsid w:val="00D97E2B"/>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2">
    <w:name w:val="2012 Style1252"/>
    <w:basedOn w:val="TableNormal"/>
    <w:uiPriority w:val="99"/>
    <w:qFormat/>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2">
    <w:name w:val="Light Shading - Accent 1212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2">
    <w:name w:val="Medium Shading 1 - Accent 4252"/>
    <w:basedOn w:val="TableNormal"/>
    <w:next w:val="MediumShading1-Accent4"/>
    <w:uiPriority w:val="63"/>
    <w:rsid w:val="00D97E2B"/>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2">
    <w:name w:val="Current List1352"/>
    <w:rsid w:val="00D97E2B"/>
  </w:style>
  <w:style w:type="table" w:customStyle="1" w:styleId="TableGrid3152">
    <w:name w:val="Table Grid31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D97E2B"/>
  </w:style>
  <w:style w:type="numbering" w:customStyle="1" w:styleId="CurrentList1452">
    <w:name w:val="Current List1452"/>
    <w:rsid w:val="00D97E2B"/>
  </w:style>
  <w:style w:type="table" w:customStyle="1" w:styleId="TableGrid452">
    <w:name w:val="Table Grid4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2">
    <w:name w:val="Bulleted List352"/>
    <w:rsid w:val="00D97E2B"/>
  </w:style>
  <w:style w:type="table" w:customStyle="1" w:styleId="LightShading1452">
    <w:name w:val="Light Shading14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2">
    <w:name w:val="Light Grid14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2">
    <w:name w:val="Medium Shading 1 - Accent 114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2">
    <w:name w:val="Medium Grid 1 - Accent 14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2">
    <w:name w:val="Light Shading - Accent 114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2">
    <w:name w:val="RSP_Style452"/>
    <w:basedOn w:val="TableNormal"/>
    <w:uiPriority w:val="99"/>
    <w:qFormat/>
    <w:rsid w:val="00D97E2B"/>
    <w:pPr>
      <w:spacing w:after="0" w:line="240" w:lineRule="auto"/>
    </w:pPr>
    <w:rPr>
      <w:rFonts w:ascii="Cambria" w:hAnsi="Cambria"/>
      <w:color w:val="auto"/>
    </w:rPr>
    <w:tblPr/>
  </w:style>
  <w:style w:type="table" w:customStyle="1" w:styleId="20122tableformat452">
    <w:name w:val="2012 2 table format4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2">
    <w:name w:val="Medium Grid 1 - Accent 64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2">
    <w:name w:val="Light List - Accent 64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2">
    <w:name w:val="Light Grid - Accent 114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2">
    <w:name w:val="2012 Style4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2">
    <w:name w:val="Light Shading - Accent 124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2">
    <w:name w:val="No List1452"/>
    <w:next w:val="NoList"/>
    <w:uiPriority w:val="99"/>
    <w:semiHidden/>
    <w:unhideWhenUsed/>
    <w:rsid w:val="00D97E2B"/>
  </w:style>
  <w:style w:type="numbering" w:customStyle="1" w:styleId="CurrentList11452">
    <w:name w:val="Current List11452"/>
    <w:rsid w:val="00D97E2B"/>
  </w:style>
  <w:style w:type="table" w:customStyle="1" w:styleId="TableGrid1352">
    <w:name w:val="Table Grid1352"/>
    <w:basedOn w:val="TableNormal"/>
    <w:next w:val="TableGrid"/>
    <w:uiPriority w:val="59"/>
    <w:rsid w:val="00D97E2B"/>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2">
    <w:name w:val="Bulleted List1452"/>
    <w:rsid w:val="00D97E2B"/>
  </w:style>
  <w:style w:type="table" w:customStyle="1" w:styleId="LightShading11352">
    <w:name w:val="Light Shading11352"/>
    <w:basedOn w:val="TableNormal"/>
    <w:uiPriority w:val="60"/>
    <w:rsid w:val="00D97E2B"/>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2">
    <w:name w:val="Light Grid11352"/>
    <w:basedOn w:val="TableNormal"/>
    <w:uiPriority w:val="62"/>
    <w:rsid w:val="00D97E2B"/>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2">
    <w:name w:val="Medium Shading 1 - Accent 111352"/>
    <w:basedOn w:val="TableNormal"/>
    <w:uiPriority w:val="63"/>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2">
    <w:name w:val="Medium Grid 1 - Accent 11352"/>
    <w:basedOn w:val="TableNormal"/>
    <w:next w:val="MediumGrid1-Accent1"/>
    <w:uiPriority w:val="67"/>
    <w:rsid w:val="00D97E2B"/>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2">
    <w:name w:val="Light Shading - Accent 111352"/>
    <w:basedOn w:val="TableNormal"/>
    <w:uiPriority w:val="60"/>
    <w:rsid w:val="00D97E2B"/>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2">
    <w:name w:val="RSP_Style1352"/>
    <w:basedOn w:val="TableNormal"/>
    <w:uiPriority w:val="99"/>
    <w:qFormat/>
    <w:rsid w:val="00D97E2B"/>
    <w:pPr>
      <w:spacing w:after="0" w:line="240" w:lineRule="auto"/>
    </w:pPr>
    <w:rPr>
      <w:rFonts w:ascii="Cambria" w:hAnsi="Cambria"/>
      <w:color w:val="auto"/>
    </w:rPr>
    <w:tblPr/>
  </w:style>
  <w:style w:type="table" w:customStyle="1" w:styleId="20122tableformat1352">
    <w:name w:val="2012 2 table format1352"/>
    <w:basedOn w:val="TableNormal"/>
    <w:uiPriority w:val="63"/>
    <w:rsid w:val="00D97E2B"/>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2">
    <w:name w:val="Medium Grid 1 - Accent 61352"/>
    <w:basedOn w:val="TableNormal"/>
    <w:next w:val="MediumGrid1-Accent6"/>
    <w:uiPriority w:val="67"/>
    <w:rsid w:val="00D97E2B"/>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2">
    <w:name w:val="Light List - Accent 61352"/>
    <w:basedOn w:val="TableNormal"/>
    <w:next w:val="LightList-Accent6"/>
    <w:uiPriority w:val="61"/>
    <w:rsid w:val="00D97E2B"/>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2">
    <w:name w:val="Light Grid - Accent 111352"/>
    <w:basedOn w:val="TableNormal"/>
    <w:uiPriority w:val="62"/>
    <w:rsid w:val="00D97E2B"/>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2">
    <w:name w:val="2012 Style1352"/>
    <w:basedOn w:val="TableNormal"/>
    <w:uiPriority w:val="99"/>
    <w:qFormat/>
    <w:rsid w:val="00D97E2B"/>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2">
    <w:name w:val="Light Shading - Accent 121352"/>
    <w:basedOn w:val="TableNormal"/>
    <w:uiPriority w:val="60"/>
    <w:rsid w:val="00D97E2B"/>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2">
    <w:name w:val="Medium Shading 1 - Accent 4352"/>
    <w:basedOn w:val="TableNormal"/>
    <w:next w:val="MediumShading1-Accent4"/>
    <w:uiPriority w:val="63"/>
    <w:rsid w:val="00D97E2B"/>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2">
    <w:name w:val="Table Grid55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D97E2B"/>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3">
    <w:name w:val="ISO Report Style3"/>
    <w:uiPriority w:val="99"/>
    <w:rsid w:val="00EF0A96"/>
  </w:style>
  <w:style w:type="numbering" w:customStyle="1" w:styleId="ISOReportStyle4">
    <w:name w:val="ISO Report Style4"/>
    <w:uiPriority w:val="99"/>
    <w:rsid w:val="001B747C"/>
  </w:style>
  <w:style w:type="numbering" w:customStyle="1" w:styleId="NoList29">
    <w:name w:val="No List29"/>
    <w:next w:val="NoList"/>
    <w:uiPriority w:val="99"/>
    <w:semiHidden/>
    <w:unhideWhenUsed/>
    <w:rsid w:val="00C95C96"/>
  </w:style>
  <w:style w:type="numbering" w:customStyle="1" w:styleId="CurrentList120">
    <w:name w:val="Current List120"/>
    <w:rsid w:val="00C95C96"/>
  </w:style>
  <w:style w:type="table" w:customStyle="1" w:styleId="TableGrid28">
    <w:name w:val="Table Grid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8">
    <w:name w:val="Light Shading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8">
    <w:name w:val="Light Grid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8">
    <w:name w:val="Medium Shading 1 - Accent 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8">
    <w:name w:val="Medium Grid 1 - Accent 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8">
    <w:name w:val="Light Shading - Accent 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8">
    <w:name w:val="RSP_Style28"/>
    <w:basedOn w:val="TableNormal"/>
    <w:uiPriority w:val="99"/>
    <w:qFormat/>
    <w:rsid w:val="00C95C96"/>
    <w:pPr>
      <w:spacing w:after="0" w:line="240" w:lineRule="auto"/>
    </w:pPr>
    <w:tblPr/>
  </w:style>
  <w:style w:type="table" w:customStyle="1" w:styleId="20122tableformat28">
    <w:name w:val="2012 2 table format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8">
    <w:name w:val="Medium Grid 1 - Accent 6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8">
    <w:name w:val="Light List - Accent 6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8">
    <w:name w:val="Light Grid - Accent 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8">
    <w:name w:val="2012 Style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8">
    <w:name w:val="Light Shading - Accent 12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9">
    <w:name w:val="No List119"/>
    <w:next w:val="NoList"/>
    <w:uiPriority w:val="99"/>
    <w:semiHidden/>
    <w:unhideWhenUsed/>
    <w:rsid w:val="00C95C96"/>
  </w:style>
  <w:style w:type="numbering" w:customStyle="1" w:styleId="CurrentList1119">
    <w:name w:val="Current List1119"/>
    <w:rsid w:val="00C95C96"/>
  </w:style>
  <w:style w:type="table" w:customStyle="1" w:styleId="TableGrid119">
    <w:name w:val="Table Grid11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9">
    <w:name w:val="Bulleted List119"/>
    <w:rsid w:val="00C95C96"/>
  </w:style>
  <w:style w:type="table" w:customStyle="1" w:styleId="LightShading1118">
    <w:name w:val="Light Shading111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8">
    <w:name w:val="Light Grid111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8">
    <w:name w:val="Medium Shading 1 - Accent 1111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8">
    <w:name w:val="Medium Grid 1 - Accent 111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8">
    <w:name w:val="Light Shading - Accent 1111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8">
    <w:name w:val="RSP_Style118"/>
    <w:basedOn w:val="TableNormal"/>
    <w:uiPriority w:val="99"/>
    <w:qFormat/>
    <w:rsid w:val="00C95C96"/>
    <w:pPr>
      <w:spacing w:after="0" w:line="240" w:lineRule="auto"/>
    </w:pPr>
    <w:tblPr/>
  </w:style>
  <w:style w:type="table" w:customStyle="1" w:styleId="20122tableformat118">
    <w:name w:val="2012 2 table format11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8">
    <w:name w:val="Medium Grid 1 - Accent 611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8">
    <w:name w:val="Light List - Accent 611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8">
    <w:name w:val="Light Grid - Accent 1111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8">
    <w:name w:val="2012 Style11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8">
    <w:name w:val="Light Shading - Accent 1211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8">
    <w:name w:val="Medium Shading 1 - Accent 41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0">
    <w:name w:val="No List210"/>
    <w:next w:val="NoList"/>
    <w:uiPriority w:val="99"/>
    <w:semiHidden/>
    <w:unhideWhenUsed/>
    <w:rsid w:val="00C95C96"/>
  </w:style>
  <w:style w:type="numbering" w:customStyle="1" w:styleId="CurrentList128">
    <w:name w:val="Current List128"/>
    <w:rsid w:val="00C95C96"/>
  </w:style>
  <w:style w:type="numbering" w:customStyle="1" w:styleId="BulletedList28">
    <w:name w:val="Bulleted List28"/>
    <w:rsid w:val="00C95C96"/>
  </w:style>
  <w:style w:type="numbering" w:customStyle="1" w:styleId="NoList1110">
    <w:name w:val="No List1110"/>
    <w:next w:val="NoList"/>
    <w:uiPriority w:val="99"/>
    <w:semiHidden/>
    <w:unhideWhenUsed/>
    <w:rsid w:val="00C95C96"/>
  </w:style>
  <w:style w:type="numbering" w:customStyle="1" w:styleId="CurrentList11110">
    <w:name w:val="Current List11110"/>
    <w:rsid w:val="00C95C96"/>
  </w:style>
  <w:style w:type="numbering" w:customStyle="1" w:styleId="BulletedList1110">
    <w:name w:val="Bulleted List1110"/>
    <w:rsid w:val="00C95C96"/>
  </w:style>
  <w:style w:type="numbering" w:customStyle="1" w:styleId="NoList38">
    <w:name w:val="No List38"/>
    <w:next w:val="NoList"/>
    <w:uiPriority w:val="99"/>
    <w:semiHidden/>
    <w:unhideWhenUsed/>
    <w:rsid w:val="00C95C96"/>
  </w:style>
  <w:style w:type="table" w:customStyle="1" w:styleId="TableGrid29">
    <w:name w:val="Table Grid2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9">
    <w:name w:val="Light Shading12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9">
    <w:name w:val="Light Grid12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9">
    <w:name w:val="Medium Shading 1 - Accent 112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9">
    <w:name w:val="Medium Grid 1 - Accent 12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9">
    <w:name w:val="Light Shading - Accent 112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9">
    <w:name w:val="RSP_Style29"/>
    <w:basedOn w:val="TableNormal"/>
    <w:uiPriority w:val="99"/>
    <w:qFormat/>
    <w:rsid w:val="00C95C96"/>
    <w:pPr>
      <w:spacing w:after="0" w:line="240" w:lineRule="auto"/>
    </w:pPr>
    <w:tblPr/>
  </w:style>
  <w:style w:type="table" w:customStyle="1" w:styleId="20122tableformat29">
    <w:name w:val="2012 2 table format2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9">
    <w:name w:val="Medium Grid 1 - Accent 62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9">
    <w:name w:val="Light List - Accent 62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9">
    <w:name w:val="Light Grid - Accent 112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9">
    <w:name w:val="2012 Style2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9">
    <w:name w:val="Light Shading - Accent 122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8">
    <w:name w:val="No List128"/>
    <w:next w:val="NoList"/>
    <w:uiPriority w:val="99"/>
    <w:semiHidden/>
    <w:unhideWhenUsed/>
    <w:rsid w:val="00C95C96"/>
  </w:style>
  <w:style w:type="numbering" w:customStyle="1" w:styleId="CurrentList1128">
    <w:name w:val="Current List1128"/>
    <w:rsid w:val="00C95C96"/>
  </w:style>
  <w:style w:type="table" w:customStyle="1" w:styleId="TableGrid1110">
    <w:name w:val="Table Grid1110"/>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8">
    <w:name w:val="Bulleted List128"/>
    <w:rsid w:val="00C95C96"/>
  </w:style>
  <w:style w:type="table" w:customStyle="1" w:styleId="LightShading1119">
    <w:name w:val="Light Shading1119"/>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9">
    <w:name w:val="Light Grid1119"/>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9">
    <w:name w:val="Medium Shading 1 - Accent 11119"/>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9">
    <w:name w:val="Medium Grid 1 - Accent 1119"/>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9">
    <w:name w:val="Light Shading - Accent 11119"/>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9">
    <w:name w:val="RSP_Style119"/>
    <w:basedOn w:val="TableNormal"/>
    <w:uiPriority w:val="99"/>
    <w:qFormat/>
    <w:rsid w:val="00C95C96"/>
    <w:pPr>
      <w:spacing w:after="0" w:line="240" w:lineRule="auto"/>
    </w:pPr>
    <w:tblPr/>
  </w:style>
  <w:style w:type="table" w:customStyle="1" w:styleId="20122tableformat119">
    <w:name w:val="2012 2 table format119"/>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9">
    <w:name w:val="Medium Grid 1 - Accent 6119"/>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9">
    <w:name w:val="Light List - Accent 6119"/>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9">
    <w:name w:val="Light Grid - Accent 11119"/>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9">
    <w:name w:val="2012 Style119"/>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9">
    <w:name w:val="Light Shading - Accent 12119"/>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9">
    <w:name w:val="Medium Shading 1 - Accent 419"/>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8">
    <w:name w:val="No List48"/>
    <w:next w:val="NoList"/>
    <w:uiPriority w:val="99"/>
    <w:semiHidden/>
    <w:unhideWhenUsed/>
    <w:rsid w:val="00C95C96"/>
  </w:style>
  <w:style w:type="table" w:customStyle="1" w:styleId="TableGrid39">
    <w:name w:val="Table Grid3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8">
    <w:name w:val="Light Shading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8">
    <w:name w:val="Light Grid13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8">
    <w:name w:val="Medium Shading 1 - Accent 113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8">
    <w:name w:val="Medium Grid 1 - Accent 13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8">
    <w:name w:val="Light Shading - Accent 113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8">
    <w:name w:val="RSP_Style38"/>
    <w:basedOn w:val="TableNormal"/>
    <w:uiPriority w:val="99"/>
    <w:qFormat/>
    <w:rsid w:val="00C95C96"/>
    <w:pPr>
      <w:spacing w:after="0" w:line="240" w:lineRule="auto"/>
    </w:pPr>
    <w:tblPr/>
  </w:style>
  <w:style w:type="table" w:customStyle="1" w:styleId="20122tableformat38">
    <w:name w:val="2012 2 table format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8">
    <w:name w:val="Medium Grid 1 - Accent 63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8">
    <w:name w:val="Light List - Accent 63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8">
    <w:name w:val="Light Grid - Accent 113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8">
    <w:name w:val="2012 Style3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8">
    <w:name w:val="Light Shading - Accent 12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8">
    <w:name w:val="No List138"/>
    <w:next w:val="NoList"/>
    <w:uiPriority w:val="99"/>
    <w:semiHidden/>
    <w:unhideWhenUsed/>
    <w:rsid w:val="00C95C96"/>
  </w:style>
  <w:style w:type="numbering" w:customStyle="1" w:styleId="CurrentList1138">
    <w:name w:val="Current List1138"/>
    <w:rsid w:val="00C95C96"/>
  </w:style>
  <w:style w:type="table" w:customStyle="1" w:styleId="TableGrid128">
    <w:name w:val="Table Grid12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8">
    <w:name w:val="Bulleted List138"/>
    <w:rsid w:val="00C95C96"/>
  </w:style>
  <w:style w:type="table" w:customStyle="1" w:styleId="LightShading1128">
    <w:name w:val="Light Shading112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8">
    <w:name w:val="Light Grid1128"/>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8">
    <w:name w:val="Medium Shading 1 - Accent 11128"/>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8">
    <w:name w:val="Medium Grid 1 - Accent 1128"/>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8">
    <w:name w:val="Light Shading - Accent 11128"/>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8">
    <w:name w:val="RSP_Style128"/>
    <w:basedOn w:val="TableNormal"/>
    <w:uiPriority w:val="99"/>
    <w:qFormat/>
    <w:rsid w:val="00C95C96"/>
    <w:pPr>
      <w:spacing w:after="0" w:line="240" w:lineRule="auto"/>
    </w:pPr>
    <w:tblPr/>
  </w:style>
  <w:style w:type="table" w:customStyle="1" w:styleId="20122tableformat128">
    <w:name w:val="2012 2 table format12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8">
    <w:name w:val="Medium Grid 1 - Accent 6128"/>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8">
    <w:name w:val="Light List - Accent 6128"/>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8">
    <w:name w:val="Light Grid - Accent 11128"/>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8">
    <w:name w:val="2012 Style128"/>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8">
    <w:name w:val="Light Shading - Accent 1212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8">
    <w:name w:val="Medium Shading 1 - Accent 428"/>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8">
    <w:name w:val="Current List138"/>
    <w:rsid w:val="00C95C96"/>
  </w:style>
  <w:style w:type="table" w:customStyle="1" w:styleId="TableGrid318">
    <w:name w:val="Table Grid318"/>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C95C96"/>
  </w:style>
  <w:style w:type="numbering" w:customStyle="1" w:styleId="CurrentList148">
    <w:name w:val="Current List148"/>
    <w:rsid w:val="00C95C96"/>
  </w:style>
  <w:style w:type="table" w:customStyle="1" w:styleId="TableGrid48">
    <w:name w:val="Table Grid4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8">
    <w:name w:val="Bulleted List38"/>
    <w:rsid w:val="00C95C96"/>
  </w:style>
  <w:style w:type="table" w:customStyle="1" w:styleId="LightShading148">
    <w:name w:val="Light Shading14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8">
    <w:name w:val="Light Grid14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8">
    <w:name w:val="Medium Shading 1 - Accent 114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8">
    <w:name w:val="Medium Grid 1 - Accent 14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8">
    <w:name w:val="Light Shading - Accent 114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8">
    <w:name w:val="RSP_Style48"/>
    <w:basedOn w:val="TableNormal"/>
    <w:uiPriority w:val="99"/>
    <w:qFormat/>
    <w:rsid w:val="00C95C96"/>
    <w:pPr>
      <w:spacing w:after="0" w:line="240" w:lineRule="auto"/>
    </w:pPr>
    <w:rPr>
      <w:rFonts w:ascii="Cambria" w:hAnsi="Cambria"/>
      <w:color w:val="auto"/>
    </w:rPr>
    <w:tblPr/>
  </w:style>
  <w:style w:type="table" w:customStyle="1" w:styleId="20122tableformat48">
    <w:name w:val="2012 2 table format4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8">
    <w:name w:val="Medium Grid 1 - Accent 64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8">
    <w:name w:val="Light List - Accent 64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8">
    <w:name w:val="Light Grid - Accent 114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8">
    <w:name w:val="2012 Style4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8">
    <w:name w:val="Light Shading - Accent 124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8">
    <w:name w:val="No List148"/>
    <w:next w:val="NoList"/>
    <w:uiPriority w:val="99"/>
    <w:semiHidden/>
    <w:unhideWhenUsed/>
    <w:rsid w:val="00C95C96"/>
  </w:style>
  <w:style w:type="numbering" w:customStyle="1" w:styleId="CurrentList1148">
    <w:name w:val="Current List1148"/>
    <w:rsid w:val="00C95C96"/>
  </w:style>
  <w:style w:type="table" w:customStyle="1" w:styleId="TableGrid138">
    <w:name w:val="Table Grid138"/>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8">
    <w:name w:val="Bulleted List148"/>
    <w:rsid w:val="00C95C96"/>
  </w:style>
  <w:style w:type="table" w:customStyle="1" w:styleId="LightShading1138">
    <w:name w:val="Light Shading1138"/>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8">
    <w:name w:val="Light Grid1138"/>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8">
    <w:name w:val="Medium Shading 1 - Accent 11138"/>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8">
    <w:name w:val="Medium Grid 1 - Accent 1138"/>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8">
    <w:name w:val="Light Shading - Accent 11138"/>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8">
    <w:name w:val="RSP_Style138"/>
    <w:basedOn w:val="TableNormal"/>
    <w:uiPriority w:val="99"/>
    <w:qFormat/>
    <w:rsid w:val="00C95C96"/>
    <w:pPr>
      <w:spacing w:after="0" w:line="240" w:lineRule="auto"/>
    </w:pPr>
    <w:rPr>
      <w:rFonts w:ascii="Cambria" w:hAnsi="Cambria"/>
      <w:color w:val="auto"/>
    </w:rPr>
    <w:tblPr/>
  </w:style>
  <w:style w:type="table" w:customStyle="1" w:styleId="20122tableformat138">
    <w:name w:val="2012 2 table format138"/>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8">
    <w:name w:val="Medium Grid 1 - Accent 6138"/>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8">
    <w:name w:val="Light List - Accent 6138"/>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8">
    <w:name w:val="Light Grid - Accent 11138"/>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8">
    <w:name w:val="2012 Style138"/>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8">
    <w:name w:val="Light Shading - Accent 12138"/>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8">
    <w:name w:val="Medium Shading 1 - Accent 438"/>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9">
    <w:name w:val="Table Grid59"/>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3">
    <w:name w:val="ISO Report Style13"/>
    <w:uiPriority w:val="99"/>
    <w:rsid w:val="00C95C96"/>
  </w:style>
  <w:style w:type="numbering" w:customStyle="1" w:styleId="NoList63">
    <w:name w:val="No List63"/>
    <w:next w:val="NoList"/>
    <w:uiPriority w:val="99"/>
    <w:semiHidden/>
    <w:unhideWhenUsed/>
    <w:rsid w:val="00C95C96"/>
  </w:style>
  <w:style w:type="table" w:customStyle="1" w:styleId="TableGrid63">
    <w:name w:val="Table Grid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3">
    <w:name w:val="Light Shading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3">
    <w:name w:val="Light Grid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3">
    <w:name w:val="Medium Shading 1 - Accent 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3">
    <w:name w:val="Medium Grid 1 - Accent 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3">
    <w:name w:val="Light Shading - Accent 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3">
    <w:name w:val="RSP_Style53"/>
    <w:basedOn w:val="TableNormal"/>
    <w:uiPriority w:val="99"/>
    <w:qFormat/>
    <w:rsid w:val="00C95C96"/>
    <w:pPr>
      <w:spacing w:after="0" w:line="240" w:lineRule="auto"/>
    </w:pPr>
    <w:tblPr/>
  </w:style>
  <w:style w:type="table" w:customStyle="1" w:styleId="20122tableformat53">
    <w:name w:val="2012 2 table format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3">
    <w:name w:val="Medium Grid 1 - Accent 6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3">
    <w:name w:val="Light List - Accent 6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3">
    <w:name w:val="Light Grid - Accent 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3">
    <w:name w:val="2012 Style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3">
    <w:name w:val="Light Shading - Accent 1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3">
    <w:name w:val="No List153"/>
    <w:next w:val="NoList"/>
    <w:uiPriority w:val="99"/>
    <w:semiHidden/>
    <w:unhideWhenUsed/>
    <w:rsid w:val="00C95C96"/>
  </w:style>
  <w:style w:type="numbering" w:customStyle="1" w:styleId="CurrentList1153">
    <w:name w:val="Current List1153"/>
    <w:rsid w:val="00C95C96"/>
  </w:style>
  <w:style w:type="table" w:customStyle="1" w:styleId="TableGrid143">
    <w:name w:val="Table Grid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3">
    <w:name w:val="Bulleted List153"/>
    <w:rsid w:val="00C95C96"/>
  </w:style>
  <w:style w:type="table" w:customStyle="1" w:styleId="LightShading1143">
    <w:name w:val="Light Shading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3">
    <w:name w:val="Light Grid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3">
    <w:name w:val="Medium Shading 1 - Accent 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3">
    <w:name w:val="Medium Grid 1 - Accent 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3">
    <w:name w:val="Light Shading - Accent 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3">
    <w:name w:val="RSP_Style143"/>
    <w:basedOn w:val="TableNormal"/>
    <w:uiPriority w:val="99"/>
    <w:qFormat/>
    <w:rsid w:val="00C95C96"/>
    <w:pPr>
      <w:spacing w:after="0" w:line="240" w:lineRule="auto"/>
    </w:pPr>
    <w:tblPr/>
  </w:style>
  <w:style w:type="table" w:customStyle="1" w:styleId="20122tableformat143">
    <w:name w:val="2012 2 table format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3">
    <w:name w:val="Medium Grid 1 - Accent 6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3">
    <w:name w:val="Light List - Accent 6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3">
    <w:name w:val="Light Grid - Accent 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3">
    <w:name w:val="2012 Style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3">
    <w:name w:val="Light Shading - Accent 12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3">
    <w:name w:val="Medium Shading 1 - Accent 4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3">
    <w:name w:val="No List213"/>
    <w:next w:val="NoList"/>
    <w:uiPriority w:val="99"/>
    <w:semiHidden/>
    <w:unhideWhenUsed/>
    <w:rsid w:val="00C95C96"/>
  </w:style>
  <w:style w:type="numbering" w:customStyle="1" w:styleId="CurrentList1213">
    <w:name w:val="Current List1213"/>
    <w:rsid w:val="00C95C96"/>
  </w:style>
  <w:style w:type="numbering" w:customStyle="1" w:styleId="BulletedList213">
    <w:name w:val="Bulleted List213"/>
    <w:rsid w:val="00C95C96"/>
  </w:style>
  <w:style w:type="numbering" w:customStyle="1" w:styleId="NoList1113">
    <w:name w:val="No List1113"/>
    <w:next w:val="NoList"/>
    <w:uiPriority w:val="99"/>
    <w:semiHidden/>
    <w:unhideWhenUsed/>
    <w:rsid w:val="00C95C96"/>
  </w:style>
  <w:style w:type="numbering" w:customStyle="1" w:styleId="CurrentList11113">
    <w:name w:val="Current List11113"/>
    <w:rsid w:val="00C95C96"/>
  </w:style>
  <w:style w:type="numbering" w:customStyle="1" w:styleId="BulletedList1113">
    <w:name w:val="Bulleted List1113"/>
    <w:rsid w:val="00C95C96"/>
  </w:style>
  <w:style w:type="numbering" w:customStyle="1" w:styleId="NoList313">
    <w:name w:val="No List313"/>
    <w:next w:val="NoList"/>
    <w:uiPriority w:val="99"/>
    <w:semiHidden/>
    <w:unhideWhenUsed/>
    <w:rsid w:val="00C95C96"/>
  </w:style>
  <w:style w:type="table" w:customStyle="1" w:styleId="TableGrid213">
    <w:name w:val="Table Grid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3">
    <w:name w:val="Light Shading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3">
    <w:name w:val="Light Grid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3">
    <w:name w:val="Medium Shading 1 - Accent 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3">
    <w:name w:val="Medium Grid 1 - Accent 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3">
    <w:name w:val="Light Shading - Accent 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3">
    <w:name w:val="RSP_Style213"/>
    <w:basedOn w:val="TableNormal"/>
    <w:uiPriority w:val="99"/>
    <w:qFormat/>
    <w:rsid w:val="00C95C96"/>
    <w:pPr>
      <w:spacing w:after="0" w:line="240" w:lineRule="auto"/>
    </w:pPr>
    <w:tblPr/>
  </w:style>
  <w:style w:type="table" w:customStyle="1" w:styleId="20122tableformat213">
    <w:name w:val="2012 2 table format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3">
    <w:name w:val="Medium Grid 1 - Accent 6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3">
    <w:name w:val="Light List - Accent 6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3">
    <w:name w:val="Light Grid - Accent 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3">
    <w:name w:val="2012 Style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3">
    <w:name w:val="Light Shading - Accent 12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3">
    <w:name w:val="No List1213"/>
    <w:next w:val="NoList"/>
    <w:uiPriority w:val="99"/>
    <w:semiHidden/>
    <w:unhideWhenUsed/>
    <w:rsid w:val="00C95C96"/>
  </w:style>
  <w:style w:type="numbering" w:customStyle="1" w:styleId="CurrentList11213">
    <w:name w:val="Current List11213"/>
    <w:rsid w:val="00C95C96"/>
  </w:style>
  <w:style w:type="table" w:customStyle="1" w:styleId="TableGrid1113">
    <w:name w:val="Table Grid1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3">
    <w:name w:val="Bulleted List1213"/>
    <w:rsid w:val="00C95C96"/>
  </w:style>
  <w:style w:type="table" w:customStyle="1" w:styleId="LightShading11113">
    <w:name w:val="Light Shading111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3">
    <w:name w:val="Light Grid111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3">
    <w:name w:val="Medium Shading 1 - Accent 1111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3">
    <w:name w:val="Medium Grid 1 - Accent 111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3">
    <w:name w:val="Light Shading - Accent 1111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3">
    <w:name w:val="RSP_Style1113"/>
    <w:basedOn w:val="TableNormal"/>
    <w:uiPriority w:val="99"/>
    <w:qFormat/>
    <w:rsid w:val="00C95C96"/>
    <w:pPr>
      <w:spacing w:after="0" w:line="240" w:lineRule="auto"/>
    </w:pPr>
    <w:tblPr/>
  </w:style>
  <w:style w:type="table" w:customStyle="1" w:styleId="20122tableformat1113">
    <w:name w:val="2012 2 table format11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3">
    <w:name w:val="Medium Grid 1 - Accent 611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3">
    <w:name w:val="Light List - Accent 611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3">
    <w:name w:val="Light Grid - Accent 1111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3">
    <w:name w:val="2012 Style11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3">
    <w:name w:val="Light Shading - Accent 1211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3">
    <w:name w:val="Medium Shading 1 - Accent 41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3">
    <w:name w:val="No List413"/>
    <w:next w:val="NoList"/>
    <w:uiPriority w:val="99"/>
    <w:semiHidden/>
    <w:unhideWhenUsed/>
    <w:rsid w:val="00C95C96"/>
  </w:style>
  <w:style w:type="table" w:customStyle="1" w:styleId="TableGrid323">
    <w:name w:val="Table Grid3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3">
    <w:name w:val="Light Shading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3">
    <w:name w:val="Light Grid13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3">
    <w:name w:val="Medium Shading 1 - Accent 113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3">
    <w:name w:val="Medium Grid 1 - Accent 13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3">
    <w:name w:val="Light Shading - Accent 113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3">
    <w:name w:val="RSP_Style313"/>
    <w:basedOn w:val="TableNormal"/>
    <w:uiPriority w:val="99"/>
    <w:qFormat/>
    <w:rsid w:val="00C95C96"/>
    <w:pPr>
      <w:spacing w:after="0" w:line="240" w:lineRule="auto"/>
    </w:pPr>
    <w:tblPr/>
  </w:style>
  <w:style w:type="table" w:customStyle="1" w:styleId="20122tableformat313">
    <w:name w:val="2012 2 table format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3">
    <w:name w:val="Medium Grid 1 - Accent 63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3">
    <w:name w:val="Light List - Accent 63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3">
    <w:name w:val="Light Grid - Accent 113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3">
    <w:name w:val="2012 Style3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3">
    <w:name w:val="Light Shading - Accent 12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3">
    <w:name w:val="No List1313"/>
    <w:next w:val="NoList"/>
    <w:uiPriority w:val="99"/>
    <w:semiHidden/>
    <w:unhideWhenUsed/>
    <w:rsid w:val="00C95C96"/>
  </w:style>
  <w:style w:type="numbering" w:customStyle="1" w:styleId="CurrentList11313">
    <w:name w:val="Current List11313"/>
    <w:rsid w:val="00C95C96"/>
  </w:style>
  <w:style w:type="table" w:customStyle="1" w:styleId="TableGrid1213">
    <w:name w:val="Table Grid12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3">
    <w:name w:val="Bulleted List1313"/>
    <w:rsid w:val="00C95C96"/>
  </w:style>
  <w:style w:type="table" w:customStyle="1" w:styleId="LightShading11213">
    <w:name w:val="Light Shading112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3">
    <w:name w:val="Light Grid1121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3">
    <w:name w:val="Medium Shading 1 - Accent 11121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3">
    <w:name w:val="Medium Grid 1 - Accent 1121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3">
    <w:name w:val="Light Shading - Accent 11121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3">
    <w:name w:val="RSP_Style1213"/>
    <w:basedOn w:val="TableNormal"/>
    <w:uiPriority w:val="99"/>
    <w:qFormat/>
    <w:rsid w:val="00C95C96"/>
    <w:pPr>
      <w:spacing w:after="0" w:line="240" w:lineRule="auto"/>
    </w:pPr>
    <w:tblPr/>
  </w:style>
  <w:style w:type="table" w:customStyle="1" w:styleId="20122tableformat1213">
    <w:name w:val="2012 2 table format12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3">
    <w:name w:val="Medium Grid 1 - Accent 6121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3">
    <w:name w:val="Light List - Accent 6121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3">
    <w:name w:val="Light Grid - Accent 11121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3">
    <w:name w:val="2012 Style121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3">
    <w:name w:val="Light Shading - Accent 1212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3">
    <w:name w:val="Medium Shading 1 - Accent 421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3">
    <w:name w:val="Current List1313"/>
    <w:rsid w:val="00C95C96"/>
  </w:style>
  <w:style w:type="table" w:customStyle="1" w:styleId="TableGrid3113">
    <w:name w:val="Table Grid31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5C96"/>
  </w:style>
  <w:style w:type="numbering" w:customStyle="1" w:styleId="CurrentList1413">
    <w:name w:val="Current List1413"/>
    <w:rsid w:val="00C95C96"/>
  </w:style>
  <w:style w:type="table" w:customStyle="1" w:styleId="TableGrid413">
    <w:name w:val="Table Grid4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3">
    <w:name w:val="Bulleted List313"/>
    <w:rsid w:val="00C95C96"/>
  </w:style>
  <w:style w:type="table" w:customStyle="1" w:styleId="LightShading1413">
    <w:name w:val="Light Shading14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3">
    <w:name w:val="Light Grid14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3">
    <w:name w:val="Medium Shading 1 - Accent 114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3">
    <w:name w:val="Medium Grid 1 - Accent 14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3">
    <w:name w:val="Light Shading - Accent 114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3">
    <w:name w:val="RSP_Style413"/>
    <w:basedOn w:val="TableNormal"/>
    <w:uiPriority w:val="99"/>
    <w:qFormat/>
    <w:rsid w:val="00C95C96"/>
    <w:pPr>
      <w:spacing w:after="0" w:line="240" w:lineRule="auto"/>
    </w:pPr>
    <w:rPr>
      <w:rFonts w:ascii="Cambria" w:hAnsi="Cambria"/>
      <w:color w:val="auto"/>
    </w:rPr>
    <w:tblPr/>
  </w:style>
  <w:style w:type="table" w:customStyle="1" w:styleId="20122tableformat413">
    <w:name w:val="2012 2 table format4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3">
    <w:name w:val="Medium Grid 1 - Accent 64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3">
    <w:name w:val="Light List - Accent 64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3">
    <w:name w:val="Light Grid - Accent 114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3">
    <w:name w:val="2012 Style4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3">
    <w:name w:val="Light Shading - Accent 124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3">
    <w:name w:val="No List1413"/>
    <w:next w:val="NoList"/>
    <w:uiPriority w:val="99"/>
    <w:semiHidden/>
    <w:unhideWhenUsed/>
    <w:rsid w:val="00C95C96"/>
  </w:style>
  <w:style w:type="numbering" w:customStyle="1" w:styleId="CurrentList11413">
    <w:name w:val="Current List11413"/>
    <w:rsid w:val="00C95C96"/>
  </w:style>
  <w:style w:type="table" w:customStyle="1" w:styleId="TableGrid1313">
    <w:name w:val="Table Grid131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3">
    <w:name w:val="Bulleted List1413"/>
    <w:rsid w:val="00C95C96"/>
  </w:style>
  <w:style w:type="table" w:customStyle="1" w:styleId="LightShading11313">
    <w:name w:val="Light Shading1131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3">
    <w:name w:val="Light Grid1131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3">
    <w:name w:val="Medium Shading 1 - Accent 11131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3">
    <w:name w:val="Medium Grid 1 - Accent 1131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3">
    <w:name w:val="Light Shading - Accent 11131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3">
    <w:name w:val="RSP_Style1313"/>
    <w:basedOn w:val="TableNormal"/>
    <w:uiPriority w:val="99"/>
    <w:qFormat/>
    <w:rsid w:val="00C95C96"/>
    <w:pPr>
      <w:spacing w:after="0" w:line="240" w:lineRule="auto"/>
    </w:pPr>
    <w:rPr>
      <w:rFonts w:ascii="Cambria" w:hAnsi="Cambria"/>
      <w:color w:val="auto"/>
    </w:rPr>
    <w:tblPr/>
  </w:style>
  <w:style w:type="table" w:customStyle="1" w:styleId="20122tableformat1313">
    <w:name w:val="2012 2 table format131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3">
    <w:name w:val="Medium Grid 1 - Accent 6131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3">
    <w:name w:val="Light List - Accent 6131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3">
    <w:name w:val="Light Grid - Accent 11131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3">
    <w:name w:val="2012 Style131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3">
    <w:name w:val="Light Shading - Accent 12131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3">
    <w:name w:val="Medium Shading 1 - Accent 431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3">
    <w:name w:val="Table Grid51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95C96"/>
  </w:style>
  <w:style w:type="table" w:customStyle="1" w:styleId="TableGrid73">
    <w:name w:val="Table Grid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3">
    <w:name w:val="Light Shading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3">
    <w:name w:val="Light Grid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3">
    <w:name w:val="Medium Shading 1 - Accent 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3">
    <w:name w:val="Medium Grid 1 - Accent 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3">
    <w:name w:val="Light Shading - Accent 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3">
    <w:name w:val="RSP_Style63"/>
    <w:basedOn w:val="TableNormal"/>
    <w:uiPriority w:val="99"/>
    <w:qFormat/>
    <w:rsid w:val="00C95C96"/>
    <w:pPr>
      <w:spacing w:after="0" w:line="240" w:lineRule="auto"/>
    </w:pPr>
    <w:tblPr/>
  </w:style>
  <w:style w:type="table" w:customStyle="1" w:styleId="20122tableformat63">
    <w:name w:val="2012 2 table format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3">
    <w:name w:val="Medium Grid 1 - Accent 6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3">
    <w:name w:val="Light List - Accent 6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3">
    <w:name w:val="Light Grid - Accent 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3">
    <w:name w:val="2012 Style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3">
    <w:name w:val="Light Shading - Accent 12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3">
    <w:name w:val="No List163"/>
    <w:next w:val="NoList"/>
    <w:uiPriority w:val="99"/>
    <w:semiHidden/>
    <w:unhideWhenUsed/>
    <w:rsid w:val="00C95C96"/>
  </w:style>
  <w:style w:type="numbering" w:customStyle="1" w:styleId="CurrentList1163">
    <w:name w:val="Current List1163"/>
    <w:rsid w:val="00C95C96"/>
  </w:style>
  <w:style w:type="table" w:customStyle="1" w:styleId="TableGrid153">
    <w:name w:val="Table Grid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3">
    <w:name w:val="Bulleted List163"/>
    <w:rsid w:val="00C95C96"/>
  </w:style>
  <w:style w:type="table" w:customStyle="1" w:styleId="LightShading1153">
    <w:name w:val="Light Shading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3">
    <w:name w:val="Light Grid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3">
    <w:name w:val="Medium Shading 1 - Accent 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3">
    <w:name w:val="Medium Grid 1 - Accent 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3">
    <w:name w:val="Light Shading - Accent 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3">
    <w:name w:val="RSP_Style153"/>
    <w:basedOn w:val="TableNormal"/>
    <w:uiPriority w:val="99"/>
    <w:qFormat/>
    <w:rsid w:val="00C95C96"/>
    <w:pPr>
      <w:spacing w:after="0" w:line="240" w:lineRule="auto"/>
    </w:pPr>
    <w:tblPr/>
  </w:style>
  <w:style w:type="table" w:customStyle="1" w:styleId="20122tableformat153">
    <w:name w:val="2012 2 table format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3">
    <w:name w:val="Medium Grid 1 - Accent 6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3">
    <w:name w:val="Light List - Accent 6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3">
    <w:name w:val="Light Grid - Accent 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3">
    <w:name w:val="2012 Style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3">
    <w:name w:val="Light Shading - Accent 12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3">
    <w:name w:val="Medium Shading 1 - Accent 4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3">
    <w:name w:val="No List223"/>
    <w:next w:val="NoList"/>
    <w:uiPriority w:val="99"/>
    <w:semiHidden/>
    <w:unhideWhenUsed/>
    <w:rsid w:val="00C95C96"/>
  </w:style>
  <w:style w:type="numbering" w:customStyle="1" w:styleId="CurrentList1223">
    <w:name w:val="Current List1223"/>
    <w:rsid w:val="00C95C96"/>
  </w:style>
  <w:style w:type="numbering" w:customStyle="1" w:styleId="BulletedList223">
    <w:name w:val="Bulleted List223"/>
    <w:rsid w:val="00C95C96"/>
  </w:style>
  <w:style w:type="numbering" w:customStyle="1" w:styleId="NoList1123">
    <w:name w:val="No List1123"/>
    <w:next w:val="NoList"/>
    <w:uiPriority w:val="99"/>
    <w:semiHidden/>
    <w:unhideWhenUsed/>
    <w:rsid w:val="00C95C96"/>
  </w:style>
  <w:style w:type="numbering" w:customStyle="1" w:styleId="CurrentList11123">
    <w:name w:val="Current List11123"/>
    <w:rsid w:val="00C95C96"/>
  </w:style>
  <w:style w:type="numbering" w:customStyle="1" w:styleId="BulletedList1123">
    <w:name w:val="Bulleted List1123"/>
    <w:rsid w:val="00C95C96"/>
  </w:style>
  <w:style w:type="numbering" w:customStyle="1" w:styleId="NoList323">
    <w:name w:val="No List323"/>
    <w:next w:val="NoList"/>
    <w:uiPriority w:val="99"/>
    <w:semiHidden/>
    <w:unhideWhenUsed/>
    <w:rsid w:val="00C95C96"/>
  </w:style>
  <w:style w:type="table" w:customStyle="1" w:styleId="TableGrid224">
    <w:name w:val="Table Grid224"/>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3">
    <w:name w:val="Light Shading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3">
    <w:name w:val="Light Grid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3">
    <w:name w:val="Medium Shading 1 - Accent 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3">
    <w:name w:val="Medium Grid 1 - Accent 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3">
    <w:name w:val="Light Shading - Accent 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3">
    <w:name w:val="RSP_Style223"/>
    <w:basedOn w:val="TableNormal"/>
    <w:uiPriority w:val="99"/>
    <w:qFormat/>
    <w:rsid w:val="00C95C96"/>
    <w:pPr>
      <w:spacing w:after="0" w:line="240" w:lineRule="auto"/>
    </w:pPr>
    <w:tblPr/>
  </w:style>
  <w:style w:type="table" w:customStyle="1" w:styleId="20122tableformat223">
    <w:name w:val="2012 2 table format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3">
    <w:name w:val="Medium Grid 1 - Accent 6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3">
    <w:name w:val="Light List - Accent 6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3">
    <w:name w:val="Light Grid - Accent 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3">
    <w:name w:val="2012 Style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3">
    <w:name w:val="Light Shading - Accent 12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3">
    <w:name w:val="No List1223"/>
    <w:next w:val="NoList"/>
    <w:uiPriority w:val="99"/>
    <w:semiHidden/>
    <w:unhideWhenUsed/>
    <w:rsid w:val="00C95C96"/>
  </w:style>
  <w:style w:type="numbering" w:customStyle="1" w:styleId="CurrentList11223">
    <w:name w:val="Current List11223"/>
    <w:rsid w:val="00C95C96"/>
  </w:style>
  <w:style w:type="table" w:customStyle="1" w:styleId="TableGrid1123">
    <w:name w:val="Table Grid1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3">
    <w:name w:val="Bulleted List1223"/>
    <w:rsid w:val="00C95C96"/>
  </w:style>
  <w:style w:type="table" w:customStyle="1" w:styleId="LightShading11123">
    <w:name w:val="Light Shading111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3">
    <w:name w:val="Light Grid111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3">
    <w:name w:val="Medium Shading 1 - Accent 1111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3">
    <w:name w:val="Medium Grid 1 - Accent 111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3">
    <w:name w:val="Light Shading - Accent 1111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3">
    <w:name w:val="RSP_Style1123"/>
    <w:basedOn w:val="TableNormal"/>
    <w:uiPriority w:val="99"/>
    <w:qFormat/>
    <w:rsid w:val="00C95C96"/>
    <w:pPr>
      <w:spacing w:after="0" w:line="240" w:lineRule="auto"/>
    </w:pPr>
    <w:tblPr/>
  </w:style>
  <w:style w:type="table" w:customStyle="1" w:styleId="20122tableformat1123">
    <w:name w:val="2012 2 table format11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3">
    <w:name w:val="Medium Grid 1 - Accent 611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3">
    <w:name w:val="Light List - Accent 611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3">
    <w:name w:val="Light Grid - Accent 1111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3">
    <w:name w:val="2012 Style11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3">
    <w:name w:val="Light Shading - Accent 1211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3">
    <w:name w:val="Medium Shading 1 - Accent 41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3">
    <w:name w:val="No List423"/>
    <w:next w:val="NoList"/>
    <w:uiPriority w:val="99"/>
    <w:semiHidden/>
    <w:unhideWhenUsed/>
    <w:rsid w:val="00C95C96"/>
  </w:style>
  <w:style w:type="table" w:customStyle="1" w:styleId="TableGrid333">
    <w:name w:val="Table Grid3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3">
    <w:name w:val="Light Shading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3">
    <w:name w:val="Light Grid13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3">
    <w:name w:val="Medium Shading 1 - Accent 113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3">
    <w:name w:val="Medium Grid 1 - Accent 13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3">
    <w:name w:val="Light Shading - Accent 113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3">
    <w:name w:val="RSP_Style323"/>
    <w:basedOn w:val="TableNormal"/>
    <w:uiPriority w:val="99"/>
    <w:qFormat/>
    <w:rsid w:val="00C95C96"/>
    <w:pPr>
      <w:spacing w:after="0" w:line="240" w:lineRule="auto"/>
    </w:pPr>
    <w:tblPr/>
  </w:style>
  <w:style w:type="table" w:customStyle="1" w:styleId="20122tableformat323">
    <w:name w:val="2012 2 table format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3">
    <w:name w:val="Medium Grid 1 - Accent 63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3">
    <w:name w:val="Light List - Accent 63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3">
    <w:name w:val="Light Grid - Accent 113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3">
    <w:name w:val="2012 Style3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3">
    <w:name w:val="Light Shading - Accent 12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3">
    <w:name w:val="No List1323"/>
    <w:next w:val="NoList"/>
    <w:uiPriority w:val="99"/>
    <w:semiHidden/>
    <w:unhideWhenUsed/>
    <w:rsid w:val="00C95C96"/>
  </w:style>
  <w:style w:type="numbering" w:customStyle="1" w:styleId="CurrentList11323">
    <w:name w:val="Current List11323"/>
    <w:rsid w:val="00C95C96"/>
  </w:style>
  <w:style w:type="table" w:customStyle="1" w:styleId="TableGrid1223">
    <w:name w:val="Table Grid12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3">
    <w:name w:val="Bulleted List1323"/>
    <w:rsid w:val="00C95C96"/>
  </w:style>
  <w:style w:type="table" w:customStyle="1" w:styleId="LightShading11223">
    <w:name w:val="Light Shading112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3">
    <w:name w:val="Light Grid1122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3">
    <w:name w:val="Medium Shading 1 - Accent 11122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3">
    <w:name w:val="Medium Grid 1 - Accent 1122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3">
    <w:name w:val="Light Shading - Accent 11122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3">
    <w:name w:val="RSP_Style1223"/>
    <w:basedOn w:val="TableNormal"/>
    <w:uiPriority w:val="99"/>
    <w:qFormat/>
    <w:rsid w:val="00C95C96"/>
    <w:pPr>
      <w:spacing w:after="0" w:line="240" w:lineRule="auto"/>
    </w:pPr>
    <w:tblPr/>
  </w:style>
  <w:style w:type="table" w:customStyle="1" w:styleId="20122tableformat1223">
    <w:name w:val="2012 2 table format12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3">
    <w:name w:val="Medium Grid 1 - Accent 6122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3">
    <w:name w:val="Light List - Accent 6122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3">
    <w:name w:val="Light Grid - Accent 11122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3">
    <w:name w:val="2012 Style122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3">
    <w:name w:val="Light Shading - Accent 1212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3">
    <w:name w:val="Medium Shading 1 - Accent 422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3">
    <w:name w:val="Current List1323"/>
    <w:rsid w:val="00C95C96"/>
  </w:style>
  <w:style w:type="table" w:customStyle="1" w:styleId="TableGrid3123">
    <w:name w:val="Table Grid31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C95C96"/>
  </w:style>
  <w:style w:type="numbering" w:customStyle="1" w:styleId="CurrentList1423">
    <w:name w:val="Current List1423"/>
    <w:rsid w:val="00C95C96"/>
  </w:style>
  <w:style w:type="table" w:customStyle="1" w:styleId="TableGrid423">
    <w:name w:val="Table Grid4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3">
    <w:name w:val="Bulleted List323"/>
    <w:rsid w:val="00C95C96"/>
  </w:style>
  <w:style w:type="table" w:customStyle="1" w:styleId="LightShading1423">
    <w:name w:val="Light Shading14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3">
    <w:name w:val="Light Grid14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3">
    <w:name w:val="Medium Shading 1 - Accent 114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3">
    <w:name w:val="Medium Grid 1 - Accent 14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3">
    <w:name w:val="Light Shading - Accent 114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3">
    <w:name w:val="RSP_Style423"/>
    <w:basedOn w:val="TableNormal"/>
    <w:uiPriority w:val="99"/>
    <w:qFormat/>
    <w:rsid w:val="00C95C96"/>
    <w:pPr>
      <w:spacing w:after="0" w:line="240" w:lineRule="auto"/>
    </w:pPr>
    <w:rPr>
      <w:rFonts w:ascii="Cambria" w:hAnsi="Cambria"/>
      <w:color w:val="auto"/>
    </w:rPr>
    <w:tblPr/>
  </w:style>
  <w:style w:type="table" w:customStyle="1" w:styleId="20122tableformat423">
    <w:name w:val="2012 2 table format4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3">
    <w:name w:val="Medium Grid 1 - Accent 64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3">
    <w:name w:val="Light List - Accent 64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3">
    <w:name w:val="Light Grid - Accent 114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3">
    <w:name w:val="2012 Style4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3">
    <w:name w:val="Light Shading - Accent 124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3">
    <w:name w:val="No List1423"/>
    <w:next w:val="NoList"/>
    <w:uiPriority w:val="99"/>
    <w:semiHidden/>
    <w:unhideWhenUsed/>
    <w:rsid w:val="00C95C96"/>
  </w:style>
  <w:style w:type="numbering" w:customStyle="1" w:styleId="CurrentList11423">
    <w:name w:val="Current List11423"/>
    <w:rsid w:val="00C95C96"/>
  </w:style>
  <w:style w:type="table" w:customStyle="1" w:styleId="TableGrid1323">
    <w:name w:val="Table Grid132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3">
    <w:name w:val="Bulleted List1423"/>
    <w:rsid w:val="00C95C96"/>
  </w:style>
  <w:style w:type="table" w:customStyle="1" w:styleId="LightShading11323">
    <w:name w:val="Light Shading1132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3">
    <w:name w:val="Light Grid1132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3">
    <w:name w:val="Medium Shading 1 - Accent 11132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3">
    <w:name w:val="Medium Grid 1 - Accent 1132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3">
    <w:name w:val="Light Shading - Accent 11132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3">
    <w:name w:val="RSP_Style1323"/>
    <w:basedOn w:val="TableNormal"/>
    <w:uiPriority w:val="99"/>
    <w:qFormat/>
    <w:rsid w:val="00C95C96"/>
    <w:pPr>
      <w:spacing w:after="0" w:line="240" w:lineRule="auto"/>
    </w:pPr>
    <w:rPr>
      <w:rFonts w:ascii="Cambria" w:hAnsi="Cambria"/>
      <w:color w:val="auto"/>
    </w:rPr>
    <w:tblPr/>
  </w:style>
  <w:style w:type="table" w:customStyle="1" w:styleId="20122tableformat1323">
    <w:name w:val="2012 2 table format132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3">
    <w:name w:val="Medium Grid 1 - Accent 6132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3">
    <w:name w:val="Light List - Accent 6132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3">
    <w:name w:val="Light Grid - Accent 11132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3">
    <w:name w:val="2012 Style132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3">
    <w:name w:val="Light Shading - Accent 12132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3">
    <w:name w:val="Medium Shading 1 - Accent 432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3">
    <w:name w:val="Table Grid52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95C96"/>
  </w:style>
  <w:style w:type="numbering" w:customStyle="1" w:styleId="CurrentList163">
    <w:name w:val="Current List163"/>
    <w:rsid w:val="00C95C96"/>
  </w:style>
  <w:style w:type="table" w:customStyle="1" w:styleId="TableGrid83">
    <w:name w:val="Table Grid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3">
    <w:name w:val="Light Shading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3">
    <w:name w:val="Light Grid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3">
    <w:name w:val="Medium Shading 1 - Accent 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3">
    <w:name w:val="Medium Grid 1 - Accent 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3">
    <w:name w:val="Light Shading - Accent 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3">
    <w:name w:val="RSP_Style73"/>
    <w:basedOn w:val="TableNormal"/>
    <w:uiPriority w:val="99"/>
    <w:qFormat/>
    <w:rsid w:val="00C95C96"/>
    <w:pPr>
      <w:spacing w:after="0" w:line="240" w:lineRule="auto"/>
    </w:pPr>
    <w:tblPr/>
  </w:style>
  <w:style w:type="table" w:customStyle="1" w:styleId="20122tableformat73">
    <w:name w:val="2012 2 table format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3">
    <w:name w:val="Medium Grid 1 - Accent 6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3">
    <w:name w:val="Light List - Accent 6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3">
    <w:name w:val="Light Grid - Accent 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3">
    <w:name w:val="2012 Style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3">
    <w:name w:val="Light Shading - Accent 12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3">
    <w:name w:val="No List173"/>
    <w:next w:val="NoList"/>
    <w:uiPriority w:val="99"/>
    <w:semiHidden/>
    <w:unhideWhenUsed/>
    <w:rsid w:val="00C95C96"/>
  </w:style>
  <w:style w:type="numbering" w:customStyle="1" w:styleId="CurrentList1173">
    <w:name w:val="Current List1173"/>
    <w:rsid w:val="00C95C96"/>
  </w:style>
  <w:style w:type="table" w:customStyle="1" w:styleId="TableGrid163">
    <w:name w:val="Table Grid1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3">
    <w:name w:val="Bulleted List173"/>
    <w:rsid w:val="00C95C96"/>
  </w:style>
  <w:style w:type="table" w:customStyle="1" w:styleId="LightShading1163">
    <w:name w:val="Light Shading116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3">
    <w:name w:val="Light Grid116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3">
    <w:name w:val="Medium Shading 1 - Accent 1116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3">
    <w:name w:val="Medium Grid 1 - Accent 116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3">
    <w:name w:val="Light Shading - Accent 1116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3">
    <w:name w:val="RSP_Style163"/>
    <w:basedOn w:val="TableNormal"/>
    <w:uiPriority w:val="99"/>
    <w:qFormat/>
    <w:rsid w:val="00C95C96"/>
    <w:pPr>
      <w:spacing w:after="0" w:line="240" w:lineRule="auto"/>
    </w:pPr>
    <w:tblPr/>
  </w:style>
  <w:style w:type="table" w:customStyle="1" w:styleId="20122tableformat163">
    <w:name w:val="2012 2 table format16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3">
    <w:name w:val="Medium Grid 1 - Accent 616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3">
    <w:name w:val="Light List - Accent 616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3">
    <w:name w:val="Light Grid - Accent 1116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3">
    <w:name w:val="2012 Style16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3">
    <w:name w:val="Light Shading - Accent 1216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3">
    <w:name w:val="Medium Shading 1 - Accent 46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3">
    <w:name w:val="No List233"/>
    <w:next w:val="NoList"/>
    <w:uiPriority w:val="99"/>
    <w:semiHidden/>
    <w:unhideWhenUsed/>
    <w:rsid w:val="00C95C96"/>
  </w:style>
  <w:style w:type="numbering" w:customStyle="1" w:styleId="CurrentList1233">
    <w:name w:val="Current List1233"/>
    <w:rsid w:val="00C95C96"/>
  </w:style>
  <w:style w:type="numbering" w:customStyle="1" w:styleId="BulletedList233">
    <w:name w:val="Bulleted List233"/>
    <w:rsid w:val="00C95C96"/>
  </w:style>
  <w:style w:type="numbering" w:customStyle="1" w:styleId="NoList1133">
    <w:name w:val="No List1133"/>
    <w:next w:val="NoList"/>
    <w:uiPriority w:val="99"/>
    <w:semiHidden/>
    <w:unhideWhenUsed/>
    <w:rsid w:val="00C95C96"/>
  </w:style>
  <w:style w:type="numbering" w:customStyle="1" w:styleId="CurrentList11133">
    <w:name w:val="Current List11133"/>
    <w:rsid w:val="00C95C96"/>
  </w:style>
  <w:style w:type="numbering" w:customStyle="1" w:styleId="BulletedList1133">
    <w:name w:val="Bulleted List1133"/>
    <w:rsid w:val="00C95C96"/>
  </w:style>
  <w:style w:type="numbering" w:customStyle="1" w:styleId="NoList333">
    <w:name w:val="No List333"/>
    <w:next w:val="NoList"/>
    <w:uiPriority w:val="99"/>
    <w:semiHidden/>
    <w:unhideWhenUsed/>
    <w:rsid w:val="00C95C96"/>
  </w:style>
  <w:style w:type="table" w:customStyle="1" w:styleId="TableGrid233">
    <w:name w:val="Table Grid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3">
    <w:name w:val="Light Shading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3">
    <w:name w:val="Light Grid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3">
    <w:name w:val="Medium Shading 1 - Accent 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3">
    <w:name w:val="Medium Grid 1 - Accent 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3">
    <w:name w:val="Light Shading - Accent 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3">
    <w:name w:val="RSP_Style233"/>
    <w:basedOn w:val="TableNormal"/>
    <w:uiPriority w:val="99"/>
    <w:qFormat/>
    <w:rsid w:val="00C95C96"/>
    <w:pPr>
      <w:spacing w:after="0" w:line="240" w:lineRule="auto"/>
    </w:pPr>
    <w:tblPr/>
  </w:style>
  <w:style w:type="table" w:customStyle="1" w:styleId="20122tableformat233">
    <w:name w:val="2012 2 table format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3">
    <w:name w:val="Medium Grid 1 - Accent 6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3">
    <w:name w:val="Light List - Accent 6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3">
    <w:name w:val="Light Grid - Accent 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3">
    <w:name w:val="2012 Style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3">
    <w:name w:val="Light Shading - Accent 12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3">
    <w:name w:val="No List1233"/>
    <w:next w:val="NoList"/>
    <w:uiPriority w:val="99"/>
    <w:semiHidden/>
    <w:unhideWhenUsed/>
    <w:rsid w:val="00C95C96"/>
  </w:style>
  <w:style w:type="numbering" w:customStyle="1" w:styleId="CurrentList11233">
    <w:name w:val="Current List11233"/>
    <w:rsid w:val="00C95C96"/>
  </w:style>
  <w:style w:type="table" w:customStyle="1" w:styleId="TableGrid1133">
    <w:name w:val="Table Grid1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3">
    <w:name w:val="Bulleted List1233"/>
    <w:rsid w:val="00C95C96"/>
  </w:style>
  <w:style w:type="table" w:customStyle="1" w:styleId="LightShading11133">
    <w:name w:val="Light Shading111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3">
    <w:name w:val="Light Grid111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3">
    <w:name w:val="Medium Shading 1 - Accent 1111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3">
    <w:name w:val="Medium Grid 1 - Accent 111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3">
    <w:name w:val="Light Shading - Accent 1111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3">
    <w:name w:val="RSP_Style1133"/>
    <w:basedOn w:val="TableNormal"/>
    <w:uiPriority w:val="99"/>
    <w:qFormat/>
    <w:rsid w:val="00C95C96"/>
    <w:pPr>
      <w:spacing w:after="0" w:line="240" w:lineRule="auto"/>
    </w:pPr>
    <w:tblPr/>
  </w:style>
  <w:style w:type="table" w:customStyle="1" w:styleId="20122tableformat1133">
    <w:name w:val="2012 2 table format11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3">
    <w:name w:val="Medium Grid 1 - Accent 611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3">
    <w:name w:val="Light List - Accent 611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3">
    <w:name w:val="Light Grid - Accent 1111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3">
    <w:name w:val="2012 Style11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3">
    <w:name w:val="Light Shading - Accent 1211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3">
    <w:name w:val="Medium Shading 1 - Accent 41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3">
    <w:name w:val="No List433"/>
    <w:next w:val="NoList"/>
    <w:uiPriority w:val="99"/>
    <w:semiHidden/>
    <w:unhideWhenUsed/>
    <w:rsid w:val="00C95C96"/>
  </w:style>
  <w:style w:type="table" w:customStyle="1" w:styleId="TableGrid343">
    <w:name w:val="Table Grid3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3">
    <w:name w:val="Light Shading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3">
    <w:name w:val="Light Grid13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3">
    <w:name w:val="Medium Shading 1 - Accent 113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3">
    <w:name w:val="Medium Grid 1 - Accent 13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3">
    <w:name w:val="Light Shading - Accent 113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3">
    <w:name w:val="RSP_Style333"/>
    <w:basedOn w:val="TableNormal"/>
    <w:uiPriority w:val="99"/>
    <w:qFormat/>
    <w:rsid w:val="00C95C96"/>
    <w:pPr>
      <w:spacing w:after="0" w:line="240" w:lineRule="auto"/>
    </w:pPr>
    <w:tblPr/>
  </w:style>
  <w:style w:type="table" w:customStyle="1" w:styleId="20122tableformat333">
    <w:name w:val="2012 2 table format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3">
    <w:name w:val="Medium Grid 1 - Accent 63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3">
    <w:name w:val="Light List - Accent 63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3">
    <w:name w:val="Light Grid - Accent 113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3">
    <w:name w:val="2012 Style3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3">
    <w:name w:val="Light Shading - Accent 12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3">
    <w:name w:val="No List1333"/>
    <w:next w:val="NoList"/>
    <w:uiPriority w:val="99"/>
    <w:semiHidden/>
    <w:unhideWhenUsed/>
    <w:rsid w:val="00C95C96"/>
  </w:style>
  <w:style w:type="numbering" w:customStyle="1" w:styleId="CurrentList11333">
    <w:name w:val="Current List11333"/>
    <w:rsid w:val="00C95C96"/>
  </w:style>
  <w:style w:type="table" w:customStyle="1" w:styleId="TableGrid1233">
    <w:name w:val="Table Grid12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3">
    <w:name w:val="Bulleted List1333"/>
    <w:rsid w:val="00C95C96"/>
  </w:style>
  <w:style w:type="table" w:customStyle="1" w:styleId="LightShading11233">
    <w:name w:val="Light Shading112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3">
    <w:name w:val="Light Grid1123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3">
    <w:name w:val="Medium Shading 1 - Accent 11123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3">
    <w:name w:val="Medium Grid 1 - Accent 1123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3">
    <w:name w:val="Light Shading - Accent 11123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3">
    <w:name w:val="RSP_Style1233"/>
    <w:basedOn w:val="TableNormal"/>
    <w:uiPriority w:val="99"/>
    <w:qFormat/>
    <w:rsid w:val="00C95C96"/>
    <w:pPr>
      <w:spacing w:after="0" w:line="240" w:lineRule="auto"/>
    </w:pPr>
    <w:tblPr/>
  </w:style>
  <w:style w:type="table" w:customStyle="1" w:styleId="20122tableformat1233">
    <w:name w:val="2012 2 table format12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3">
    <w:name w:val="Medium Grid 1 - Accent 6123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3">
    <w:name w:val="Light List - Accent 6123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3">
    <w:name w:val="Light Grid - Accent 11123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3">
    <w:name w:val="2012 Style123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3">
    <w:name w:val="Light Shading - Accent 1212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3">
    <w:name w:val="Medium Shading 1 - Accent 423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3">
    <w:name w:val="Current List1333"/>
    <w:rsid w:val="00C95C96"/>
  </w:style>
  <w:style w:type="table" w:customStyle="1" w:styleId="TableGrid3133">
    <w:name w:val="Table Grid31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3">
    <w:name w:val="ISO Report Style23"/>
    <w:uiPriority w:val="99"/>
    <w:rsid w:val="00C95C96"/>
  </w:style>
  <w:style w:type="numbering" w:customStyle="1" w:styleId="NoList533">
    <w:name w:val="No List533"/>
    <w:next w:val="NoList"/>
    <w:uiPriority w:val="99"/>
    <w:semiHidden/>
    <w:unhideWhenUsed/>
    <w:rsid w:val="00C95C96"/>
  </w:style>
  <w:style w:type="numbering" w:customStyle="1" w:styleId="CurrentList1433">
    <w:name w:val="Current List1433"/>
    <w:rsid w:val="00C95C96"/>
  </w:style>
  <w:style w:type="table" w:customStyle="1" w:styleId="TableGrid433">
    <w:name w:val="Table Grid4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3">
    <w:name w:val="Bulleted List333"/>
    <w:rsid w:val="00C95C96"/>
  </w:style>
  <w:style w:type="table" w:customStyle="1" w:styleId="LightShading1433">
    <w:name w:val="Light Shading14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3">
    <w:name w:val="Light Grid14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3">
    <w:name w:val="Medium Shading 1 - Accent 114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3">
    <w:name w:val="Medium Grid 1 - Accent 14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3">
    <w:name w:val="Light Shading - Accent 114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3">
    <w:name w:val="RSP_Style433"/>
    <w:basedOn w:val="TableNormal"/>
    <w:uiPriority w:val="99"/>
    <w:qFormat/>
    <w:rsid w:val="00C95C96"/>
    <w:pPr>
      <w:spacing w:after="0" w:line="240" w:lineRule="auto"/>
    </w:pPr>
    <w:rPr>
      <w:rFonts w:ascii="Cambria" w:hAnsi="Cambria"/>
      <w:color w:val="auto"/>
    </w:rPr>
    <w:tblPr/>
  </w:style>
  <w:style w:type="table" w:customStyle="1" w:styleId="20122tableformat433">
    <w:name w:val="2012 2 table format4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3">
    <w:name w:val="Medium Grid 1 - Accent 64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3">
    <w:name w:val="Light List - Accent 64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3">
    <w:name w:val="Light Grid - Accent 114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3">
    <w:name w:val="2012 Style4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3">
    <w:name w:val="Light Shading - Accent 124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3">
    <w:name w:val="No List1433"/>
    <w:next w:val="NoList"/>
    <w:uiPriority w:val="99"/>
    <w:semiHidden/>
    <w:unhideWhenUsed/>
    <w:rsid w:val="00C95C96"/>
  </w:style>
  <w:style w:type="numbering" w:customStyle="1" w:styleId="CurrentList11433">
    <w:name w:val="Current List11433"/>
    <w:rsid w:val="00C95C96"/>
  </w:style>
  <w:style w:type="table" w:customStyle="1" w:styleId="TableGrid1333">
    <w:name w:val="Table Grid133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3">
    <w:name w:val="Bulleted List1433"/>
    <w:rsid w:val="00C95C96"/>
  </w:style>
  <w:style w:type="table" w:customStyle="1" w:styleId="LightShading11333">
    <w:name w:val="Light Shading1133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3">
    <w:name w:val="Light Grid1133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3">
    <w:name w:val="Medium Shading 1 - Accent 11133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3">
    <w:name w:val="Medium Grid 1 - Accent 1133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3">
    <w:name w:val="Light Shading - Accent 11133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3">
    <w:name w:val="RSP_Style1333"/>
    <w:basedOn w:val="TableNormal"/>
    <w:uiPriority w:val="99"/>
    <w:qFormat/>
    <w:rsid w:val="00C95C96"/>
    <w:pPr>
      <w:spacing w:after="0" w:line="240" w:lineRule="auto"/>
    </w:pPr>
    <w:rPr>
      <w:rFonts w:ascii="Cambria" w:hAnsi="Cambria"/>
      <w:color w:val="auto"/>
    </w:rPr>
    <w:tblPr/>
  </w:style>
  <w:style w:type="table" w:customStyle="1" w:styleId="20122tableformat1333">
    <w:name w:val="2012 2 table format133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3">
    <w:name w:val="Medium Grid 1 - Accent 6133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3">
    <w:name w:val="Light List - Accent 6133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3">
    <w:name w:val="Light Grid - Accent 11133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3">
    <w:name w:val="2012 Style133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3">
    <w:name w:val="Light Shading - Accent 12133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3">
    <w:name w:val="Medium Shading 1 - Accent 433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3">
    <w:name w:val="Table Grid53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C95C96"/>
  </w:style>
  <w:style w:type="numbering" w:customStyle="1" w:styleId="CurrentList173">
    <w:name w:val="Current List173"/>
    <w:rsid w:val="00C95C96"/>
  </w:style>
  <w:style w:type="table" w:customStyle="1" w:styleId="TableGrid93">
    <w:name w:val="Table Grid9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3">
    <w:name w:val="Light Shading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3">
    <w:name w:val="Light Grid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3">
    <w:name w:val="Medium Shading 1 - Accent 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3">
    <w:name w:val="Medium Grid 1 - Accent 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3">
    <w:name w:val="Light Shading - Accent 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3">
    <w:name w:val="RSP_Style83"/>
    <w:basedOn w:val="TableNormal"/>
    <w:uiPriority w:val="99"/>
    <w:qFormat/>
    <w:rsid w:val="00C95C96"/>
    <w:pPr>
      <w:spacing w:after="0" w:line="240" w:lineRule="auto"/>
    </w:pPr>
    <w:tblPr/>
  </w:style>
  <w:style w:type="table" w:customStyle="1" w:styleId="20122tableformat83">
    <w:name w:val="2012 2 table format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3">
    <w:name w:val="Medium Grid 1 - Accent 6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3">
    <w:name w:val="Light List - Accent 6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3">
    <w:name w:val="Light Grid - Accent 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3">
    <w:name w:val="2012 Style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3">
    <w:name w:val="Light Shading - Accent 12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3">
    <w:name w:val="No List183"/>
    <w:next w:val="NoList"/>
    <w:uiPriority w:val="99"/>
    <w:semiHidden/>
    <w:unhideWhenUsed/>
    <w:rsid w:val="00C95C96"/>
  </w:style>
  <w:style w:type="numbering" w:customStyle="1" w:styleId="CurrentList1183">
    <w:name w:val="Current List1183"/>
    <w:rsid w:val="00C95C96"/>
  </w:style>
  <w:style w:type="table" w:customStyle="1" w:styleId="TableGrid173">
    <w:name w:val="Table Grid17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3">
    <w:name w:val="Bulleted List183"/>
    <w:rsid w:val="00C95C96"/>
  </w:style>
  <w:style w:type="table" w:customStyle="1" w:styleId="LightShading1173">
    <w:name w:val="Light Shading117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3">
    <w:name w:val="Light Grid117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3">
    <w:name w:val="Medium Shading 1 - Accent 1117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3">
    <w:name w:val="Medium Grid 1 - Accent 117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3">
    <w:name w:val="Light Shading - Accent 1117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3">
    <w:name w:val="RSP_Style173"/>
    <w:basedOn w:val="TableNormal"/>
    <w:uiPriority w:val="99"/>
    <w:qFormat/>
    <w:rsid w:val="00C95C96"/>
    <w:pPr>
      <w:spacing w:after="0" w:line="240" w:lineRule="auto"/>
    </w:pPr>
    <w:tblPr/>
  </w:style>
  <w:style w:type="table" w:customStyle="1" w:styleId="20122tableformat173">
    <w:name w:val="2012 2 table format17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3">
    <w:name w:val="Medium Grid 1 - Accent 617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3">
    <w:name w:val="Light List - Accent 617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3">
    <w:name w:val="Light Grid - Accent 1117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3">
    <w:name w:val="2012 Style17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3">
    <w:name w:val="Light Shading - Accent 1217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3">
    <w:name w:val="Medium Shading 1 - Accent 47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3">
    <w:name w:val="No List243"/>
    <w:next w:val="NoList"/>
    <w:uiPriority w:val="99"/>
    <w:semiHidden/>
    <w:unhideWhenUsed/>
    <w:rsid w:val="00C95C96"/>
  </w:style>
  <w:style w:type="numbering" w:customStyle="1" w:styleId="CurrentList1243">
    <w:name w:val="Current List1243"/>
    <w:rsid w:val="00C95C96"/>
  </w:style>
  <w:style w:type="numbering" w:customStyle="1" w:styleId="BulletedList243">
    <w:name w:val="Bulleted List243"/>
    <w:rsid w:val="00C95C96"/>
  </w:style>
  <w:style w:type="numbering" w:customStyle="1" w:styleId="NoList1143">
    <w:name w:val="No List1143"/>
    <w:next w:val="NoList"/>
    <w:uiPriority w:val="99"/>
    <w:semiHidden/>
    <w:unhideWhenUsed/>
    <w:rsid w:val="00C95C96"/>
  </w:style>
  <w:style w:type="numbering" w:customStyle="1" w:styleId="CurrentList11143">
    <w:name w:val="Current List11143"/>
    <w:rsid w:val="00C95C96"/>
  </w:style>
  <w:style w:type="numbering" w:customStyle="1" w:styleId="BulletedList1143">
    <w:name w:val="Bulleted List1143"/>
    <w:rsid w:val="00C95C96"/>
  </w:style>
  <w:style w:type="numbering" w:customStyle="1" w:styleId="NoList343">
    <w:name w:val="No List343"/>
    <w:next w:val="NoList"/>
    <w:uiPriority w:val="99"/>
    <w:semiHidden/>
    <w:unhideWhenUsed/>
    <w:rsid w:val="00C95C96"/>
  </w:style>
  <w:style w:type="table" w:customStyle="1" w:styleId="TableGrid243">
    <w:name w:val="Table Grid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3">
    <w:name w:val="Light Shading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3">
    <w:name w:val="Light Grid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3">
    <w:name w:val="Medium Shading 1 - Accent 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3">
    <w:name w:val="Medium Grid 1 - Accent 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3">
    <w:name w:val="Light Shading - Accent 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3">
    <w:name w:val="RSP_Style243"/>
    <w:basedOn w:val="TableNormal"/>
    <w:uiPriority w:val="99"/>
    <w:qFormat/>
    <w:rsid w:val="00C95C96"/>
    <w:pPr>
      <w:spacing w:after="0" w:line="240" w:lineRule="auto"/>
    </w:pPr>
    <w:tblPr/>
  </w:style>
  <w:style w:type="table" w:customStyle="1" w:styleId="20122tableformat243">
    <w:name w:val="2012 2 table format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3">
    <w:name w:val="Medium Grid 1 - Accent 6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3">
    <w:name w:val="Light List - Accent 6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3">
    <w:name w:val="Light Grid - Accent 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3">
    <w:name w:val="2012 Style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3">
    <w:name w:val="Light Shading - Accent 12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3">
    <w:name w:val="No List1243"/>
    <w:next w:val="NoList"/>
    <w:uiPriority w:val="99"/>
    <w:semiHidden/>
    <w:unhideWhenUsed/>
    <w:rsid w:val="00C95C96"/>
  </w:style>
  <w:style w:type="numbering" w:customStyle="1" w:styleId="CurrentList11243">
    <w:name w:val="Current List11243"/>
    <w:rsid w:val="00C95C96"/>
  </w:style>
  <w:style w:type="table" w:customStyle="1" w:styleId="TableGrid1143">
    <w:name w:val="Table Grid1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3">
    <w:name w:val="Bulleted List1243"/>
    <w:rsid w:val="00C95C96"/>
  </w:style>
  <w:style w:type="table" w:customStyle="1" w:styleId="LightShading11143">
    <w:name w:val="Light Shading111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3">
    <w:name w:val="Light Grid111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3">
    <w:name w:val="Medium Shading 1 - Accent 1111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3">
    <w:name w:val="Medium Grid 1 - Accent 111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3">
    <w:name w:val="Light Shading - Accent 1111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3">
    <w:name w:val="RSP_Style1143"/>
    <w:basedOn w:val="TableNormal"/>
    <w:uiPriority w:val="99"/>
    <w:qFormat/>
    <w:rsid w:val="00C95C96"/>
    <w:pPr>
      <w:spacing w:after="0" w:line="240" w:lineRule="auto"/>
    </w:pPr>
    <w:tblPr/>
  </w:style>
  <w:style w:type="table" w:customStyle="1" w:styleId="20122tableformat1143">
    <w:name w:val="2012 2 table format11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3">
    <w:name w:val="Medium Grid 1 - Accent 611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3">
    <w:name w:val="Light List - Accent 611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3">
    <w:name w:val="Light Grid - Accent 1111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3">
    <w:name w:val="2012 Style11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3">
    <w:name w:val="Light Shading - Accent 1211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3">
    <w:name w:val="Medium Shading 1 - Accent 41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3">
    <w:name w:val="No List443"/>
    <w:next w:val="NoList"/>
    <w:uiPriority w:val="99"/>
    <w:semiHidden/>
    <w:unhideWhenUsed/>
    <w:rsid w:val="00C95C96"/>
  </w:style>
  <w:style w:type="table" w:customStyle="1" w:styleId="TableGrid353">
    <w:name w:val="Table Grid3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3">
    <w:name w:val="Light Shading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3">
    <w:name w:val="Light Grid13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3">
    <w:name w:val="Medium Shading 1 - Accent 113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3">
    <w:name w:val="Medium Grid 1 - Accent 13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3">
    <w:name w:val="Light Shading - Accent 113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3">
    <w:name w:val="RSP_Style343"/>
    <w:basedOn w:val="TableNormal"/>
    <w:uiPriority w:val="99"/>
    <w:qFormat/>
    <w:rsid w:val="00C95C96"/>
    <w:pPr>
      <w:spacing w:after="0" w:line="240" w:lineRule="auto"/>
    </w:pPr>
    <w:tblPr/>
  </w:style>
  <w:style w:type="table" w:customStyle="1" w:styleId="20122tableformat343">
    <w:name w:val="2012 2 table format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3">
    <w:name w:val="Medium Grid 1 - Accent 63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3">
    <w:name w:val="Light List - Accent 63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3">
    <w:name w:val="Light Grid - Accent 113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3">
    <w:name w:val="2012 Style3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3">
    <w:name w:val="Light Shading - Accent 12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3">
    <w:name w:val="No List1343"/>
    <w:next w:val="NoList"/>
    <w:uiPriority w:val="99"/>
    <w:semiHidden/>
    <w:unhideWhenUsed/>
    <w:rsid w:val="00C95C96"/>
  </w:style>
  <w:style w:type="numbering" w:customStyle="1" w:styleId="CurrentList11343">
    <w:name w:val="Current List11343"/>
    <w:rsid w:val="00C95C96"/>
  </w:style>
  <w:style w:type="table" w:customStyle="1" w:styleId="TableGrid1243">
    <w:name w:val="Table Grid12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3">
    <w:name w:val="Bulleted List1343"/>
    <w:rsid w:val="00C95C96"/>
  </w:style>
  <w:style w:type="table" w:customStyle="1" w:styleId="LightShading11243">
    <w:name w:val="Light Shading112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3">
    <w:name w:val="Light Grid1124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3">
    <w:name w:val="Medium Shading 1 - Accent 11124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3">
    <w:name w:val="Medium Grid 1 - Accent 1124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3">
    <w:name w:val="Light Shading - Accent 11124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3">
    <w:name w:val="RSP_Style1243"/>
    <w:basedOn w:val="TableNormal"/>
    <w:uiPriority w:val="99"/>
    <w:qFormat/>
    <w:rsid w:val="00C95C96"/>
    <w:pPr>
      <w:spacing w:after="0" w:line="240" w:lineRule="auto"/>
    </w:pPr>
    <w:tblPr/>
  </w:style>
  <w:style w:type="table" w:customStyle="1" w:styleId="20122tableformat1243">
    <w:name w:val="2012 2 table format12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3">
    <w:name w:val="Medium Grid 1 - Accent 6124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3">
    <w:name w:val="Light List - Accent 6124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3">
    <w:name w:val="Light Grid - Accent 11124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3">
    <w:name w:val="2012 Style124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3">
    <w:name w:val="Light Shading - Accent 1212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3">
    <w:name w:val="Medium Shading 1 - Accent 424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3">
    <w:name w:val="Current List1343"/>
    <w:rsid w:val="00C95C96"/>
  </w:style>
  <w:style w:type="table" w:customStyle="1" w:styleId="TableGrid3143">
    <w:name w:val="Table Grid31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C95C96"/>
  </w:style>
  <w:style w:type="numbering" w:customStyle="1" w:styleId="CurrentList1443">
    <w:name w:val="Current List1443"/>
    <w:rsid w:val="00C95C96"/>
  </w:style>
  <w:style w:type="table" w:customStyle="1" w:styleId="TableGrid443">
    <w:name w:val="Table Grid4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3">
    <w:name w:val="Bulleted List343"/>
    <w:rsid w:val="00C95C96"/>
  </w:style>
  <w:style w:type="table" w:customStyle="1" w:styleId="LightShading1443">
    <w:name w:val="Light Shading14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3">
    <w:name w:val="Light Grid14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3">
    <w:name w:val="Medium Shading 1 - Accent 114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3">
    <w:name w:val="Medium Grid 1 - Accent 14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3">
    <w:name w:val="Light Shading - Accent 114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3">
    <w:name w:val="RSP_Style443"/>
    <w:basedOn w:val="TableNormal"/>
    <w:uiPriority w:val="99"/>
    <w:qFormat/>
    <w:rsid w:val="00C95C96"/>
    <w:pPr>
      <w:spacing w:after="0" w:line="240" w:lineRule="auto"/>
    </w:pPr>
    <w:rPr>
      <w:rFonts w:ascii="Cambria" w:hAnsi="Cambria"/>
      <w:color w:val="auto"/>
    </w:rPr>
    <w:tblPr/>
  </w:style>
  <w:style w:type="table" w:customStyle="1" w:styleId="20122tableformat443">
    <w:name w:val="2012 2 table format4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3">
    <w:name w:val="Medium Grid 1 - Accent 64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3">
    <w:name w:val="Light List - Accent 64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3">
    <w:name w:val="Light Grid - Accent 114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3">
    <w:name w:val="2012 Style4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3">
    <w:name w:val="Light Shading - Accent 124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3">
    <w:name w:val="No List1443"/>
    <w:next w:val="NoList"/>
    <w:uiPriority w:val="99"/>
    <w:semiHidden/>
    <w:unhideWhenUsed/>
    <w:rsid w:val="00C95C96"/>
  </w:style>
  <w:style w:type="numbering" w:customStyle="1" w:styleId="CurrentList11443">
    <w:name w:val="Current List11443"/>
    <w:rsid w:val="00C95C96"/>
  </w:style>
  <w:style w:type="table" w:customStyle="1" w:styleId="TableGrid1343">
    <w:name w:val="Table Grid1343"/>
    <w:basedOn w:val="TableNormal"/>
    <w:next w:val="TableGrid"/>
    <w:uiPriority w:val="59"/>
    <w:rsid w:val="00C95C96"/>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3">
    <w:name w:val="Bulleted List1443"/>
    <w:rsid w:val="00C95C96"/>
  </w:style>
  <w:style w:type="table" w:customStyle="1" w:styleId="LightShading11343">
    <w:name w:val="Light Shading1134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3">
    <w:name w:val="Light Grid11343"/>
    <w:basedOn w:val="TableNormal"/>
    <w:uiPriority w:val="62"/>
    <w:rsid w:val="00C95C96"/>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3">
    <w:name w:val="Medium Shading 1 - Accent 111343"/>
    <w:basedOn w:val="TableNormal"/>
    <w:uiPriority w:val="63"/>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3">
    <w:name w:val="Medium Grid 1 - Accent 11343"/>
    <w:basedOn w:val="TableNormal"/>
    <w:next w:val="MediumGrid1-Accent1"/>
    <w:uiPriority w:val="67"/>
    <w:rsid w:val="00C95C96"/>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3">
    <w:name w:val="Light Shading - Accent 111343"/>
    <w:basedOn w:val="TableNormal"/>
    <w:uiPriority w:val="60"/>
    <w:rsid w:val="00C95C96"/>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3">
    <w:name w:val="RSP_Style1343"/>
    <w:basedOn w:val="TableNormal"/>
    <w:uiPriority w:val="99"/>
    <w:qFormat/>
    <w:rsid w:val="00C95C96"/>
    <w:pPr>
      <w:spacing w:after="0" w:line="240" w:lineRule="auto"/>
    </w:pPr>
    <w:rPr>
      <w:rFonts w:ascii="Cambria" w:hAnsi="Cambria"/>
      <w:color w:val="auto"/>
    </w:rPr>
    <w:tblPr/>
  </w:style>
  <w:style w:type="table" w:customStyle="1" w:styleId="20122tableformat1343">
    <w:name w:val="2012 2 table format134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3">
    <w:name w:val="Medium Grid 1 - Accent 61343"/>
    <w:basedOn w:val="TableNormal"/>
    <w:next w:val="MediumGrid1-Accent6"/>
    <w:uiPriority w:val="67"/>
    <w:rsid w:val="00C95C96"/>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3">
    <w:name w:val="Light List - Accent 61343"/>
    <w:basedOn w:val="TableNormal"/>
    <w:next w:val="LightList-Accent6"/>
    <w:uiPriority w:val="61"/>
    <w:rsid w:val="00C95C96"/>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3">
    <w:name w:val="Light Grid - Accent 111343"/>
    <w:basedOn w:val="TableNormal"/>
    <w:uiPriority w:val="62"/>
    <w:rsid w:val="00C95C96"/>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3">
    <w:name w:val="2012 Style1343"/>
    <w:basedOn w:val="TableNormal"/>
    <w:uiPriority w:val="99"/>
    <w:qFormat/>
    <w:rsid w:val="00C95C96"/>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3">
    <w:name w:val="Light Shading - Accent 12134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3">
    <w:name w:val="Medium Shading 1 - Accent 4343"/>
    <w:basedOn w:val="TableNormal"/>
    <w:next w:val="MediumShading1-Accent4"/>
    <w:uiPriority w:val="63"/>
    <w:rsid w:val="00C95C96"/>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3">
    <w:name w:val="Table Grid54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C95C96"/>
  </w:style>
  <w:style w:type="numbering" w:customStyle="1" w:styleId="CurrentList183">
    <w:name w:val="Current List183"/>
    <w:rsid w:val="00C95C96"/>
  </w:style>
  <w:style w:type="table" w:customStyle="1" w:styleId="TableGrid103">
    <w:name w:val="Table Grid10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3">
    <w:name w:val="Light Shading19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3">
    <w:name w:val="Light Grid19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3">
    <w:name w:val="Medium Shading 1 - Accent 119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3">
    <w:name w:val="Medium Grid 1 - Accent 19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3">
    <w:name w:val="Light Shading - Accent 119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3">
    <w:name w:val="RSP_Style93"/>
    <w:basedOn w:val="TableNormal"/>
    <w:uiPriority w:val="99"/>
    <w:qFormat/>
    <w:rsid w:val="00C95C96"/>
    <w:pPr>
      <w:spacing w:after="0" w:line="240" w:lineRule="auto"/>
    </w:pPr>
    <w:tblPr/>
  </w:style>
  <w:style w:type="table" w:customStyle="1" w:styleId="20122tableformat93">
    <w:name w:val="2012 2 table format9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3">
    <w:name w:val="Medium Grid 1 - Accent 69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3">
    <w:name w:val="Light List - Accent 69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3">
    <w:name w:val="Light Grid - Accent 119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3">
    <w:name w:val="2012 Style9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3">
    <w:name w:val="Light Shading - Accent 129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3">
    <w:name w:val="No List193"/>
    <w:next w:val="NoList"/>
    <w:uiPriority w:val="99"/>
    <w:semiHidden/>
    <w:unhideWhenUsed/>
    <w:rsid w:val="00C95C96"/>
  </w:style>
  <w:style w:type="numbering" w:customStyle="1" w:styleId="CurrentList1193">
    <w:name w:val="Current List1193"/>
    <w:rsid w:val="00C95C96"/>
  </w:style>
  <w:style w:type="table" w:customStyle="1" w:styleId="TableGrid183">
    <w:name w:val="Table Grid18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3">
    <w:name w:val="Bulleted List193"/>
    <w:rsid w:val="00C95C96"/>
  </w:style>
  <w:style w:type="table" w:customStyle="1" w:styleId="LightShading1183">
    <w:name w:val="Light Shading118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3">
    <w:name w:val="Light Grid118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3">
    <w:name w:val="Medium Shading 1 - Accent 1118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3">
    <w:name w:val="Medium Grid 1 - Accent 118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3">
    <w:name w:val="Light Shading - Accent 1118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3">
    <w:name w:val="RSP_Style183"/>
    <w:basedOn w:val="TableNormal"/>
    <w:uiPriority w:val="99"/>
    <w:qFormat/>
    <w:rsid w:val="00C95C96"/>
    <w:pPr>
      <w:spacing w:after="0" w:line="240" w:lineRule="auto"/>
    </w:pPr>
    <w:tblPr/>
  </w:style>
  <w:style w:type="table" w:customStyle="1" w:styleId="20122tableformat183">
    <w:name w:val="2012 2 table format18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3">
    <w:name w:val="Medium Grid 1 - Accent 618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3">
    <w:name w:val="Light List - Accent 618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3">
    <w:name w:val="Light Grid - Accent 1118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3">
    <w:name w:val="2012 Style18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3">
    <w:name w:val="Light Shading - Accent 1218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3">
    <w:name w:val="Medium Shading 1 - Accent 48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3">
    <w:name w:val="No List253"/>
    <w:next w:val="NoList"/>
    <w:uiPriority w:val="99"/>
    <w:semiHidden/>
    <w:unhideWhenUsed/>
    <w:rsid w:val="00C95C96"/>
  </w:style>
  <w:style w:type="numbering" w:customStyle="1" w:styleId="CurrentList1253">
    <w:name w:val="Current List1253"/>
    <w:rsid w:val="00C95C96"/>
  </w:style>
  <w:style w:type="numbering" w:customStyle="1" w:styleId="BulletedList253">
    <w:name w:val="Bulleted List253"/>
    <w:rsid w:val="00C95C96"/>
  </w:style>
  <w:style w:type="numbering" w:customStyle="1" w:styleId="NoList1153">
    <w:name w:val="No List1153"/>
    <w:next w:val="NoList"/>
    <w:uiPriority w:val="99"/>
    <w:semiHidden/>
    <w:unhideWhenUsed/>
    <w:rsid w:val="00C95C96"/>
  </w:style>
  <w:style w:type="numbering" w:customStyle="1" w:styleId="CurrentList11153">
    <w:name w:val="Current List11153"/>
    <w:rsid w:val="00C95C96"/>
  </w:style>
  <w:style w:type="numbering" w:customStyle="1" w:styleId="BulletedList1153">
    <w:name w:val="Bulleted List1153"/>
    <w:rsid w:val="00C95C96"/>
  </w:style>
  <w:style w:type="numbering" w:customStyle="1" w:styleId="NoList353">
    <w:name w:val="No List353"/>
    <w:next w:val="NoList"/>
    <w:uiPriority w:val="99"/>
    <w:semiHidden/>
    <w:unhideWhenUsed/>
    <w:rsid w:val="00C95C96"/>
  </w:style>
  <w:style w:type="table" w:customStyle="1" w:styleId="TableGrid253">
    <w:name w:val="Table Grid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3">
    <w:name w:val="Light Shading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3">
    <w:name w:val="Light Grid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3">
    <w:name w:val="Medium Shading 1 - Accent 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3">
    <w:name w:val="Medium Grid 1 - Accent 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3">
    <w:name w:val="Light Shading - Accent 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3">
    <w:name w:val="RSP_Style253"/>
    <w:basedOn w:val="TableNormal"/>
    <w:uiPriority w:val="99"/>
    <w:qFormat/>
    <w:rsid w:val="00C95C96"/>
    <w:pPr>
      <w:spacing w:after="0" w:line="240" w:lineRule="auto"/>
    </w:pPr>
    <w:tblPr/>
  </w:style>
  <w:style w:type="table" w:customStyle="1" w:styleId="20122tableformat253">
    <w:name w:val="2012 2 table format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3">
    <w:name w:val="Medium Grid 1 - Accent 6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3">
    <w:name w:val="Light List - Accent 6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3">
    <w:name w:val="Light Grid - Accent 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3">
    <w:name w:val="2012 Style2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3">
    <w:name w:val="Light Shading - Accent 122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3">
    <w:name w:val="No List1253"/>
    <w:next w:val="NoList"/>
    <w:uiPriority w:val="99"/>
    <w:semiHidden/>
    <w:unhideWhenUsed/>
    <w:rsid w:val="00C95C96"/>
  </w:style>
  <w:style w:type="numbering" w:customStyle="1" w:styleId="CurrentList11253">
    <w:name w:val="Current List11253"/>
    <w:rsid w:val="00C95C96"/>
  </w:style>
  <w:style w:type="table" w:customStyle="1" w:styleId="TableGrid1153">
    <w:name w:val="Table Grid11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3">
    <w:name w:val="Bulleted List1253"/>
    <w:rsid w:val="00C95C96"/>
  </w:style>
  <w:style w:type="table" w:customStyle="1" w:styleId="LightShading11153">
    <w:name w:val="Light Shading111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3">
    <w:name w:val="Light Grid111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3">
    <w:name w:val="Medium Shading 1 - Accent 1111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3">
    <w:name w:val="Medium Grid 1 - Accent 111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3">
    <w:name w:val="Light Shading - Accent 1111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3">
    <w:name w:val="RSP_Style1153"/>
    <w:basedOn w:val="TableNormal"/>
    <w:uiPriority w:val="99"/>
    <w:qFormat/>
    <w:rsid w:val="00C95C96"/>
    <w:pPr>
      <w:spacing w:after="0" w:line="240" w:lineRule="auto"/>
    </w:pPr>
    <w:tblPr/>
  </w:style>
  <w:style w:type="table" w:customStyle="1" w:styleId="20122tableformat1153">
    <w:name w:val="2012 2 table format11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3">
    <w:name w:val="Medium Grid 1 - Accent 611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3">
    <w:name w:val="Light List - Accent 611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3">
    <w:name w:val="Light Grid - Accent 1111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3">
    <w:name w:val="2012 Style11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3">
    <w:name w:val="Light Shading - Accent 1211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3">
    <w:name w:val="Medium Shading 1 - Accent 4153"/>
    <w:basedOn w:val="TableNormal"/>
    <w:next w:val="MediumShading1-Accent4"/>
    <w:uiPriority w:val="63"/>
    <w:rsid w:val="00C95C9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3">
    <w:name w:val="No List453"/>
    <w:next w:val="NoList"/>
    <w:uiPriority w:val="99"/>
    <w:semiHidden/>
    <w:unhideWhenUsed/>
    <w:rsid w:val="00C95C96"/>
  </w:style>
  <w:style w:type="table" w:customStyle="1" w:styleId="TableGrid363">
    <w:name w:val="Table Grid36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3">
    <w:name w:val="Light Shading13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3">
    <w:name w:val="Light Grid13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3">
    <w:name w:val="Medium Shading 1 - Accent 113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3">
    <w:name w:val="Medium Grid 1 - Accent 13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3">
    <w:name w:val="Light Shading - Accent 113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3">
    <w:name w:val="RSP_Style353"/>
    <w:basedOn w:val="TableNormal"/>
    <w:uiPriority w:val="99"/>
    <w:qFormat/>
    <w:rsid w:val="00C95C96"/>
    <w:pPr>
      <w:spacing w:after="0" w:line="240" w:lineRule="auto"/>
    </w:pPr>
    <w:tblPr/>
  </w:style>
  <w:style w:type="table" w:customStyle="1" w:styleId="20122tableformat353">
    <w:name w:val="2012 2 table format3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3">
    <w:name w:val="Medium Grid 1 - Accent 63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3">
    <w:name w:val="Light List - Accent 63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3">
    <w:name w:val="Light Grid - Accent 113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3">
    <w:name w:val="2012 Style353"/>
    <w:basedOn w:val="TableNormal"/>
    <w:uiPriority w:val="99"/>
    <w:qFormat/>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3">
    <w:name w:val="Light Shading - Accent 12353"/>
    <w:basedOn w:val="TableNormal"/>
    <w:uiPriority w:val="60"/>
    <w:rsid w:val="00C95C96"/>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3">
    <w:name w:val="No List1353"/>
    <w:next w:val="NoList"/>
    <w:uiPriority w:val="99"/>
    <w:semiHidden/>
    <w:unhideWhenUsed/>
    <w:rsid w:val="00C95C96"/>
  </w:style>
  <w:style w:type="numbering" w:customStyle="1" w:styleId="CurrentList11353">
    <w:name w:val="Current List11353"/>
    <w:rsid w:val="00C95C96"/>
  </w:style>
  <w:style w:type="table" w:customStyle="1" w:styleId="TableGrid1253">
    <w:name w:val="Table Grid1253"/>
    <w:basedOn w:val="TableNormal"/>
    <w:next w:val="TableGrid"/>
    <w:uiPriority w:val="59"/>
    <w:rsid w:val="00C95C96"/>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3">
    <w:name w:val="Bulleted List1353"/>
    <w:rsid w:val="00C95C96"/>
  </w:style>
  <w:style w:type="table" w:customStyle="1" w:styleId="LightShading11253">
    <w:name w:val="Light Shading11253"/>
    <w:basedOn w:val="TableNormal"/>
    <w:uiPriority w:val="60"/>
    <w:rsid w:val="00C95C96"/>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3">
    <w:name w:val="Light Grid11253"/>
    <w:basedOn w:val="TableNormal"/>
    <w:uiPriority w:val="62"/>
    <w:rsid w:val="00C95C96"/>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3">
    <w:name w:val="Medium Shading 1 - Accent 111253"/>
    <w:basedOn w:val="TableNormal"/>
    <w:uiPriority w:val="63"/>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3">
    <w:name w:val="Medium Grid 1 - Accent 11253"/>
    <w:basedOn w:val="TableNormal"/>
    <w:next w:val="MediumGrid1-Accent1"/>
    <w:uiPriority w:val="67"/>
    <w:rsid w:val="00C95C96"/>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3">
    <w:name w:val="Light Shading - Accent 111253"/>
    <w:basedOn w:val="TableNormal"/>
    <w:uiPriority w:val="60"/>
    <w:rsid w:val="00C95C96"/>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3">
    <w:name w:val="RSP_Style1253"/>
    <w:basedOn w:val="TableNormal"/>
    <w:uiPriority w:val="99"/>
    <w:qFormat/>
    <w:rsid w:val="00C95C96"/>
    <w:pPr>
      <w:spacing w:after="0" w:line="240" w:lineRule="auto"/>
    </w:pPr>
    <w:tblPr/>
  </w:style>
  <w:style w:type="table" w:customStyle="1" w:styleId="20122tableformat1253">
    <w:name w:val="2012 2 table format1253"/>
    <w:basedOn w:val="TableNormal"/>
    <w:uiPriority w:val="63"/>
    <w:rsid w:val="00C95C96"/>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3">
    <w:name w:val="Medium Grid 1 - Accent 61253"/>
    <w:basedOn w:val="TableNormal"/>
    <w:next w:val="MediumGrid1-Accent6"/>
    <w:uiPriority w:val="67"/>
    <w:rsid w:val="00C95C96"/>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3">
    <w:name w:val="Light List - Accent 61253"/>
    <w:basedOn w:val="TableNormal"/>
    <w:next w:val="LightList-Accent6"/>
    <w:uiPriority w:val="61"/>
    <w:rsid w:val="00C95C96"/>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3">
    <w:name w:val="Light Grid - Accent 111253"/>
    <w:basedOn w:val="TableNormal"/>
    <w:uiPriority w:val="62"/>
    <w:rsid w:val="00C95C96"/>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375">
      <w:bodyDiv w:val="1"/>
      <w:marLeft w:val="0"/>
      <w:marRight w:val="0"/>
      <w:marTop w:val="0"/>
      <w:marBottom w:val="0"/>
      <w:divBdr>
        <w:top w:val="none" w:sz="0" w:space="0" w:color="auto"/>
        <w:left w:val="none" w:sz="0" w:space="0" w:color="auto"/>
        <w:bottom w:val="none" w:sz="0" w:space="0" w:color="auto"/>
        <w:right w:val="none" w:sz="0" w:space="0" w:color="auto"/>
      </w:divBdr>
    </w:div>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30245702">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64313287">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33137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469638510">
      <w:bodyDiv w:val="1"/>
      <w:marLeft w:val="0"/>
      <w:marRight w:val="0"/>
      <w:marTop w:val="0"/>
      <w:marBottom w:val="0"/>
      <w:divBdr>
        <w:top w:val="none" w:sz="0" w:space="0" w:color="auto"/>
        <w:left w:val="none" w:sz="0" w:space="0" w:color="auto"/>
        <w:bottom w:val="none" w:sz="0" w:space="0" w:color="auto"/>
        <w:right w:val="none" w:sz="0" w:space="0" w:color="auto"/>
      </w:divBdr>
    </w:div>
    <w:div w:id="491415820">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067120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0281156">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147967">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1701214">
      <w:bodyDiv w:val="1"/>
      <w:marLeft w:val="0"/>
      <w:marRight w:val="0"/>
      <w:marTop w:val="0"/>
      <w:marBottom w:val="0"/>
      <w:divBdr>
        <w:top w:val="none" w:sz="0" w:space="0" w:color="auto"/>
        <w:left w:val="none" w:sz="0" w:space="0" w:color="auto"/>
        <w:bottom w:val="none" w:sz="0" w:space="0" w:color="auto"/>
        <w:right w:val="none" w:sz="0" w:space="0" w:color="auto"/>
      </w:divBdr>
      <w:divsChild>
        <w:div w:id="1443308">
          <w:marLeft w:val="0"/>
          <w:marRight w:val="0"/>
          <w:marTop w:val="0"/>
          <w:marBottom w:val="0"/>
          <w:divBdr>
            <w:top w:val="none" w:sz="0" w:space="0" w:color="auto"/>
            <w:left w:val="none" w:sz="0" w:space="0" w:color="auto"/>
            <w:bottom w:val="none" w:sz="0" w:space="0" w:color="auto"/>
            <w:right w:val="none" w:sz="0" w:space="0" w:color="auto"/>
          </w:divBdr>
        </w:div>
        <w:div w:id="1103692147">
          <w:marLeft w:val="0"/>
          <w:marRight w:val="0"/>
          <w:marTop w:val="0"/>
          <w:marBottom w:val="0"/>
          <w:divBdr>
            <w:top w:val="none" w:sz="0" w:space="0" w:color="auto"/>
            <w:left w:val="none" w:sz="0" w:space="0" w:color="auto"/>
            <w:bottom w:val="none" w:sz="0" w:space="0" w:color="auto"/>
            <w:right w:val="none" w:sz="0" w:space="0" w:color="auto"/>
          </w:divBdr>
        </w:div>
      </w:divsChild>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89145324">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58210474">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196499125">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843501">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3869628">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4499935">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059136">
      <w:bodyDiv w:val="1"/>
      <w:marLeft w:val="0"/>
      <w:marRight w:val="0"/>
      <w:marTop w:val="0"/>
      <w:marBottom w:val="0"/>
      <w:divBdr>
        <w:top w:val="none" w:sz="0" w:space="0" w:color="auto"/>
        <w:left w:val="none" w:sz="0" w:space="0" w:color="auto"/>
        <w:bottom w:val="none" w:sz="0" w:space="0" w:color="auto"/>
        <w:right w:val="none" w:sz="0" w:space="0" w:color="auto"/>
      </w:divBdr>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28057255">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88948676">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00275384">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767996941">
      <w:bodyDiv w:val="1"/>
      <w:marLeft w:val="0"/>
      <w:marRight w:val="0"/>
      <w:marTop w:val="0"/>
      <w:marBottom w:val="0"/>
      <w:divBdr>
        <w:top w:val="none" w:sz="0" w:space="0" w:color="auto"/>
        <w:left w:val="none" w:sz="0" w:space="0" w:color="auto"/>
        <w:bottom w:val="none" w:sz="0" w:space="0" w:color="auto"/>
        <w:right w:val="none" w:sz="0" w:space="0" w:color="auto"/>
      </w:divBdr>
    </w:div>
    <w:div w:id="1795826310">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199329524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ne.com/static-assets/documents/2019/05/2018-annual-markets-report.pdf" TargetMode="External"/><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hyperlink" Target="https://www.iso-ne.com/isoexpress/web/reports/auctions/-/tree/fca-results" TargetMode="External"/><Relationship Id="rId47" Type="http://schemas.openxmlformats.org/officeDocument/2006/relationships/image" Target="media/image16.emf"/><Relationship Id="rId50" Type="http://schemas.openxmlformats.org/officeDocument/2006/relationships/image" Target="media/image18.png"/><Relationship Id="rId55" Type="http://schemas.openxmlformats.org/officeDocument/2006/relationships/hyperlink" Target="http://www.iso-ne.com/isoexpress/web/reports/operations/-/tree/single-src-cont" TargetMode="External"/><Relationship Id="rId63" Type="http://schemas.openxmlformats.org/officeDocument/2006/relationships/image" Target="media/image25.emf"/><Relationship Id="rId68" Type="http://schemas.openxmlformats.org/officeDocument/2006/relationships/hyperlink" Target="file:///C:\Users\hsaarela\AppData\Local\Microsoft\Windows\Temporary%20Internet%20Files\Content.Outlook\KZM61H1S\EIA" TargetMode="External"/><Relationship Id="rId76" Type="http://schemas.openxmlformats.org/officeDocument/2006/relationships/hyperlink" Target="https://www.eia.gov/electricity/data/eia923/" TargetMode="External"/><Relationship Id="rId84" Type="http://schemas.openxmlformats.org/officeDocument/2006/relationships/hyperlink" Target="https://www.eia.gov/electricity/data/eia923/" TargetMode="External"/><Relationship Id="rId89" Type="http://schemas.openxmlformats.org/officeDocument/2006/relationships/image" Target="media/image36.emf"/><Relationship Id="rId97" Type="http://schemas.openxmlformats.org/officeDocument/2006/relationships/hyperlink" Target="http://www.nrc.gov/info-finder/reactor/" TargetMode="Externa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hyperlink" Target="https://ampd.epa.gov/ampd/"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image" Target="media/image14.emf"/><Relationship Id="rId40" Type="http://schemas.openxmlformats.org/officeDocument/2006/relationships/hyperlink" Target="https://www.iso-ne.com/static-assets/documents/2016/12/summary_of_historical_icr_values.xlsx" TargetMode="External"/><Relationship Id="rId45" Type="http://schemas.openxmlformats.org/officeDocument/2006/relationships/hyperlink" Target="https://www.iso-ne.com/static-assets/documents/2018/11/public_er19-___-000_11-6-18_fca_13_info_filing.pdf" TargetMode="External"/><Relationship Id="rId53" Type="http://schemas.openxmlformats.org/officeDocument/2006/relationships/hyperlink" Target="https://www.iso-ne.com/static-assets/documents/rules_proceds/isone_plan/pp04_0/pp4_0.pdf" TargetMode="External"/><Relationship Id="rId58" Type="http://schemas.openxmlformats.org/officeDocument/2006/relationships/hyperlink" Target="https://www.iso-ne.com/static-assets/documents/2019/01/envtlupdate_20190129.pdf" TargetMode="External"/><Relationship Id="rId66" Type="http://schemas.openxmlformats.org/officeDocument/2006/relationships/image" Target="media/image28.emf"/><Relationship Id="rId74" Type="http://schemas.openxmlformats.org/officeDocument/2006/relationships/image" Target="media/image31.emf"/><Relationship Id="rId79" Type="http://schemas.openxmlformats.org/officeDocument/2006/relationships/hyperlink" Target="https://www.eia.gov/electricity/data/water/" TargetMode="External"/><Relationship Id="rId87"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image" Target="media/image33.emf"/><Relationship Id="rId90" Type="http://schemas.openxmlformats.org/officeDocument/2006/relationships/hyperlink" Target="https://www.rggi.org/program-overview-and-design/elements" TargetMode="External"/><Relationship Id="rId95" Type="http://schemas.openxmlformats.org/officeDocument/2006/relationships/image" Target="media/image38.emf"/><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iso-ne.com/about/key-stats" TargetMode="External"/><Relationship Id="rId30" Type="http://schemas.openxmlformats.org/officeDocument/2006/relationships/image" Target="media/image6.emf"/><Relationship Id="rId35" Type="http://schemas.openxmlformats.org/officeDocument/2006/relationships/image" Target="media/image12.emf"/><Relationship Id="rId43" Type="http://schemas.openxmlformats.org/officeDocument/2006/relationships/hyperlink" Target="https://www.iso-ne.com/committees/participants/participants-committee" TargetMode="External"/><Relationship Id="rId48" Type="http://schemas.openxmlformats.org/officeDocument/2006/relationships/hyperlink" Target="http://www.iso-ne.com/markets-operations/markets/reserves" TargetMode="External"/><Relationship Id="rId56" Type="http://schemas.openxmlformats.org/officeDocument/2006/relationships/image" Target="media/image21.emf"/><Relationship Id="rId64" Type="http://schemas.openxmlformats.org/officeDocument/2006/relationships/image" Target="media/image26.emf"/><Relationship Id="rId69" Type="http://schemas.openxmlformats.org/officeDocument/2006/relationships/hyperlink" Target="https://www.eia.gov/dnav/ng/ng_move_poe1_a_epg0_iml_mmcf_m.htm" TargetMode="External"/><Relationship Id="rId77" Type="http://schemas.openxmlformats.org/officeDocument/2006/relationships/hyperlink" Target="https://www.iso-ne.com/isoexpress/web/reports/operations/-/tree/daily-gen-fuel-type"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hyperlink" Target="https://www.iso-ne.com/static-assets/documents/2018/10/2018-2019-winter-generator-readiness-seminar-combined.pdf" TargetMode="External"/><Relationship Id="rId80" Type="http://schemas.openxmlformats.org/officeDocument/2006/relationships/hyperlink" Target="https://www.eia.gov/electricity/data/eia923/" TargetMode="External"/><Relationship Id="rId85" Type="http://schemas.openxmlformats.org/officeDocument/2006/relationships/hyperlink" Target="http://www.iso-ne.com/system-planning/system-plans-studies/celt" TargetMode="External"/><Relationship Id="rId93" Type="http://schemas.openxmlformats.org/officeDocument/2006/relationships/image" Target="media/image37.emf"/><Relationship Id="rId98"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iso-ne.com/system-planning/system-plans-studies/celt" TargetMode="External"/><Relationship Id="rId33" Type="http://schemas.openxmlformats.org/officeDocument/2006/relationships/image" Target="media/image10.emf"/><Relationship Id="rId38" Type="http://schemas.openxmlformats.org/officeDocument/2006/relationships/hyperlink" Target="https://www.iso-ne.com/static-assets/documents/2019/04/forecast_data_2019.xlsx" TargetMode="External"/><Relationship Id="rId46" Type="http://schemas.openxmlformats.org/officeDocument/2006/relationships/hyperlink" Target="https://www.iso-ne.com/system-planning/system-forecasting/energy-efficiency-forecast" TargetMode="External"/><Relationship Id="rId59" Type="http://schemas.openxmlformats.org/officeDocument/2006/relationships/image" Target="media/image22.emf"/><Relationship Id="rId67" Type="http://schemas.openxmlformats.org/officeDocument/2006/relationships/image" Target="media/image29.emf"/><Relationship Id="rId20" Type="http://schemas.openxmlformats.org/officeDocument/2006/relationships/footer" Target="footer5.xml"/><Relationship Id="rId41" Type="http://schemas.openxmlformats.org/officeDocument/2006/relationships/hyperlink" Target="https://www.iso-ne.com/markets-operations/markets/forward-capacity-market/fcm-auction-bilateral-results" TargetMode="External"/><Relationship Id="rId54" Type="http://schemas.openxmlformats.org/officeDocument/2006/relationships/hyperlink" Target="https://www.iso-ne.com/static-assets/documents/2019/07/a03_rc_tc_2019_07_16_17_five_year_forecast.pptx" TargetMode="External"/><Relationship Id="rId62" Type="http://schemas.openxmlformats.org/officeDocument/2006/relationships/image" Target="media/image24.emf"/><Relationship Id="rId70" Type="http://schemas.openxmlformats.org/officeDocument/2006/relationships/hyperlink" Target="http://www.eia.gov/dnav/ng/ng_move_poe1_a_epg0_irp_mmcf_m.htm" TargetMode="External"/><Relationship Id="rId75" Type="http://schemas.openxmlformats.org/officeDocument/2006/relationships/hyperlink" Target="https://www.eia.gov/electricity/data/water/" TargetMode="External"/><Relationship Id="rId83" Type="http://schemas.openxmlformats.org/officeDocument/2006/relationships/hyperlink" Target="https://www.eia.gov/electricity/data/water/" TargetMode="External"/><Relationship Id="rId88" Type="http://schemas.openxmlformats.org/officeDocument/2006/relationships/image" Target="media/image35.emf"/><Relationship Id="rId91" Type="http://schemas.openxmlformats.org/officeDocument/2006/relationships/hyperlink" Target="https://rggi-coats.org/eats/rggi/" TargetMode="External"/><Relationship Id="rId96" Type="http://schemas.openxmlformats.org/officeDocument/2006/relationships/hyperlink" Target="https://www.iso-ne.com/static-assets/documents/2019/01/ghgupdate_2019012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www.iso-ne.com/static-assets/documents/rules_proceds/operating/isone/op4/op4_rto_final.pdf" TargetMode="External"/><Relationship Id="rId36" Type="http://schemas.openxmlformats.org/officeDocument/2006/relationships/image" Target="media/image13.emf"/><Relationship Id="rId49" Type="http://schemas.openxmlformats.org/officeDocument/2006/relationships/image" Target="media/image17.emf"/><Relationship Id="rId57" Type="http://schemas.openxmlformats.org/officeDocument/2006/relationships/hyperlink" Target="https://www.iso-ne.com/static-assets/documents/2019/04/2017_emissions_report.pdf" TargetMode="Externa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5.emf"/><Relationship Id="rId52" Type="http://schemas.openxmlformats.org/officeDocument/2006/relationships/image" Target="media/image20.emf"/><Relationship Id="rId60" Type="http://schemas.openxmlformats.org/officeDocument/2006/relationships/hyperlink" Target="https://www.iso-ne.com/static-assets/documents/2019/04/2019_celt_report.xls" TargetMode="External"/><Relationship Id="rId65" Type="http://schemas.openxmlformats.org/officeDocument/2006/relationships/image" Target="media/image27.emf"/><Relationship Id="rId73" Type="http://schemas.openxmlformats.org/officeDocument/2006/relationships/hyperlink" Target="https://www.energy.gov/sites/prod/files/2017/08/f36/Staff%20Report%20on%20Electricity%20Markets%20and%20Reliability_0.pdf" TargetMode="External"/><Relationship Id="rId78" Type="http://schemas.openxmlformats.org/officeDocument/2006/relationships/image" Target="media/image32.emf"/><Relationship Id="rId81" Type="http://schemas.openxmlformats.org/officeDocument/2006/relationships/hyperlink" Target="https://www.iso-ne.com/isoexpress/web/reports/operations/-/tree/daily-gen-fuel-type" TargetMode="External"/><Relationship Id="rId86" Type="http://schemas.openxmlformats.org/officeDocument/2006/relationships/hyperlink" Target="https://www.energy.gov/sites/prod/files/2017/08/f36/Staff%20Report%20on%20Electricity%20Markets%20and%20Reliability_0.pdf" TargetMode="External"/><Relationship Id="rId94" Type="http://schemas.openxmlformats.org/officeDocument/2006/relationships/hyperlink" Target="https://www.iso-ne.com/static-assets/documents/2019/04/2017_emissions_report.pdf"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file:///C:\Users\cwendel\AppData\Roaming\Microsoft\Word\%5b%20https:\www.iso-ne.com\static-assets\documents\2019\04\forecast_data_2019.xlsx"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iso-ne.com/static-assets/documents/2018/09/a12_second_maine_resource_integration_study_scope_rev1.pdf" TargetMode="External"/><Relationship Id="rId299" Type="http://schemas.openxmlformats.org/officeDocument/2006/relationships/hyperlink" Target="https://www.iso-ne.com/isoexpress/web/reports/operations/-/tree/daily-gen-fuel-type" TargetMode="External"/><Relationship Id="rId303" Type="http://schemas.openxmlformats.org/officeDocument/2006/relationships/hyperlink" Target="http://elibrary.ferc.gov/idmws/common/OpenNat.asp?fileID=13140930" TargetMode="External"/><Relationship Id="rId21" Type="http://schemas.openxmlformats.org/officeDocument/2006/relationships/hyperlink" Target="https://www.iso-ne.com/static-assets/documents/2017/08/a3_2016_economic_study_natural_gas_capacity_and_energy_analysis_rev1.pdf" TargetMode="External"/><Relationship Id="rId42" Type="http://schemas.openxmlformats.org/officeDocument/2006/relationships/hyperlink" Target="http://www.iso-ne.com/participate/governing-agreements/nepool-agreement" TargetMode="External"/><Relationship Id="rId63" Type="http://schemas.openxmlformats.org/officeDocument/2006/relationships/hyperlink" Target="http://www.iso-ne.com/participate/rules-procedures/tariff/market-rule-1" TargetMode="External"/><Relationship Id="rId84" Type="http://schemas.openxmlformats.org/officeDocument/2006/relationships/hyperlink" Target="https://www.iso-ne.com/static-assets/documents/2016/09/2016_solar_forecast_details_final.pdf%20" TargetMode="External"/><Relationship Id="rId138" Type="http://schemas.openxmlformats.org/officeDocument/2006/relationships/hyperlink" Target="https://smd.iso-ne.com/operations-services/ceii/pac/2018/07/final_ceii_swct_2027_na.pdf" TargetMode="External"/><Relationship Id="rId159" Type="http://schemas.openxmlformats.org/officeDocument/2006/relationships/hyperlink" Target="https://smd.iso-ne.com/operations-services/ceii/pac/2016/05/final_sema_ri_2026_needs_assessment_presentation_rev2.pdf" TargetMode="External"/><Relationship Id="rId324" Type="http://schemas.openxmlformats.org/officeDocument/2006/relationships/hyperlink" Target="https://www.nrel.gov/analysis/standard-scenarios.html" TargetMode="External"/><Relationship Id="rId345" Type="http://schemas.openxmlformats.org/officeDocument/2006/relationships/hyperlink" Target="http://www.nescoe.com" TargetMode="External"/><Relationship Id="rId366" Type="http://schemas.openxmlformats.org/officeDocument/2006/relationships/hyperlink" Target="http://www.mainelegislature.org/legis/bills/display_ps.asp?ld=91&amp;PID=1456&amp;snum=129" TargetMode="External"/><Relationship Id="rId170" Type="http://schemas.openxmlformats.org/officeDocument/2006/relationships/hyperlink" Target="https://smd.iso-ne.com/operations-services/ceii/pac/2014/a3_maine_2023_needs_assessment_results.pdf" TargetMode="External"/><Relationship Id="rId191" Type="http://schemas.openxmlformats.org/officeDocument/2006/relationships/hyperlink" Target="https://smd.iso-ne.com/operations-services/ceii/pac/2018/03/final_ceii_2027_ect_needs_assessment_sow_clean.pdf" TargetMode="External"/><Relationship Id="rId205" Type="http://schemas.openxmlformats.org/officeDocument/2006/relationships/hyperlink" Target="https://www.iso-ne.com/static-assets/documents/2018/09/a12_second_maine_resource_integration_study_scope_rev1.pdf" TargetMode="External"/><Relationship Id="rId226" Type="http://schemas.openxmlformats.org/officeDocument/2006/relationships/hyperlink" Target="https://isorto.org/" TargetMode="External"/><Relationship Id="rId247" Type="http://schemas.openxmlformats.org/officeDocument/2006/relationships/hyperlink" Target="https://www.epa.gov/rcra/resource-conservation-and-recovery-act-rcra-overview" TargetMode="External"/><Relationship Id="rId107" Type="http://schemas.openxmlformats.org/officeDocument/2006/relationships/hyperlink" Target="https://www.iso-ne.com/static-assets/documents/2019/03/a8_fca14_transmission_transfer_capabilities_and_capacity_zone_development.pdf" TargetMode="External"/><Relationship Id="rId268" Type="http://schemas.openxmlformats.org/officeDocument/2006/relationships/hyperlink" Target="https://www.mass.gov/service-details/clean-peak-energy-standard" TargetMode="External"/><Relationship Id="rId289" Type="http://schemas.openxmlformats.org/officeDocument/2006/relationships/hyperlink" Target="file:///C:\Users\cwendel\Documents\2017%20Reports\RSP17\BOD%20Draft\Program%20Overview" TargetMode="External"/><Relationship Id="rId11" Type="http://schemas.openxmlformats.org/officeDocument/2006/relationships/hyperlink" Target="https://www.iso-ne.com/system-planning/key-study-areas/new-england-asset-management/" TargetMode="External"/><Relationship Id="rId32" Type="http://schemas.openxmlformats.org/officeDocument/2006/relationships/hyperlink" Target="https://www.iso-ne.com/static-assets/documents/regulatory/tariff/sect_2/sch23/sch_23_sgip.pdf" TargetMode="External"/><Relationship Id="rId53" Type="http://schemas.openxmlformats.org/officeDocument/2006/relationships/hyperlink" Target="http://www.iso-ne.com/participate/rules-procedures" TargetMode="External"/><Relationship Id="rId74" Type="http://schemas.openxmlformats.org/officeDocument/2006/relationships/hyperlink" Target="https://www.iso-ne.com/static-assets/documents/2019/03/a4_draft_2019_isone_annual_energy_and_summer_peak_forecast.pdf" TargetMode="External"/><Relationship Id="rId128" Type="http://schemas.openxmlformats.org/officeDocument/2006/relationships/hyperlink" Target="https://www.iso-ne.com/static-assets/documents/2018/04/pa16-6-000_4-18-18_final_audit_report.pdf" TargetMode="External"/><Relationship Id="rId149" Type="http://schemas.openxmlformats.org/officeDocument/2006/relationships/hyperlink" Target="https://smd.iso-ne.com/planning/ceii/reports/2010s/greater_boston_updated_needs_assessment_report_final.pdf" TargetMode="External"/><Relationship Id="rId314" Type="http://schemas.openxmlformats.org/officeDocument/2006/relationships/hyperlink" Target="%20https:/www.iso-ne.com/static-assets/documents/2019/04/nescoe_2019_economic_study_request.pdf" TargetMode="External"/><Relationship Id="rId335" Type="http://schemas.openxmlformats.org/officeDocument/2006/relationships/hyperlink" Target="https://www.iso-ne.com/static-assets/documents/rules_proceds/operating/isone/op22/op22_rto_final.pdf" TargetMode="External"/><Relationship Id="rId356" Type="http://schemas.openxmlformats.org/officeDocument/2006/relationships/hyperlink" Target="http://www.ct.gov/deep/lib/deep/energy/ces/2018_comprehensive_energy_strategy.pdf" TargetMode="External"/><Relationship Id="rId377" Type="http://schemas.openxmlformats.org/officeDocument/2006/relationships/hyperlink" Target="https://www.nh.gov/osi/special-projects/offshore-renewable.htm" TargetMode="External"/><Relationship Id="rId5" Type="http://schemas.openxmlformats.org/officeDocument/2006/relationships/hyperlink" Target="https://www.iso-ne.com/static-assets/documents/2017/03/a4_updates_to_system_studies.pdf" TargetMode="External"/><Relationship Id="rId95" Type="http://schemas.openxmlformats.org/officeDocument/2006/relationships/hyperlink" Target="https://www.iso-ne.com/static-assets/documents/2018/11/icr_filing_fca_13.pdf" TargetMode="External"/><Relationship Id="rId160" Type="http://schemas.openxmlformats.org/officeDocument/2006/relationships/hyperlink" Target="https://smd.iso-ne.com/operations-services/ceii/pac/2016/05/final_sema_ri_needs_assessment_report.pdf" TargetMode="External"/><Relationship Id="rId181" Type="http://schemas.openxmlformats.org/officeDocument/2006/relationships/hyperlink" Target="https://www.iso-ne.com/static-assets/documents/2017/06/2027_nh_needs_assessment_study_initiation_pac_notice.pdf" TargetMode="External"/><Relationship Id="rId216" Type="http://schemas.openxmlformats.org/officeDocument/2006/relationships/hyperlink" Target="https://www.nerc.com/pa/Stand/Reliability%20Standards/MOD-032-1.pdf" TargetMode="External"/><Relationship Id="rId237" Type="http://schemas.openxmlformats.org/officeDocument/2006/relationships/hyperlink" Target="https://www.iso-ne.com/static-assets/documents/2015/09/er15-2208-000.pdf" TargetMode="External"/><Relationship Id="rId258" Type="http://schemas.openxmlformats.org/officeDocument/2006/relationships/hyperlink" Target="https://www.federalregister.gov/articles/2015/10/26/2015-26594/national-ambient-air-quality-standards-for-ozone" TargetMode="External"/><Relationship Id="rId279" Type="http://schemas.openxmlformats.org/officeDocument/2006/relationships/hyperlink" Target="https://www.mass.gov/guides/electricity-generator-emissions-limits-310-cmr-774" TargetMode="External"/><Relationship Id="rId22" Type="http://schemas.openxmlformats.org/officeDocument/2006/relationships/hyperlink" Target="https://www.iso-ne.com/static-assets/documents/2018/10/2017_economic_study_final.docx" TargetMode="External"/><Relationship Id="rId43" Type="http://schemas.openxmlformats.org/officeDocument/2006/relationships/hyperlink" Target="http://www.iso-ne.com/regulatory/tariff/sect_3/index.html" TargetMode="External"/><Relationship Id="rId64" Type="http://schemas.openxmlformats.org/officeDocument/2006/relationships/hyperlink" Target="https://www.iso-ne.com/static-assets/documents/2018/07/iso_presentation_lfc_27_july2018.pdf" TargetMode="External"/><Relationship Id="rId118" Type="http://schemas.openxmlformats.org/officeDocument/2006/relationships/hyperlink" Target="https://www.iso-ne.com/static-assets/documents/2018/04/a03_tc_2018_04_24_order_845.pdf" TargetMode="External"/><Relationship Id="rId139" Type="http://schemas.openxmlformats.org/officeDocument/2006/relationships/hyperlink" Target="https://www.iso-ne.com/system-planning/key-study-areas/greater-hartford" TargetMode="External"/><Relationship Id="rId290" Type="http://schemas.openxmlformats.org/officeDocument/2006/relationships/hyperlink" Target="https://www.rggi.org/design/overview" TargetMode="External"/><Relationship Id="rId304" Type="http://schemas.openxmlformats.org/officeDocument/2006/relationships/hyperlink" Target="https://elibrary.ferc.gov/idmws/common/OpenNat.asp?fileID=13140524" TargetMode="External"/><Relationship Id="rId325" Type="http://schemas.openxmlformats.org/officeDocument/2006/relationships/hyperlink" Target="https://www.nrel.gov/docs/fy13osti/55588.pdf" TargetMode="External"/><Relationship Id="rId346" Type="http://schemas.openxmlformats.org/officeDocument/2006/relationships/hyperlink" Target="http://www.iso-ne.com/about/government-industry-affairs/materials" TargetMode="External"/><Relationship Id="rId367" Type="http://schemas.openxmlformats.org/officeDocument/2006/relationships/hyperlink" Target="http://www.mainelegislature.org/legis/bills/display_ps.asp?PID=1456&amp;snum=129&amp;paper=&amp;paperld=l&amp;ld=1464" TargetMode="External"/><Relationship Id="rId85" Type="http://schemas.openxmlformats.org/officeDocument/2006/relationships/hyperlink" Target="https://www.iso-ne.com/static-assets/documents/regulatory/tariff/sect_2/sch22/sch_22_lgip.pdf" TargetMode="External"/><Relationship Id="rId150" Type="http://schemas.openxmlformats.org/officeDocument/2006/relationships/hyperlink" Target="https://www.iso-ne.com/static-assets/documents/2015/02/a2_isone_greater_boston_preferred_solution_non_ceii.pdf" TargetMode="External"/><Relationship Id="rId171" Type="http://schemas.openxmlformats.org/officeDocument/2006/relationships/hyperlink" Target="https://smd.iso-ne.com/operations-services/ceii/pac/2014/final_maine_2023_needs_assessment_tpl_001_4_compliance_report.pdf" TargetMode="External"/><Relationship Id="rId192" Type="http://schemas.openxmlformats.org/officeDocument/2006/relationships/hyperlink" Target="https://smd.iso-ne.com/operations-services/ceii/pac/2018/05/final_ceii_ect_2027_na.pdf" TargetMode="External"/><Relationship Id="rId206" Type="http://schemas.openxmlformats.org/officeDocument/2006/relationships/hyperlink" Target="https://www.energy.gov/oe/office-electricity" TargetMode="External"/><Relationship Id="rId227" Type="http://schemas.openxmlformats.org/officeDocument/2006/relationships/hyperlink" Target="https://www.iso-ne.com/static-assets/documents/2018/05/irc_motion_to_extend_time_to_comply_rm17-8.pdf" TargetMode="External"/><Relationship Id="rId248" Type="http://schemas.openxmlformats.org/officeDocument/2006/relationships/hyperlink" Target="https://www.epa.gov/laws-regulations/summary-clean-water-act" TargetMode="External"/><Relationship Id="rId269" Type="http://schemas.openxmlformats.org/officeDocument/2006/relationships/hyperlink" Target="https://www.rggi.org/sites/default/files/Uploads/Market-Monitor/Quarterly-Reports/MM_Secondary_Market_Report_2018_Q4.pdf" TargetMode="External"/><Relationship Id="rId12" Type="http://schemas.openxmlformats.org/officeDocument/2006/relationships/hyperlink" Target="https://www.nerc.com/pa/Stand/Reliability%20Standards%20Complete%20Set/RSCompleteSet.pdf" TargetMode="External"/><Relationship Id="rId33" Type="http://schemas.openxmlformats.org/officeDocument/2006/relationships/hyperlink" Target="http://www.iso-ne.com/static-assets/documents/regulatory/tariff/sect_2/oatt/sect_ii.pdf" TargetMode="External"/><Relationship Id="rId108" Type="http://schemas.openxmlformats.org/officeDocument/2006/relationships/hyperlink" Target="http://www.iso-ne.com/regulatory/tariff/sect_3/index.html" TargetMode="External"/><Relationship Id="rId129" Type="http://schemas.openxmlformats.org/officeDocument/2006/relationships/hyperlink" Target="https://www.iso-ne.com/static-assets/documents/2017/10/pp3_r8.pdf" TargetMode="External"/><Relationship Id="rId280" Type="http://schemas.openxmlformats.org/officeDocument/2006/relationships/hyperlink" Target="https://www.mass.gov/service-details/clean-peak-energy-standard" TargetMode="External"/><Relationship Id="rId315" Type="http://schemas.openxmlformats.org/officeDocument/2006/relationships/hyperlink" Target="https://www.iso-ne.com/static-assets/documents/2019/04/renew_2019_economic_study_request.pdf" TargetMode="External"/><Relationship Id="rId336" Type="http://schemas.openxmlformats.org/officeDocument/2006/relationships/hyperlink" Target="https://www.iso-ne.com/participate/support/customer-readiness-outlook/do-not-exceed-dispatch%23project-overview" TargetMode="External"/><Relationship Id="rId357" Type="http://schemas.openxmlformats.org/officeDocument/2006/relationships/hyperlink" Target="http://www.dpuc.state.ct.us/DEEPEnergy.nsf/$EnergyView?OpenForm&amp;Start=1&amp;Count=30&amp;Expand=16.8&amp;Seq=3" TargetMode="External"/><Relationship Id="rId54" Type="http://schemas.openxmlformats.org/officeDocument/2006/relationships/hyperlink" Target="http://www.ferc.gov/whats-new/comm-meet/2007/021507/E-1.pdf" TargetMode="External"/><Relationship Id="rId75" Type="http://schemas.openxmlformats.org/officeDocument/2006/relationships/hyperlink" Target="%20https:/www.iso-ne.com/static-assets/documents/2019/03/lfc_29mar2019_final.pdf" TargetMode="External"/><Relationship Id="rId96" Type="http://schemas.openxmlformats.org/officeDocument/2006/relationships/hyperlink" Target="https://www.iso-ne.com/static-assets/documents/2015/06/iso_ne_capacity_mkt_discussion_paper_06_03_2015.pdf" TargetMode="External"/><Relationship Id="rId140" Type="http://schemas.openxmlformats.org/officeDocument/2006/relationships/hyperlink" Target="https://smd.iso-ne.com/operations-services/ceii/pac/2018/06/a3_ghcc_sw_hartford_to_newington_115kv_line_upgrade_1.pdf" TargetMode="External"/><Relationship Id="rId161" Type="http://schemas.openxmlformats.org/officeDocument/2006/relationships/hyperlink" Target="https://smd.iso-ne.com/operations-services/ceii/pac/2016/12/a3_sema_ri_2026_preliminary_preferred_solutions.pdf" TargetMode="External"/><Relationship Id="rId182" Type="http://schemas.openxmlformats.org/officeDocument/2006/relationships/hyperlink" Target="https://smd.iso-ne.com/operations-services/ceii/pac/2018/05/final_ceii_2027_nh_na_sow_rev1_clean.pdf" TargetMode="External"/><Relationship Id="rId217" Type="http://schemas.openxmlformats.org/officeDocument/2006/relationships/hyperlink" Target="https://www.nerc.com/files/glossary_of_terms.pdf" TargetMode="External"/><Relationship Id="rId378" Type="http://schemas.openxmlformats.org/officeDocument/2006/relationships/hyperlink" Target="https://www.des.nh.gov/media/pr/2019/20190502-wastewater-treatment.htm" TargetMode="External"/><Relationship Id="rId6" Type="http://schemas.openxmlformats.org/officeDocument/2006/relationships/hyperlink" Target="https://www.ferc.gov/industries/electric/indus-act/trans-plan.asp" TargetMode="External"/><Relationship Id="rId238" Type="http://schemas.openxmlformats.org/officeDocument/2006/relationships/hyperlink" Target="http://isonewswire.com/updates/2018/4/25/winter-20172018-recap-historic-cold-snap-reinforces-findings.html" TargetMode="External"/><Relationship Id="rId259" Type="http://schemas.openxmlformats.org/officeDocument/2006/relationships/hyperlink" Target="https://www.federalregister.gov/d/2019-00936" TargetMode="External"/><Relationship Id="rId23" Type="http://schemas.openxmlformats.org/officeDocument/2006/relationships/hyperlink" Target="https://www.iso-ne.com/markets-operations/market-monitoring-mitigation/internal-monitor" TargetMode="External"/><Relationship Id="rId119" Type="http://schemas.openxmlformats.org/officeDocument/2006/relationships/hyperlink" Target="https://www.ferc.gov/whats-new/comm-meet/2018/041918/E-2.pdf" TargetMode="External"/><Relationship Id="rId270" Type="http://schemas.openxmlformats.org/officeDocument/2006/relationships/hyperlink" Target="https://www.rggi.org/design/overview" TargetMode="External"/><Relationship Id="rId291" Type="http://schemas.openxmlformats.org/officeDocument/2006/relationships/hyperlink" Target="https://www.iso-ne.com/static-assets/documents/2019/04/2017_emissions_report.pdf" TargetMode="External"/><Relationship Id="rId305" Type="http://schemas.openxmlformats.org/officeDocument/2006/relationships/hyperlink" Target="http://www.crjc.org/news-and-events/relicensing-of-connecticut-river-dams/" TargetMode="External"/><Relationship Id="rId326" Type="http://schemas.openxmlformats.org/officeDocument/2006/relationships/hyperlink" Target="http://www.burns-group.com/wp-content/uploads/2016/10/The_Navy_Yard_Advanced_Microgrid_IDEA_2015.pdf" TargetMode="External"/><Relationship Id="rId347" Type="http://schemas.openxmlformats.org/officeDocument/2006/relationships/hyperlink" Target="https://www.naseo.org/" TargetMode="External"/><Relationship Id="rId44" Type="http://schemas.openxmlformats.org/officeDocument/2006/relationships/hyperlink" Target="http://www.iso-ne.com/system-planning/system-plans-studies/rsp" TargetMode="External"/><Relationship Id="rId65" Type="http://schemas.openxmlformats.org/officeDocument/2006/relationships/hyperlink" Target="https://www.iso-ne.com/system-planning/system-forecasting/load-forecast/" TargetMode="External"/><Relationship Id="rId86" Type="http://schemas.openxmlformats.org/officeDocument/2006/relationships/hyperlink" Target="https://www.iso-ne.com/static-assets/documents/regulatory/tariff/sect_2/sch22/sch_22_lgip.pdf" TargetMode="External"/><Relationship Id="rId130" Type="http://schemas.openxmlformats.org/officeDocument/2006/relationships/hyperlink" Target="https://www.iso-ne.com/static-assets/documents/2017/09/a6_creation_of_needs_assessment_dispatches.pdf" TargetMode="External"/><Relationship Id="rId151" Type="http://schemas.openxmlformats.org/officeDocument/2006/relationships/hyperlink" Target="https://smd.iso-ne.com/operations-services/ceii/pac/2015/08/final_greater_boston_transmission_solution_study_reports.zip" TargetMode="External"/><Relationship Id="rId368" Type="http://schemas.openxmlformats.org/officeDocument/2006/relationships/hyperlink" Target="https://mpuc-cms.maine.gov/CQM.Public.WebUI/Common/CaseMaster.aspx?CaseNumber=2017-00232" TargetMode="External"/><Relationship Id="rId172" Type="http://schemas.openxmlformats.org/officeDocument/2006/relationships/hyperlink" Target="https://smd.iso-ne.com/operations-services/ceii/pac/2016/04/2023-final-me-addendum-report_20160428.pdf" TargetMode="External"/><Relationship Id="rId193" Type="http://schemas.openxmlformats.org/officeDocument/2006/relationships/hyperlink" Target="https://www.iso-ne.com/static-assets/documents/2018/06/pac_notice_ect_2027_ss.pdf" TargetMode="External"/><Relationship Id="rId207" Type="http://schemas.openxmlformats.org/officeDocument/2006/relationships/hyperlink" Target="https://www.energy.gov/oe/services/electricity-policy-coordination-and-implementation/transmission-planning/national-2" TargetMode="External"/><Relationship Id="rId228" Type="http://schemas.openxmlformats.org/officeDocument/2006/relationships/hyperlink" Target="https://www.iso-ne.com/static-assets/documents/2018/03/irc_comments_supply_chain_risk_nop_3_26_18r.pdf" TargetMode="External"/><Relationship Id="rId249" Type="http://schemas.openxmlformats.org/officeDocument/2006/relationships/hyperlink" Target="https://www.federalregister.gov/d/2015-25663" TargetMode="External"/><Relationship Id="rId13" Type="http://schemas.openxmlformats.org/officeDocument/2006/relationships/hyperlink" Target="https://www.iso-ne.com/static-assets/documents/committees/comm_wkgrps/othr/ipsac/rto_plan_prot/planning_protocol.pdf" TargetMode="External"/><Relationship Id="rId109" Type="http://schemas.openxmlformats.org/officeDocument/2006/relationships/hyperlink" Target="https://www.iso-ne.com/static-assets/documents/2019/04/april-2019-coo-report.pdf" TargetMode="External"/><Relationship Id="rId260" Type="http://schemas.openxmlformats.org/officeDocument/2006/relationships/hyperlink" Target="https://eregulations.ct.gov/eRegsPortal/Search/RMRView/PR2015-193" TargetMode="External"/><Relationship Id="rId281" Type="http://schemas.openxmlformats.org/officeDocument/2006/relationships/hyperlink" Target="http://legislature.maine.gov/bills/display_ps.asp?PID=1456&amp;snum=129&amp;paper=SP0457" TargetMode="External"/><Relationship Id="rId316" Type="http://schemas.openxmlformats.org/officeDocument/2006/relationships/hyperlink" Target="https://www.iso-ne.com/static-assets/documents/2019/05/a2_2019_economic_study_draft_scope_of_work_and_high_level_assumptions.pptx" TargetMode="External"/><Relationship Id="rId337" Type="http://schemas.openxmlformats.org/officeDocument/2006/relationships/hyperlink" Target="https://www.iso-ne.com/static-assets/documents/2016/12/er17-68-000_12-9-16_order_accept_resource_dispatchability_revisions.pdf" TargetMode="External"/><Relationship Id="rId34" Type="http://schemas.openxmlformats.org/officeDocument/2006/relationships/hyperlink" Target="https://www.iso-ne.com/static-assets/documents/2015/02/sch_25.pdf" TargetMode="External"/><Relationship Id="rId55" Type="http://schemas.openxmlformats.org/officeDocument/2006/relationships/hyperlink" Target="http://www.nerc.com/pa/Stand/Pages/ReliabilityStandards.aspx" TargetMode="External"/><Relationship Id="rId76" Type="http://schemas.openxmlformats.org/officeDocument/2006/relationships/image" Target="media/image9.wmf"/><Relationship Id="rId97" Type="http://schemas.openxmlformats.org/officeDocument/2006/relationships/hyperlink" Target="https://www.iso-ne.com/static-assets/documents/2018/03/er18-619-000_3-9-18_order_accept_caspr.pdf" TargetMode="External"/><Relationship Id="rId120" Type="http://schemas.openxmlformats.org/officeDocument/2006/relationships/hyperlink" Target="https://www.ferc.gov/whats-new/comm-meet/2019/022119/E-1.pdf" TargetMode="External"/><Relationship Id="rId141" Type="http://schemas.openxmlformats.org/officeDocument/2006/relationships/hyperlink" Target="file:///C:\Users\cwendel\AppData\Roaming\Microsoft\Word\ISO" TargetMode="External"/><Relationship Id="rId358" Type="http://schemas.openxmlformats.org/officeDocument/2006/relationships/hyperlink" Target="http://www.dpuc.state.ct.us/DEEPEnergy.nsf/$EnergyView?OpenForm&amp;Start=1&amp;Count=30&amp;Expand=15&amp;Seq=4" TargetMode="External"/><Relationship Id="rId379" Type="http://schemas.openxmlformats.org/officeDocument/2006/relationships/hyperlink" Target="http://www.energy.ri.gov/renewable-energy/governor-clean-energy-goal.php" TargetMode="External"/><Relationship Id="rId7" Type="http://schemas.openxmlformats.org/officeDocument/2006/relationships/hyperlink" Target="https://www.iso-ne.com/static-assets/documents/regulatory/tariff/sect_2/oatt/sect_ii.pdf" TargetMode="External"/><Relationship Id="rId162" Type="http://schemas.openxmlformats.org/officeDocument/2006/relationships/hyperlink" Target="https://smd.iso-ne.com/operations-services/ceii/pac/2017/02/final_sema_ri_2026_solutions_study_report_rev1.pdf" TargetMode="External"/><Relationship Id="rId183" Type="http://schemas.openxmlformats.org/officeDocument/2006/relationships/hyperlink" Target="https://smd.iso-ne.com/operations-services/ceii/pac/2018/03/final_ceii_2027_nh_na_sow.pdf" TargetMode="External"/><Relationship Id="rId218" Type="http://schemas.openxmlformats.org/officeDocument/2006/relationships/hyperlink" Target="https://www.nerc.com/pa/RAPA/ra/Pages/default.aspx" TargetMode="External"/><Relationship Id="rId239" Type="http://schemas.openxmlformats.org/officeDocument/2006/relationships/hyperlink" Target="https://www.iso-ne.com/static-assets/documents/2018/01/20180117_operational_fuel-security_analysis.pdf" TargetMode="External"/><Relationship Id="rId250" Type="http://schemas.openxmlformats.org/officeDocument/2006/relationships/hyperlink" Target="https://federalregister.gov/a/2013-10191" TargetMode="External"/><Relationship Id="rId271" Type="http://schemas.openxmlformats.org/officeDocument/2006/relationships/hyperlink" Target="https://www.nescaum.org/documents/nescaum-ghg-mitigation-analysis-new-england-201808-rev.pdf/" TargetMode="External"/><Relationship Id="rId292" Type="http://schemas.openxmlformats.org/officeDocument/2006/relationships/hyperlink" Target="file:///C:\Users\psilva\Documents\ISO%20New%20England%20Reports\RSP19\Energy" TargetMode="External"/><Relationship Id="rId306" Type="http://schemas.openxmlformats.org/officeDocument/2006/relationships/hyperlink" Target="http://www.ieee-pes.org/nari-hingorani-facts-award" TargetMode="External"/><Relationship Id="rId24" Type="http://schemas.openxmlformats.org/officeDocument/2006/relationships/hyperlink" Target="https://www.iso-ne.com/markets-operations/markets-development/wholesale-markets-project-plan" TargetMode="External"/><Relationship Id="rId45" Type="http://schemas.openxmlformats.org/officeDocument/2006/relationships/hyperlink" Target="https://www.iso-ne.com/static-assets/documents/2019/06/final_asset_condition_list_june_2019.xls" TargetMode="External"/><Relationship Id="rId66" Type="http://schemas.openxmlformats.org/officeDocument/2006/relationships/hyperlink" Target="https://www.iso-ne.com/static-assets/documents/2019/04/modeling_procedure_2019.pdf" TargetMode="External"/><Relationship Id="rId87" Type="http://schemas.openxmlformats.org/officeDocument/2006/relationships/hyperlink" Target="https://www.iso-ne.com/static-assets/documents/2015/02/sch_25.pdf" TargetMode="External"/><Relationship Id="rId110" Type="http://schemas.openxmlformats.org/officeDocument/2006/relationships/hyperlink" Target="http://www.iso-ne.com/system-planning/transmission-planning/interconnection-request-queue" TargetMode="External"/><Relationship Id="rId131" Type="http://schemas.openxmlformats.org/officeDocument/2006/relationships/hyperlink" Target="https://www.iso-ne.com/static-assets/documents/2017/02/updates_to_system_study_memo.pdf" TargetMode="External"/><Relationship Id="rId327" Type="http://schemas.openxmlformats.org/officeDocument/2006/relationships/hyperlink" Target="https://arpa-e.energy.gov/sites/default/files/ARPA-E%20Dale%20Osborn.pdf" TargetMode="External"/><Relationship Id="rId348" Type="http://schemas.openxmlformats.org/officeDocument/2006/relationships/hyperlink" Target="http://electricitypolicy.org/about/" TargetMode="External"/><Relationship Id="rId369" Type="http://schemas.openxmlformats.org/officeDocument/2006/relationships/hyperlink" Target="https://malegislature.gov/Laws/SessionLaws/Acts/2016/Chapter188" TargetMode="External"/><Relationship Id="rId152" Type="http://schemas.openxmlformats.org/officeDocument/2006/relationships/hyperlink" Target="https://www.iso-ne.com/static-assets/documents/2018/09/notice_of_initiation_of_boston_2028_needs_assessment_study.pdf" TargetMode="External"/><Relationship Id="rId173" Type="http://schemas.openxmlformats.org/officeDocument/2006/relationships/hyperlink" Target="https://smd.iso-ne.com/operations-services/ceii/pac/2017/01/a4_maine_2023_solution_study_update.pdf" TargetMode="External"/><Relationship Id="rId194" Type="http://schemas.openxmlformats.org/officeDocument/2006/relationships/hyperlink" Target="https://www.iso-ne.com/static-assets/documents/2019/05/eastern_connecticut_2029_needs_assessment_details_rev1_clean.pdf" TargetMode="External"/><Relationship Id="rId208" Type="http://schemas.openxmlformats.org/officeDocument/2006/relationships/hyperlink" Target="https://static1.squarespace.com/static/5b1032e545776e01e7058845/t/5bb502d41905f4207c241e4d/1538589397643/EIPC-State+of+the+Eastern+Interconnection+10-3-18.pdf" TargetMode="External"/><Relationship Id="rId229" Type="http://schemas.openxmlformats.org/officeDocument/2006/relationships/hyperlink" Target="https://www.iso-ne.com/static-assets/documents/2018/02/rm18-2-000_irc_comments_on_nopr.pdf" TargetMode="External"/><Relationship Id="rId380" Type="http://schemas.openxmlformats.org/officeDocument/2006/relationships/hyperlink" Target="https://irtt.iso-ne.com/reports/external" TargetMode="External"/><Relationship Id="rId240" Type="http://schemas.openxmlformats.org/officeDocument/2006/relationships/hyperlink" Target="https://www.iso-ne.com/static-assets/documents/2018/12/2018_iso-ne_offshore_wind_assessment_mass_cec_production_estimates_12_17_2018_public.pdf" TargetMode="External"/><Relationship Id="rId261" Type="http://schemas.openxmlformats.org/officeDocument/2006/relationships/hyperlink" Target="https://www.federalregister.gov/d/2015-22837" TargetMode="External"/><Relationship Id="rId14" Type="http://schemas.openxmlformats.org/officeDocument/2006/relationships/hyperlink" Target="https://www.iso-ne.com/static-assets/documents/2019/04/a00_iso_discussion_paper_energy_security_improvements.pdf" TargetMode="External"/><Relationship Id="rId35" Type="http://schemas.openxmlformats.org/officeDocument/2006/relationships/hyperlink" Target="http://www.iso-ne.com/static-assets/documents/regulatory/tariff/sect_2/oatt/sect_ii.pdf" TargetMode="External"/><Relationship Id="rId56" Type="http://schemas.openxmlformats.org/officeDocument/2006/relationships/hyperlink" Target="https://www.npcc.org/Standards/default.aspx" TargetMode="External"/><Relationship Id="rId77" Type="http://schemas.openxmlformats.org/officeDocument/2006/relationships/hyperlink" Target="https://www.iso-ne.com/static-assets/documents/rules_proceds/operating/isone/op4/op4_rto_final.pdf" TargetMode="External"/><Relationship Id="rId100" Type="http://schemas.openxmlformats.org/officeDocument/2006/relationships/hyperlink" Target="https://www.iso-ne.com/static-assets/documents/2019/05/pp-10-r23-053119.pdf" TargetMode="External"/><Relationship Id="rId282" Type="http://schemas.openxmlformats.org/officeDocument/2006/relationships/hyperlink" Target="https://cleanenergyrfpdotcom.files.wordpress.com/2015/11/clean-energy-rfp-final-111215.pdf" TargetMode="External"/><Relationship Id="rId317" Type="http://schemas.openxmlformats.org/officeDocument/2006/relationships/hyperlink" Target="https://www.nrel.gov/" TargetMode="External"/><Relationship Id="rId338" Type="http://schemas.openxmlformats.org/officeDocument/2006/relationships/hyperlink" Target="https://www.iso-ne.com/static-assets/documents/2016/06/a4_presentation_resource_dispatchability_requirements.pptx" TargetMode="External"/><Relationship Id="rId359" Type="http://schemas.openxmlformats.org/officeDocument/2006/relationships/hyperlink" Target="http://www.dpuc.state.ct.us/DEEPEnergy.nsf/$EnergyView?OpenForm&amp;Start=21&amp;Count=30&amp;Expand=44&amp;Seq=6" TargetMode="External"/><Relationship Id="rId8" Type="http://schemas.openxmlformats.org/officeDocument/2006/relationships/hyperlink" Target="https://www.iso-ne.com/system-planning/transmission-planning/transmission-planning-guides" TargetMode="External"/><Relationship Id="rId98" Type="http://schemas.openxmlformats.org/officeDocument/2006/relationships/hyperlink" Target="https://www.iso-ne.com/static-assets/documents/2018/10/manual_mvdr_measurement_and_verification_of_onpeak_and_seasonal_peak_demand_resources_rev07_20181004.pdf" TargetMode="External"/><Relationship Id="rId121" Type="http://schemas.openxmlformats.org/officeDocument/2006/relationships/hyperlink" Target="https://www.iso-ne.com/static-assets/documents/2019/05/order_845_compliance_filing.pdf" TargetMode="External"/><Relationship Id="rId142" Type="http://schemas.openxmlformats.org/officeDocument/2006/relationships/hyperlink" Target="https://www.iso-ne.com/system-planning/key-study-areas//western-and-central-massachusetts" TargetMode="External"/><Relationship Id="rId163" Type="http://schemas.openxmlformats.org/officeDocument/2006/relationships/hyperlink" Target="https://smd.iso-ne.com/planning/ceii/reports/2010s/archive/a7_newport_aquidneck_island_transmission_area_improvements_presentation.pdf" TargetMode="External"/><Relationship Id="rId184" Type="http://schemas.openxmlformats.org/officeDocument/2006/relationships/hyperlink" Target="https://smd.iso-ne.com/operations-services/ceii/pac/2018/11/final_ceii_new_hampshire_2027_needs_assessment.pdf" TargetMode="External"/><Relationship Id="rId219" Type="http://schemas.openxmlformats.org/officeDocument/2006/relationships/hyperlink" Target="https://www.nerc.com/pa/RAPA/ra/Reliability%20Assessments%20DL/NERC_LTRA_2018_12202018.pdf" TargetMode="External"/><Relationship Id="rId370" Type="http://schemas.openxmlformats.org/officeDocument/2006/relationships/hyperlink" Target="https://macleanenergy.com" TargetMode="External"/><Relationship Id="rId230" Type="http://schemas.openxmlformats.org/officeDocument/2006/relationships/hyperlink" Target="https://www.federalregister.gov/documents/2019/07/10/2019-14669/commission-information-collection-activities-ferc-922-comment-request" TargetMode="External"/><Relationship Id="rId251" Type="http://schemas.openxmlformats.org/officeDocument/2006/relationships/hyperlink" Target="https://www.nrel.gov/docs/fy17osti/67084.pdf" TargetMode="External"/><Relationship Id="rId25" Type="http://schemas.openxmlformats.org/officeDocument/2006/relationships/hyperlink" Target="http://www.iso-ne.com/regulatory/tariff/index.html" TargetMode="External"/><Relationship Id="rId46" Type="http://schemas.openxmlformats.org/officeDocument/2006/relationships/hyperlink" Target="https://www.iso-ne.com/system-planning/key-study-areas/new-england-asset-management/?load.more=1" TargetMode="External"/><Relationship Id="rId67" Type="http://schemas.openxmlformats.org/officeDocument/2006/relationships/hyperlink" Target="https://www.iso-ne.com/static-assets/documents/2019/04/forecast_data_2019.xlsx" TargetMode="External"/><Relationship Id="rId272" Type="http://schemas.openxmlformats.org/officeDocument/2006/relationships/hyperlink" Target="https://www.dec.ny.gov/regulations/113544.html" TargetMode="External"/><Relationship Id="rId293" Type="http://schemas.openxmlformats.org/officeDocument/2006/relationships/hyperlink" Target="https://www.eia.gov/outlooks/aeo/electricity_generation.php" TargetMode="External"/><Relationship Id="rId307" Type="http://schemas.openxmlformats.org/officeDocument/2006/relationships/hyperlink" Target="ttps://www.iso-ne.com/static-assets/documents/2017/11/final_2016_phase1_nepool_scenario_analysis_economic_study.docx" TargetMode="External"/><Relationship Id="rId328" Type="http://schemas.openxmlformats.org/officeDocument/2006/relationships/hyperlink" Target="https://www.energy.gov/sites/prod/files/2016/10/f33/2_HVDC%20Panel%20-%20Dale%20Osborn%2C%20MISO.pdf" TargetMode="External"/><Relationship Id="rId349" Type="http://schemas.openxmlformats.org/officeDocument/2006/relationships/hyperlink" Target="https://www.naruc.org/" TargetMode="External"/><Relationship Id="rId88" Type="http://schemas.openxmlformats.org/officeDocument/2006/relationships/hyperlink" Target="http://www.iso-ne.com/system-planning/resource-planning/installed-capacity-requirements/" TargetMode="External"/><Relationship Id="rId111" Type="http://schemas.openxmlformats.org/officeDocument/2006/relationships/hyperlink" Target="https://www.iso-ne.com/static-assets/documents/2017/01/2017_01_23_memo_pac_mri.pdf" TargetMode="External"/><Relationship Id="rId132" Type="http://schemas.openxmlformats.org/officeDocument/2006/relationships/hyperlink" Target="https://www.iso-ne.com/static-assets/documents/2017/03/a4_updates_to_system_studies.pdf" TargetMode="External"/><Relationship Id="rId153" Type="http://schemas.openxmlformats.org/officeDocument/2006/relationships/hyperlink" Target="https://smd.iso-ne.com/operations-services/ceii/pac/2019/06/ceii_boston_2028_na.pdf" TargetMode="External"/><Relationship Id="rId174" Type="http://schemas.openxmlformats.org/officeDocument/2006/relationships/hyperlink" Target="https://www.iso-ne.com/static-assets/documents/2017/06/2027_me_needs_assessment_study_initiation_pac_notice.pdf" TargetMode="External"/><Relationship Id="rId195" Type="http://schemas.openxmlformats.org/officeDocument/2006/relationships/hyperlink" Target="https://www.nerc.com/pa/Stand/Reliability%20Standards%20Complete%20Set/RSCompleteSet.pdf" TargetMode="External"/><Relationship Id="rId209" Type="http://schemas.openxmlformats.org/officeDocument/2006/relationships/hyperlink" Target="https://static1.squarespace.com/static/5b1032e545776e01e7058845/t/5bb503b38165f55177b274f3/1538589619569/Press+Release+EIPC+Completes+State+of+Grid+Report+FINAL+10-4-18.pdf" TargetMode="External"/><Relationship Id="rId360" Type="http://schemas.openxmlformats.org/officeDocument/2006/relationships/hyperlink" Target="https://cga.ct.gov/asp/cgabillstatus/cgabillstatus.asp?selBillType=Bill&amp;bill_num=5002&amp;which_year=2019" TargetMode="External"/><Relationship Id="rId381" Type="http://schemas.openxmlformats.org/officeDocument/2006/relationships/hyperlink" Target="http://www.ripuc.org/eventsactions/docket/4929-NGrid-Ord23609_6-7-19.pdf" TargetMode="External"/><Relationship Id="rId220" Type="http://schemas.openxmlformats.org/officeDocument/2006/relationships/hyperlink" Target="http://www.nerc.com/pa/RAPA/ra/Reliability%20Assessments%20DL/2016%20Long-Term%20Reliability%20Assessment.pdf" TargetMode="External"/><Relationship Id="rId241" Type="http://schemas.openxmlformats.org/officeDocument/2006/relationships/hyperlink" Target="https://www.iso-ne.com/static-assets/documents/rules_proceds/operating/isone/op21/op21_rto_final.pdf" TargetMode="External"/><Relationship Id="rId15" Type="http://schemas.openxmlformats.org/officeDocument/2006/relationships/hyperlink" Target="https://www.iso-ne.com/committees/planning/planning-advisory/?eventId=137649" TargetMode="External"/><Relationship Id="rId36" Type="http://schemas.openxmlformats.org/officeDocument/2006/relationships/hyperlink" Target="https://www.iso-ne.com/static-assets/documents/2018/05/transmission_planning_process_guide_1_30_2018.pdf" TargetMode="External"/><Relationship Id="rId57" Type="http://schemas.openxmlformats.org/officeDocument/2006/relationships/hyperlink" Target="http://www.iso-ne.com/regulatory/toa/index.html" TargetMode="External"/><Relationship Id="rId262" Type="http://schemas.openxmlformats.org/officeDocument/2006/relationships/hyperlink" Target="https://www.federalregister.gov/d/2017-22349" TargetMode="External"/><Relationship Id="rId283" Type="http://schemas.openxmlformats.org/officeDocument/2006/relationships/hyperlink" Target="https://macleanenergy.files.wordpress.com/2017/02/section-83c-request-for-proposals-for-long-term-contracts-for-offshore-wind-energy-projects-june-29-2017.pdf" TargetMode="External"/><Relationship Id="rId318" Type="http://schemas.openxmlformats.org/officeDocument/2006/relationships/hyperlink" Target="https://eipconline.com/" TargetMode="External"/><Relationship Id="rId339" Type="http://schemas.openxmlformats.org/officeDocument/2006/relationships/hyperlink" Target="https://programs.dsireusa.org/system/program/detail/734" TargetMode="External"/><Relationship Id="rId78" Type="http://schemas.openxmlformats.org/officeDocument/2006/relationships/hyperlink" Target="https://www.iso-ne.com/static-assets/documents/2014/10/seasonal_peak_data_summary.xls%20" TargetMode="External"/><Relationship Id="rId99" Type="http://schemas.openxmlformats.org/officeDocument/2006/relationships/hyperlink" Target="https://www.iso-ne.com/committees/key-projects/forward-capacity-market--retain-resources-for-fuel" TargetMode="External"/><Relationship Id="rId101" Type="http://schemas.openxmlformats.org/officeDocument/2006/relationships/hyperlink" Target="https://www.iso-ne.com/static-assets/documents/2019/03/a7_fca_14_transmission_transfer_capabilities_and_capacity_zone_development.pdf" TargetMode="External"/><Relationship Id="rId122" Type="http://schemas.openxmlformats.org/officeDocument/2006/relationships/hyperlink" Target="https://www.iso-ne.com/system-planning/system-plans-studies/rsp" TargetMode="External"/><Relationship Id="rId143" Type="http://schemas.openxmlformats.org/officeDocument/2006/relationships/hyperlink" Target="https://www.iso-ne.com/static-assets/documents/2017/06/2027_wcma_needs_assessment_study_initiation_pac_notice.pdf" TargetMode="External"/><Relationship Id="rId164" Type="http://schemas.openxmlformats.org/officeDocument/2006/relationships/hyperlink" Target="https://www.iso-ne.com/static-assets/documents/2017/06/2027_sema_ri_needs_assessment_study_initiation_pac_notice.pdf" TargetMode="External"/><Relationship Id="rId185" Type="http://schemas.openxmlformats.org/officeDocument/2006/relationships/hyperlink" Target="https://www.iso-ne.com/static-assets/documents/2018/11/pac_notice_nh_2027_ss.pdf" TargetMode="External"/><Relationship Id="rId350" Type="http://schemas.openxmlformats.org/officeDocument/2006/relationships/hyperlink" Target="http://bit.ly/NARUCNASEOFacts" TargetMode="External"/><Relationship Id="rId371" Type="http://schemas.openxmlformats.org/officeDocument/2006/relationships/hyperlink" Target="https://fileservice.eea.comacloud.net/FileService.Api/file/FileRoom/10617251" TargetMode="External"/><Relationship Id="rId9" Type="http://schemas.openxmlformats.org/officeDocument/2006/relationships/hyperlink" Target="https://www.iso-ne.com/static-assets/documents/2017/10/pp3_r8.pdf" TargetMode="External"/><Relationship Id="rId210" Type="http://schemas.openxmlformats.org/officeDocument/2006/relationships/hyperlink" Target="https://www.eipconline.com/eipcstudydocuments" TargetMode="External"/><Relationship Id="rId26" Type="http://schemas.openxmlformats.org/officeDocument/2006/relationships/hyperlink" Target="https://www.iso-ne.com/participate/rules-procedures/tariff/oatt" TargetMode="External"/><Relationship Id="rId231" Type="http://schemas.openxmlformats.org/officeDocument/2006/relationships/hyperlink" Target="https://www.iso-ne.com/committees/planning/ipsac" TargetMode="External"/><Relationship Id="rId252" Type="http://schemas.openxmlformats.org/officeDocument/2006/relationships/hyperlink" Target="https://www.eia.gov/electricity/data/water/" TargetMode="External"/><Relationship Id="rId273" Type="http://schemas.openxmlformats.org/officeDocument/2006/relationships/hyperlink" Target="https://www.rggi.org/sites/default/files/Uploads/Market-Monitor/Annual-Reports/MM_2018_Annual_Report.pdf" TargetMode="External"/><Relationship Id="rId294" Type="http://schemas.openxmlformats.org/officeDocument/2006/relationships/hyperlink" Target="https://malegislature.gov/Laws/SessionLaws/Acts/2008/Chapter298" TargetMode="External"/><Relationship Id="rId308" Type="http://schemas.openxmlformats.org/officeDocument/2006/relationships/hyperlink" Target="https://www.iso-ne.com/static-assets/documents/2016/10/a3_integration_and_planning_of_large_amounts_of_inverter_based_resources.pptx" TargetMode="External"/><Relationship Id="rId329" Type="http://schemas.openxmlformats.org/officeDocument/2006/relationships/hyperlink" Target="https://www.ieee.org/membership-catalog/productdetail/showProductDetailPage.html?product=CMYSG735" TargetMode="External"/><Relationship Id="rId47" Type="http://schemas.openxmlformats.org/officeDocument/2006/relationships/hyperlink" Target="http://www.iso-ne.com/trans/rsp/index.html" TargetMode="External"/><Relationship Id="rId68" Type="http://schemas.openxmlformats.org/officeDocument/2006/relationships/hyperlink" Target="https://www.iso-ne.com/static-assets/documents/2019/04/model_details_2019.xlsx" TargetMode="External"/><Relationship Id="rId89" Type="http://schemas.openxmlformats.org/officeDocument/2006/relationships/hyperlink" Target="https://www.iso-ne.com/static-assets/documents/2018/04/2018_celt_report.xls" TargetMode="External"/><Relationship Id="rId112" Type="http://schemas.openxmlformats.org/officeDocument/2006/relationships/hyperlink" Target="https://smd.iso-ne.com/operations-services/ceii/pac/2018/03/final_maine_resource_integration_study_report.pdf" TargetMode="External"/><Relationship Id="rId133" Type="http://schemas.openxmlformats.org/officeDocument/2006/relationships/hyperlink" Target="https://www.iso-ne.com/static-assets/documents/2018/04/a5_updating_needs_assessment_to_reflect_latest_forecasts.pdf" TargetMode="External"/><Relationship Id="rId154" Type="http://schemas.openxmlformats.org/officeDocument/2006/relationships/hyperlink" Target="https://www.iso-ne.com/system-planning/key-study-areas/greater-boston/" TargetMode="External"/><Relationship Id="rId175" Type="http://schemas.openxmlformats.org/officeDocument/2006/relationships/hyperlink" Target="https://smd.iso-ne.com/operations-services/ceii/pac/2018/03/final_ceii_2027_maine_na_sow.pdf" TargetMode="External"/><Relationship Id="rId340" Type="http://schemas.openxmlformats.org/officeDocument/2006/relationships/hyperlink" Target="https://www.ferc.gov/EventCalendar/Files/20110315105757-RM10-17-000.pdf" TargetMode="External"/><Relationship Id="rId361" Type="http://schemas.openxmlformats.org/officeDocument/2006/relationships/hyperlink" Target="http://www.mainelegislature.org/legis/bills/getPDF.asp?paper=HP1275&amp;item=3&amp;snum=129" TargetMode="External"/><Relationship Id="rId196" Type="http://schemas.openxmlformats.org/officeDocument/2006/relationships/hyperlink" Target="https://www.iso-ne.com/system-planning/key-study-areas/new-england-asset-management/?load.more=1" TargetMode="External"/><Relationship Id="rId200" Type="http://schemas.openxmlformats.org/officeDocument/2006/relationships/hyperlink" Target="http://www.iso-ne.com/committees/comm_wkgrps/prtcpnts_comm/pac/index.html" TargetMode="External"/><Relationship Id="rId382" Type="http://schemas.openxmlformats.org/officeDocument/2006/relationships/hyperlink" Target="https://ricleanenergyrfp.com/" TargetMode="External"/><Relationship Id="rId16" Type="http://schemas.openxmlformats.org/officeDocument/2006/relationships/hyperlink" Target="http://ieeexplore.ieee.org/document/1225051/?reload=true%20" TargetMode="External"/><Relationship Id="rId221" Type="http://schemas.openxmlformats.org/officeDocument/2006/relationships/hyperlink" Target="https://www.energy.gov/oe/services/electricity-policy-coordination-and-implementation/transmission-planning/recovery-act-0" TargetMode="External"/><Relationship Id="rId242" Type="http://schemas.openxmlformats.org/officeDocument/2006/relationships/hyperlink" Target="https://www.iso-ne.com/isoexpress/web/reports/operations/-/tree/21-Day-Energy-Assessment-Forecast-and-Report-Results" TargetMode="External"/><Relationship Id="rId263" Type="http://schemas.openxmlformats.org/officeDocument/2006/relationships/hyperlink" Target="https://www.epa.gov/stationary-sources-air-pollution/affordable-clean-energy-rule" TargetMode="External"/><Relationship Id="rId284" Type="http://schemas.openxmlformats.org/officeDocument/2006/relationships/hyperlink" Target="http://www.dpuc.state.ct.us/DEEPEnergy.nsf/c6c6d525f7cdd1168525797d0047c5bf/0fa7e92df14f12248525822600682775/%24FILE/2018.01.31_FINAL%20RFP.pdf" TargetMode="External"/><Relationship Id="rId319" Type="http://schemas.openxmlformats.org/officeDocument/2006/relationships/hyperlink" Target="http://www.epri.com/" TargetMode="External"/><Relationship Id="rId37" Type="http://schemas.openxmlformats.org/officeDocument/2006/relationships/hyperlink" Target="https://www.iso-ne.com/static-assets/documents/2017/03/transmission_planning_techincal_guide_rev4_1.pdf" TargetMode="External"/><Relationship Id="rId58" Type="http://schemas.openxmlformats.org/officeDocument/2006/relationships/hyperlink" Target="http://www.nmisa.com/wp-content/uploads/2018/04/2018-Seven-Year-Outlook-Final.pdf" TargetMode="External"/><Relationship Id="rId79" Type="http://schemas.openxmlformats.org/officeDocument/2006/relationships/hyperlink" Target="http://www.iso-ne.com/committees/planning/energy-efficiency-forecast" TargetMode="External"/><Relationship Id="rId102" Type="http://schemas.openxmlformats.org/officeDocument/2006/relationships/hyperlink" Target="http://www.iso-ne.com/participate/rules-procedures/operating-procedures" TargetMode="External"/><Relationship Id="rId123" Type="http://schemas.openxmlformats.org/officeDocument/2006/relationships/hyperlink" Target="https://www.iso-ne.com/system-planning/system-plans-studies/rsp" TargetMode="External"/><Relationship Id="rId144" Type="http://schemas.openxmlformats.org/officeDocument/2006/relationships/hyperlink" Target="https://www.iso-ne.com/static-assets/documents/2018/09/a11_wcma_2028_needs_assessment_scope_of_work_rev1.pdf" TargetMode="External"/><Relationship Id="rId330" Type="http://schemas.openxmlformats.org/officeDocument/2006/relationships/hyperlink" Target="https://isorto.org/reports-and-filings/" TargetMode="External"/><Relationship Id="rId90" Type="http://schemas.openxmlformats.org/officeDocument/2006/relationships/hyperlink" Target="https://www.iso-ne.com/event-details?eventId=138765" TargetMode="External"/><Relationship Id="rId165" Type="http://schemas.openxmlformats.org/officeDocument/2006/relationships/hyperlink" Target="https://www.iso-ne.com/static-assets/documents/2017/12/a_11_sema_ri_2027_needs_assessment_scope_of_work.pdf" TargetMode="External"/><Relationship Id="rId186" Type="http://schemas.openxmlformats.org/officeDocument/2006/relationships/hyperlink" Target="https://www.iso-ne.com/static-assets/documents/2019/05/2029_nh_needs_assessment_study_initiation_pac_notice.pdf" TargetMode="External"/><Relationship Id="rId351" Type="http://schemas.openxmlformats.org/officeDocument/2006/relationships/hyperlink" Target="http://www.iso-ne.com/committees/consumer-liaison" TargetMode="External"/><Relationship Id="rId372" Type="http://schemas.openxmlformats.org/officeDocument/2006/relationships/hyperlink" Target="https://macleanenergy.com/83c-ii/" TargetMode="External"/><Relationship Id="rId211" Type="http://schemas.openxmlformats.org/officeDocument/2006/relationships/hyperlink" Target="https://www.eipconline.com/" TargetMode="External"/><Relationship Id="rId232" Type="http://schemas.openxmlformats.org/officeDocument/2006/relationships/hyperlink" Target="https://www.iso-ne.com/static-assets/documents/2018/05/2017_ncsp_final_043018.pdf" TargetMode="External"/><Relationship Id="rId253" Type="http://schemas.openxmlformats.org/officeDocument/2006/relationships/hyperlink" Target="https://www.eia.gov/electricity/data/eia923/" TargetMode="External"/><Relationship Id="rId274" Type="http://schemas.openxmlformats.org/officeDocument/2006/relationships/hyperlink" Target="https://www.rggi.org/program-overview-and-design/program-review" TargetMode="External"/><Relationship Id="rId295" Type="http://schemas.openxmlformats.org/officeDocument/2006/relationships/hyperlink" Target="file:///C:\Users\psilva\Documents\ISO%20New%20England%20Reports\RSP19\Regional" TargetMode="External"/><Relationship Id="rId309" Type="http://schemas.openxmlformats.org/officeDocument/2006/relationships/hyperlink" Target="https://www.iso-ne.com/static-assets/documents/2017/07/final_analysis_group_2016_economic_analysis_capacity_market_impacts.pdf" TargetMode="External"/><Relationship Id="rId27" Type="http://schemas.openxmlformats.org/officeDocument/2006/relationships/hyperlink" Target="http://www.iso-ne.com/static-assets/documents/regulatory/tariff/sect_2/oatt/sect_ii.pdf" TargetMode="External"/><Relationship Id="rId48" Type="http://schemas.openxmlformats.org/officeDocument/2006/relationships/hyperlink" Target="https://www.iso-ne.com/about/regional-electricity-outlook" TargetMode="External"/><Relationship Id="rId69" Type="http://schemas.openxmlformats.org/officeDocument/2006/relationships/hyperlink" Target="https://www.iso-ne.com/committees/reliability/load-forecast/" TargetMode="External"/><Relationship Id="rId113" Type="http://schemas.openxmlformats.org/officeDocument/2006/relationships/hyperlink" Target="https://www.iso-ne.com/static-assets/documents/2017/11/er17-2421-000_order_accept_interconnection_queue_clustering.pdf" TargetMode="External"/><Relationship Id="rId134" Type="http://schemas.openxmlformats.org/officeDocument/2006/relationships/hyperlink" Target="https://www.iso-ne.com/static-assets/documents/2019/03/a6_updating_needs_assessment_to_reflect_latest_assumptions.pdf" TargetMode="External"/><Relationship Id="rId320" Type="http://schemas.openxmlformats.org/officeDocument/2006/relationships/hyperlink" Target="http://www.ieee.org/index.html" TargetMode="External"/><Relationship Id="rId80" Type="http://schemas.openxmlformats.org/officeDocument/2006/relationships/hyperlink" Target="https://www.iso-ne.com/static-assets/documents/2019/04/eef2019_final_fcst.pdf" TargetMode="External"/><Relationship Id="rId155" Type="http://schemas.openxmlformats.org/officeDocument/2006/relationships/hyperlink" Target="https://www.iso-ne.com/system-planning/key-study-areas/sema-ri" TargetMode="External"/><Relationship Id="rId176" Type="http://schemas.openxmlformats.org/officeDocument/2006/relationships/hyperlink" Target="https://www.iso-ne.com/static-assets/documents/2019/06/2029_upperme_needs_assessment_study_initiation_pac_notice.pdf" TargetMode="External"/><Relationship Id="rId197" Type="http://schemas.openxmlformats.org/officeDocument/2006/relationships/hyperlink" Target="https://www.iso-ne.com/system-planning/system-plans-studies/rsp" TargetMode="External"/><Relationship Id="rId341" Type="http://schemas.openxmlformats.org/officeDocument/2006/relationships/hyperlink" Target="https://www.iso-ne.com/committees/key-projects/implemented/price-responsive-demand" TargetMode="External"/><Relationship Id="rId362" Type="http://schemas.openxmlformats.org/officeDocument/2006/relationships/hyperlink" Target="http://www.mainelegislature.org/legis/bills/getPDF.asp?paper=HP0479&amp;item=3&amp;snum=129" TargetMode="External"/><Relationship Id="rId383" Type="http://schemas.openxmlformats.org/officeDocument/2006/relationships/hyperlink" Target="https://legislature.vermont.gov/bill/status/2020/H.133" TargetMode="External"/><Relationship Id="rId201" Type="http://schemas.openxmlformats.org/officeDocument/2006/relationships/hyperlink" Target="https://www.iso-ne.com/static-assets/documents/2018/02/tca_application_status.pdf" TargetMode="External"/><Relationship Id="rId222" Type="http://schemas.openxmlformats.org/officeDocument/2006/relationships/hyperlink" Target="https://www.nerc.com/comm/PC/Pages/Inverter-Based-Resource-Performance-Task-Force.aspx" TargetMode="External"/><Relationship Id="rId243" Type="http://schemas.openxmlformats.org/officeDocument/2006/relationships/hyperlink" Target="https://www.iso-ne.com/committees/key-projects/energy-security-improvements" TargetMode="External"/><Relationship Id="rId264" Type="http://schemas.openxmlformats.org/officeDocument/2006/relationships/hyperlink" Target="https://www.mass.gov/guides/electricity-generator-emissions-limits-310-cmr-774" TargetMode="External"/><Relationship Id="rId285" Type="http://schemas.openxmlformats.org/officeDocument/2006/relationships/hyperlink" Target="http://www.dpuc.state.ct.us/DEEPEnergy.nsf/c6c6d525f7cdd1168525797d0047c5bf/f18419651b249e2e852582db006cbca3/%24FILE/2018.08.1_FINAL%20RFP%20-%20updated.pdf" TargetMode="External"/><Relationship Id="rId17" Type="http://schemas.openxmlformats.org/officeDocument/2006/relationships/hyperlink" Target="https://www.iso-ne.com/committees/planning/planning-advisory/?document-type=Economic%20Studies" TargetMode="External"/><Relationship Id="rId38" Type="http://schemas.openxmlformats.org/officeDocument/2006/relationships/hyperlink" Target="https://www.iso-ne.com/static-assets/documents/regulatory/tariff/sect_2/oatt/sect_ii.pdf" TargetMode="External"/><Relationship Id="rId59" Type="http://schemas.openxmlformats.org/officeDocument/2006/relationships/hyperlink" Target="https://www.iso-ne.com/static-assets/documents/2019/05/2018-annual-markets-report.pdf" TargetMode="External"/><Relationship Id="rId103" Type="http://schemas.openxmlformats.org/officeDocument/2006/relationships/hyperlink" Target="http://www.iso-ne.com/participate/rules-procedures/operating-procedures" TargetMode="External"/><Relationship Id="rId124" Type="http://schemas.openxmlformats.org/officeDocument/2006/relationships/hyperlink" Target="https://www.iso-ne.com/committees/planning/planning-advisory/" TargetMode="External"/><Relationship Id="rId310" Type="http://schemas.openxmlformats.org/officeDocument/2006/relationships/hyperlink" Target="https://www.iso-ne.com/static-assets/documents/2017/08/a3_2016_economic_study_natural_gas_capacity_and_energy_analysis_rev1.pdf" TargetMode="External"/><Relationship Id="rId70" Type="http://schemas.openxmlformats.org/officeDocument/2006/relationships/hyperlink" Target="https://www.iso-ne.com/system-planning/system-plans-studies/celt" TargetMode="External"/><Relationship Id="rId91" Type="http://schemas.openxmlformats.org/officeDocument/2006/relationships/hyperlink" Target="http://www.iso-ne.com/system-planning/system-plans-studies/celt" TargetMode="External"/><Relationship Id="rId145" Type="http://schemas.openxmlformats.org/officeDocument/2006/relationships/hyperlink" Target="https://smd.iso-ne.com/operations-services/ceii/pac/2019/08/draft_ceii_wcma_2029_na_sow.pdf" TargetMode="External"/><Relationship Id="rId166" Type="http://schemas.openxmlformats.org/officeDocument/2006/relationships/hyperlink" Target="https://www.iso-ne.com/static-assets/documents/2018/11/a3_sema_ri_2028_needs_assessment_scope_of_work.pdf" TargetMode="External"/><Relationship Id="rId187" Type="http://schemas.openxmlformats.org/officeDocument/2006/relationships/hyperlink" Target="https://www.iso-ne.com/system-planning/key-study-areas/eastern-connecticut" TargetMode="External"/><Relationship Id="rId331" Type="http://schemas.openxmlformats.org/officeDocument/2006/relationships/hyperlink" Target="https://isorto.org/wp-content/uploads/2018/12/2018-Demand-Response-Program-Comparison.xlsx" TargetMode="External"/><Relationship Id="rId352" Type="http://schemas.openxmlformats.org/officeDocument/2006/relationships/hyperlink" Target="https://www.iso-ne.com/static-assets/documents/2019/03/2018_report_of_the_consumer_liaison_group_final.pdf" TargetMode="External"/><Relationship Id="rId373" Type="http://schemas.openxmlformats.org/officeDocument/2006/relationships/hyperlink" Target="https://malegislature.gov/Laws/SessionLaws/Acts/2018/Chapter227" TargetMode="External"/><Relationship Id="rId1" Type="http://schemas.openxmlformats.org/officeDocument/2006/relationships/hyperlink" Target="https://www.iso-ne.com/static-assets/documents/regulatory/ferc/orders/2013/may/er13_193_er13_196_5_17_13_order_on_order_1000_compliance_filings.pdf" TargetMode="External"/><Relationship Id="rId212" Type="http://schemas.openxmlformats.org/officeDocument/2006/relationships/hyperlink" Target="http://electricitypolicy.org/eispc/" TargetMode="External"/><Relationship Id="rId233" Type="http://schemas.openxmlformats.org/officeDocument/2006/relationships/hyperlink" Target="https://www.iso-ne.com/isoexpress/web/reports/load-and-demand/-/tree/zone-info" TargetMode="External"/><Relationship Id="rId254" Type="http://schemas.openxmlformats.org/officeDocument/2006/relationships/hyperlink" Target="https://doi.org/10.3133/cir1441" TargetMode="External"/><Relationship Id="rId28" Type="http://schemas.openxmlformats.org/officeDocument/2006/relationships/hyperlink" Target="https://www.iso-ne.com/static-assets/documents/regulatory/ferc/orders/2013/may/er13_193_er13_196_5_17_13_order_on_order_1000_compliance_filings.pdf" TargetMode="External"/><Relationship Id="rId49" Type="http://schemas.openxmlformats.org/officeDocument/2006/relationships/hyperlink" Target="http://www.iso-ne.com/markets/mkt_anlys_rpts/annl_mkt_rpts/" TargetMode="External"/><Relationship Id="rId114" Type="http://schemas.openxmlformats.org/officeDocument/2006/relationships/hyperlink" Target="https://www.iso-ne.com/static-assets/documents/regulatory/tariff/sect_2/sch22/sch_22_lgip.pdf" TargetMode="External"/><Relationship Id="rId275" Type="http://schemas.openxmlformats.org/officeDocument/2006/relationships/hyperlink" Target="https://www.rggi.org/sites/default/files/Uploads/Program-Review/12-19-2017/Principles_Accompanying_Model_Rule.pdf" TargetMode="External"/><Relationship Id="rId296" Type="http://schemas.openxmlformats.org/officeDocument/2006/relationships/hyperlink" Target="https://www.rggi.org/auctions/market-monitor-reports" TargetMode="External"/><Relationship Id="rId300" Type="http://schemas.openxmlformats.org/officeDocument/2006/relationships/hyperlink" Target="https://www.ferc.gov/industries/hydropower/gen-info/licensing/pending-lre.xls" TargetMode="External"/><Relationship Id="rId60" Type="http://schemas.openxmlformats.org/officeDocument/2006/relationships/hyperlink" Target="http://www.iso-ne.com/markets-operations/markets/forward-capacity-market" TargetMode="External"/><Relationship Id="rId81" Type="http://schemas.openxmlformats.org/officeDocument/2006/relationships/hyperlink" Target="https://www.iso-ne.com/static-assets/documents/2016/06/a8_isone_net_loads_with_increasing_behind_the_meter_pv.pdf" TargetMode="External"/><Relationship Id="rId135" Type="http://schemas.openxmlformats.org/officeDocument/2006/relationships/hyperlink" Target="https://www.iso-ne.com/system-planning/key-study-areas/swct" TargetMode="External"/><Relationship Id="rId156" Type="http://schemas.openxmlformats.org/officeDocument/2006/relationships/hyperlink" Target="https://smd.iso-ne.com/committees/comm_wkgrps/prtcpnts_comm/pac/ceii/mtrls/2012/oct172012/sema_ri.pdf" TargetMode="External"/><Relationship Id="rId177" Type="http://schemas.openxmlformats.org/officeDocument/2006/relationships/hyperlink" Target="https://www.iso-ne.com/static-assets/documents/2019/06/a5_upper_maine_2029_needs_assessment_details.pdf" TargetMode="External"/><Relationship Id="rId198" Type="http://schemas.openxmlformats.org/officeDocument/2006/relationships/hyperlink" Target="https://www.iso-ne.com/committees/planning/topac" TargetMode="External"/><Relationship Id="rId321" Type="http://schemas.openxmlformats.org/officeDocument/2006/relationships/hyperlink" Target="https://www.cigre.org/" TargetMode="External"/><Relationship Id="rId342" Type="http://schemas.openxmlformats.org/officeDocument/2006/relationships/hyperlink" Target="%20https:/www.iso-ne.com/static-assets/documents/2018/09/a06_tc_2018_09_18_order.pdf" TargetMode="External"/><Relationship Id="rId363" Type="http://schemas.openxmlformats.org/officeDocument/2006/relationships/hyperlink" Target="http://legislature.maine.gov/bills/display_ps.asp?PID=1456&amp;snum=129&amp;paper=SP0457" TargetMode="External"/><Relationship Id="rId384" Type="http://schemas.openxmlformats.org/officeDocument/2006/relationships/hyperlink" Target="https://legislature.vermont.gov/Documents/2020/Docs/ACTS/ACT059/ACT059%20Act%20Summary.pdf" TargetMode="External"/><Relationship Id="rId202" Type="http://schemas.openxmlformats.org/officeDocument/2006/relationships/hyperlink" Target="https://www.iso-ne.com/isoexpress/web/reports/load-and-demand/-/tree/historical-hourly-flows-and-limits" TargetMode="External"/><Relationship Id="rId223" Type="http://schemas.openxmlformats.org/officeDocument/2006/relationships/hyperlink" Target="https://www.nerc.com/pa/RAPA/ra/Reliability%20Assessments%20DL/NERC_SPOD_11142017_Final.pdf" TargetMode="External"/><Relationship Id="rId244" Type="http://schemas.openxmlformats.org/officeDocument/2006/relationships/hyperlink" Target="https://www.iso-ne.com/static-assets/documents/2019/04/a00_iso_discussion_paper_energy_security_improvements.pdf" TargetMode="External"/><Relationship Id="rId18" Type="http://schemas.openxmlformats.org/officeDocument/2006/relationships/hyperlink" Target="ttps://www.iso-ne.com/static-assets/documents/2017/11/final_2016_phase1_nepool_scenario_analysis_economic_study.docx" TargetMode="External"/><Relationship Id="rId39" Type="http://schemas.openxmlformats.org/officeDocument/2006/relationships/hyperlink" Target="http://www.nerc.com/" TargetMode="External"/><Relationship Id="rId265" Type="http://schemas.openxmlformats.org/officeDocument/2006/relationships/hyperlink" Target="https://www.mass.gov/service-details/clean-peak-energy-standard" TargetMode="External"/><Relationship Id="rId286" Type="http://schemas.openxmlformats.org/officeDocument/2006/relationships/hyperlink" Target="https://www.maine.gov/mpuc/electricity/rfps/longterm2018/index.shtml" TargetMode="External"/><Relationship Id="rId50" Type="http://schemas.openxmlformats.org/officeDocument/2006/relationships/hyperlink" Target="http://www.iso-ne.com/markets-operations/markets-development/wholesale-markets-project-plan" TargetMode="External"/><Relationship Id="rId104" Type="http://schemas.openxmlformats.org/officeDocument/2006/relationships/hyperlink" Target="https://www.iso-ne.com/static-assets/documents/rules_proceds/operating/isone/op8/op8_rto_final.pdf" TargetMode="External"/><Relationship Id="rId125" Type="http://schemas.openxmlformats.org/officeDocument/2006/relationships/hyperlink" Target="https://www.iso-ne.com/system-planning/transmission-planning/transmission-planning-guides" TargetMode="External"/><Relationship Id="rId146" Type="http://schemas.openxmlformats.org/officeDocument/2006/relationships/hyperlink" Target="https://www.iso-ne.com/system-planning/key-study-areas/greater-boston" TargetMode="External"/><Relationship Id="rId167" Type="http://schemas.openxmlformats.org/officeDocument/2006/relationships/hyperlink" Target="https://smd.iso-ne.com/operations-services/ceii/pac/2017/08/ceii_final_sema_ri_min_load_needs_assessment_report.pdf" TargetMode="External"/><Relationship Id="rId188" Type="http://schemas.openxmlformats.org/officeDocument/2006/relationships/hyperlink" Target="https://smd.iso-ne.com/planning/ceii/reports/2010s/final_eastern_ct_2022_needs_assessment_report.pdf" TargetMode="External"/><Relationship Id="rId311" Type="http://schemas.openxmlformats.org/officeDocument/2006/relationships/hyperlink" Target="https://www.iso-ne.com/static-assets/documents/2017/12/a2_2016_economic_study_phase_2_regulation_ramping_reserves_introduction.pdf" TargetMode="External"/><Relationship Id="rId332" Type="http://schemas.openxmlformats.org/officeDocument/2006/relationships/hyperlink" Target="http://www.ieee-pes.org/" TargetMode="External"/><Relationship Id="rId353" Type="http://schemas.openxmlformats.org/officeDocument/2006/relationships/hyperlink" Target="https://www.coneg.org/wp-content/uploads/2019/03/New-England-Governors-Statement-of-Cooperation-on-Regional-Energy-3-15-19.pdf" TargetMode="External"/><Relationship Id="rId374" Type="http://schemas.openxmlformats.org/officeDocument/2006/relationships/hyperlink" Target="https://www.mass.gov/files/documents/2019/05/31/OSW%20Study%20-%20Final.pdf" TargetMode="External"/><Relationship Id="rId71" Type="http://schemas.openxmlformats.org/officeDocument/2006/relationships/hyperlink" Target="https://www.iso-ne.com/system-planning/system-forecasting/load-forecast/" TargetMode="External"/><Relationship Id="rId92" Type="http://schemas.openxmlformats.org/officeDocument/2006/relationships/hyperlink" Target="https://www.iso-ne.com/static-assets/documents/2018/11/a4_fca14_zonal_development_presentation.pdf" TargetMode="External"/><Relationship Id="rId213" Type="http://schemas.openxmlformats.org/officeDocument/2006/relationships/hyperlink" Target="https://www.energy.gov/sites/prod/files/2018/03/f49/2018%20Transmission%20Data%20Review%20FINAL.pdf" TargetMode="External"/><Relationship Id="rId234" Type="http://schemas.openxmlformats.org/officeDocument/2006/relationships/hyperlink" Target="https://www.iso-ne.com/isoexpress/web/reports/load-and-demand/-/tree/historical-hourly-flows-and-limits" TargetMode="External"/><Relationship Id="rId2" Type="http://schemas.openxmlformats.org/officeDocument/2006/relationships/hyperlink" Target="https://www.iso-ne.com/static-assets/documents/rules_proceds/operating/isone/op4/op4_rto_final.pdf" TargetMode="External"/><Relationship Id="rId29" Type="http://schemas.openxmlformats.org/officeDocument/2006/relationships/hyperlink" Target="http://www.ferc.gov/industries/electric/indus-act/trans-plan.asp" TargetMode="External"/><Relationship Id="rId255" Type="http://schemas.openxmlformats.org/officeDocument/2006/relationships/hyperlink" Target="https://www.federalregister.gov/d/2018-24816" TargetMode="External"/><Relationship Id="rId276" Type="http://schemas.openxmlformats.org/officeDocument/2006/relationships/hyperlink" Target="https://www.rggi.org/sites/default/files/Uploads/Program-Review/12-19-2017/Principles_Accompanying_Model_Rule.pdf" TargetMode="External"/><Relationship Id="rId297" Type="http://schemas.openxmlformats.org/officeDocument/2006/relationships/hyperlink" Target="https://www.mass.gov/guides/electricity-generator-emissions-limits-310-cmr-774%23massachusetts-carbon-allowance-registry-auctions" TargetMode="External"/><Relationship Id="rId40" Type="http://schemas.openxmlformats.org/officeDocument/2006/relationships/hyperlink" Target="https://www.npcc.org/" TargetMode="External"/><Relationship Id="rId115" Type="http://schemas.openxmlformats.org/officeDocument/2006/relationships/hyperlink" Target="https://www.iso-ne.com/static-assets/documents/regulatory/tariff/sect_2/sch22/sch_22_lgip.pdf" TargetMode="External"/><Relationship Id="rId136" Type="http://schemas.openxmlformats.org/officeDocument/2006/relationships/hyperlink" Target="https://smd.iso-ne.com/operations-services/ceii/pac/2017/03/swct_2025_update_final.pdf" TargetMode="External"/><Relationship Id="rId157" Type="http://schemas.openxmlformats.org/officeDocument/2006/relationships/hyperlink" Target="https://smd.iso-ne.com/committees/comm_wkgrps/prtcpnts_comm/pac/ceii/mtrls/2014/feb192014/a8_sema_ri_needs_assessment.pdf" TargetMode="External"/><Relationship Id="rId178" Type="http://schemas.openxmlformats.org/officeDocument/2006/relationships/hyperlink" Target="https://www.iso-ne.com/system-planning/key-study-areas/vt-nh" TargetMode="External"/><Relationship Id="rId301" Type="http://schemas.openxmlformats.org/officeDocument/2006/relationships/hyperlink" Target="https://www.ferc.gov/industries/hydropower/gen-info/licensing/pending-lre.xls" TargetMode="External"/><Relationship Id="rId322" Type="http://schemas.openxmlformats.org/officeDocument/2006/relationships/hyperlink" Target="http://www.pserc.wisc.edu/home/index.aspx" TargetMode="External"/><Relationship Id="rId343" Type="http://schemas.openxmlformats.org/officeDocument/2006/relationships/hyperlink" Target="https://www.iso-ne.com/static-assets/documents/2018/12/rev_in_compliance_with_order_841.pdf" TargetMode="External"/><Relationship Id="rId364" Type="http://schemas.openxmlformats.org/officeDocument/2006/relationships/hyperlink" Target="http://legislature.maine.gov/bills/display_ps.asp?PID=1456&amp;snum=129&amp;paper=HP0855" TargetMode="External"/><Relationship Id="rId61" Type="http://schemas.openxmlformats.org/officeDocument/2006/relationships/hyperlink" Target="https://www.iso-ne.com/markets-operations/markets-development/wholesale-markets-project-plan" TargetMode="External"/><Relationship Id="rId82" Type="http://schemas.openxmlformats.org/officeDocument/2006/relationships/hyperlink" Target="https://www.iso-ne.com/static-assets/documents/2019/04/final-2019-pv-forecast.pdf" TargetMode="External"/><Relationship Id="rId199" Type="http://schemas.openxmlformats.org/officeDocument/2006/relationships/hyperlink" Target="https://www.iso-ne.com/system-planning/system-plans-studies/rsp" TargetMode="External"/><Relationship Id="rId203" Type="http://schemas.openxmlformats.org/officeDocument/2006/relationships/hyperlink" Target="https://www.iso-ne.com/markets-operations/iso-express" TargetMode="External"/><Relationship Id="rId19" Type="http://schemas.openxmlformats.org/officeDocument/2006/relationships/hyperlink" Target="https://www.iso-ne.com/static-assets/documents/2017/12/a2_2016_economic_study_phase_2_ramping_regulation_reservers_scenario_results.pdf" TargetMode="External"/><Relationship Id="rId224" Type="http://schemas.openxmlformats.org/officeDocument/2006/relationships/hyperlink" Target="https://www.nerc.com/comm/PC/Pages/default.aspx" TargetMode="External"/><Relationship Id="rId245" Type="http://schemas.openxmlformats.org/officeDocument/2006/relationships/hyperlink" Target="https://www.federalregister.gov/d/2017-07500" TargetMode="External"/><Relationship Id="rId266" Type="http://schemas.openxmlformats.org/officeDocument/2006/relationships/hyperlink" Target="https://www.bdlaw.com/air-climate-change/publications/will-massachusetts-and-other-northeastern-states-move-to-aggressively-price-carbon-emissions/" TargetMode="External"/><Relationship Id="rId287" Type="http://schemas.openxmlformats.org/officeDocument/2006/relationships/hyperlink" Target="https://www.rggi.org/allowance-tracking/rggi-coats" TargetMode="External"/><Relationship Id="rId30" Type="http://schemas.openxmlformats.org/officeDocument/2006/relationships/hyperlink" Target="http://www.iso-ne.com/static-assets/documents/regulatory/tariff/sect_2/sch22/sch_22_lgip.pdf" TargetMode="External"/><Relationship Id="rId105" Type="http://schemas.openxmlformats.org/officeDocument/2006/relationships/hyperlink" Target="http://www.iso-ne.com/isoexpress/web/reports/operations/-/tree/single-src-cont" TargetMode="External"/><Relationship Id="rId126" Type="http://schemas.openxmlformats.org/officeDocument/2006/relationships/hyperlink" Target="https://www.iso-ne.com/system-planning/system-plans-studies/public-policy-transmission-upgrades" TargetMode="External"/><Relationship Id="rId147" Type="http://schemas.openxmlformats.org/officeDocument/2006/relationships/hyperlink" Target="https://smd.iso-ne.com/committees/comm_wkgrps/prtcpnts_comm/pac/ceii/reports/2012/boston_needs_report.ZIP" TargetMode="External"/><Relationship Id="rId168" Type="http://schemas.openxmlformats.org/officeDocument/2006/relationships/hyperlink" Target="https://www.iso-ne.com/static-assets/documents/2017/09/2026_sema_ri_minimum_load_solutions_study_initiation_pac_notice.docx" TargetMode="External"/><Relationship Id="rId312" Type="http://schemas.openxmlformats.org/officeDocument/2006/relationships/hyperlink" Target="https://www.iso-ne.com/static-assets/documents/2017/12/a2_2016_economic_study_phase_2_ramping_regulation_reservers_scenario_results.pdf" TargetMode="External"/><Relationship Id="rId333" Type="http://schemas.openxmlformats.org/officeDocument/2006/relationships/hyperlink" Target="http://grouper.ieee.org/groups/scc21/1547/1547_index.html" TargetMode="External"/><Relationship Id="rId354" Type="http://schemas.openxmlformats.org/officeDocument/2006/relationships/hyperlink" Target="https://www.coneg.org/wp-content/uploads/transferred/Data/Sites/1/media/documents/correspondence/42-2_en.pdf" TargetMode="External"/><Relationship Id="rId51" Type="http://schemas.openxmlformats.org/officeDocument/2006/relationships/hyperlink" Target="http://www.ferc.gov/docs-filing/forms/form-715/overview.asp" TargetMode="External"/><Relationship Id="rId72" Type="http://schemas.openxmlformats.org/officeDocument/2006/relationships/hyperlink" Target="https://www.iso-ne.com/static-assets/documents/2018/06/seasonal_peak_data_summary.xls" TargetMode="External"/><Relationship Id="rId93" Type="http://schemas.openxmlformats.org/officeDocument/2006/relationships/hyperlink" Target="https://www.iso-ne.com/static-assets/documents/2017/12/icr_related_values_2018_aras.pdf" TargetMode="External"/><Relationship Id="rId189" Type="http://schemas.openxmlformats.org/officeDocument/2006/relationships/hyperlink" Target="https://smd.iso-ne.com/operations-services/ceii/pac/2016/09/a3_eastern_connecticut_2022_solution_study_update.pdf" TargetMode="External"/><Relationship Id="rId375" Type="http://schemas.openxmlformats.org/officeDocument/2006/relationships/hyperlink" Target="https://malegislature.gov/Laws/SessionLaws/Acts/2018/Chapter227" TargetMode="External"/><Relationship Id="rId3" Type="http://schemas.openxmlformats.org/officeDocument/2006/relationships/hyperlink" Target="https://www.iso-ne.com/static-assets/documents/2018/04/pa16-6-000_4-18-18_final_audit_report.pdf" TargetMode="External"/><Relationship Id="rId214" Type="http://schemas.openxmlformats.org/officeDocument/2006/relationships/hyperlink" Target="https://www.nrel.gov/grid/ergis.html" TargetMode="External"/><Relationship Id="rId235" Type="http://schemas.openxmlformats.org/officeDocument/2006/relationships/hyperlink" Target="https://www.iso-ne.com/static-assets/documents/2019/04/2017_emissions_report.pdf" TargetMode="External"/><Relationship Id="rId256" Type="http://schemas.openxmlformats.org/officeDocument/2006/relationships/hyperlink" Target="https://www.dec.ny.gov/regulations/116131.html" TargetMode="External"/><Relationship Id="rId277" Type="http://schemas.openxmlformats.org/officeDocument/2006/relationships/hyperlink" Target="https://www.rggi.org/program-overview-and-design/elements" TargetMode="External"/><Relationship Id="rId298" Type="http://schemas.openxmlformats.org/officeDocument/2006/relationships/hyperlink" Target="https://www.iso-ne.com/static-assets/documents/2019/04/2019_celt_report.xls" TargetMode="External"/><Relationship Id="rId116" Type="http://schemas.openxmlformats.org/officeDocument/2006/relationships/hyperlink" Target="https://www.iso-ne.com/static-assets/documents/2015/02/sch_25.pdf" TargetMode="External"/><Relationship Id="rId137" Type="http://schemas.openxmlformats.org/officeDocument/2006/relationships/hyperlink" Target="%20https://www.iso-ne.com/static-assets/documents/2017/06/2027_swct_needs_assessment_study_initiation_pac_notice.pdf" TargetMode="External"/><Relationship Id="rId158" Type="http://schemas.openxmlformats.org/officeDocument/2006/relationships/hyperlink" Target="https://smd.iso-ne.com/committees/comm_wkgrps/prtcpnts_comm/pac/ceii/mtrls/2014/jul152014/a5_sema_ri_area_needs_2_n_1_1_rev1.pdf" TargetMode="External"/><Relationship Id="rId302" Type="http://schemas.openxmlformats.org/officeDocument/2006/relationships/hyperlink" Target="https://elibrary.ferc.gov/idmws/common/OpenNat.asp?fileID=14822954" TargetMode="External"/><Relationship Id="rId323" Type="http://schemas.openxmlformats.org/officeDocument/2006/relationships/hyperlink" Target="https://www.nrel.gov/docs/fy19osti/71913.pdf" TargetMode="External"/><Relationship Id="rId344" Type="http://schemas.openxmlformats.org/officeDocument/2006/relationships/hyperlink" Target="https://www.iso-ne.com/static-assets/documents/2018/10/er19-84-000_enhanced_storage_revisions.pdf" TargetMode="External"/><Relationship Id="rId20" Type="http://schemas.openxmlformats.org/officeDocument/2006/relationships/hyperlink" Target="https://www.iso-ne.com/static-assets/documents/2017/05/a4_2016_economic_study_capacity_market_impacts_and_implications_of_alternative_resource_expansion_scenarios.pdf" TargetMode="External"/><Relationship Id="rId41" Type="http://schemas.openxmlformats.org/officeDocument/2006/relationships/hyperlink" Target="http://www.iso-ne.com/committees/comm_wkgrps/prtcpnts_comm/pac/index.html" TargetMode="External"/><Relationship Id="rId62" Type="http://schemas.openxmlformats.org/officeDocument/2006/relationships/hyperlink" Target="https://www.iso-ne.com/about/key-stats/maps-and-diagrams/" TargetMode="External"/><Relationship Id="rId83" Type="http://schemas.openxmlformats.org/officeDocument/2006/relationships/hyperlink" Target="http://www.iso-ne.com/static-assets/documents/rules_proceds/operating/isone/op14/op14_rto_final.pdf%20" TargetMode="External"/><Relationship Id="rId179" Type="http://schemas.openxmlformats.org/officeDocument/2006/relationships/hyperlink" Target="https://smd.iso-ne.com/committees/comm_wkgrps/prtcpnts_comm/pac/ceii/mtrls/2014/mar172014/a7_nh_vt_2023_needs_assessment.pdf" TargetMode="External"/><Relationship Id="rId365" Type="http://schemas.openxmlformats.org/officeDocument/2006/relationships/hyperlink" Target="http://www.mainelegislature.org/legis/bills/display_ps.asp?ld=1766&amp;PID=1456&amp;snum=129" TargetMode="External"/><Relationship Id="rId190" Type="http://schemas.openxmlformats.org/officeDocument/2006/relationships/hyperlink" Target="https://www.iso-ne.com/static-assets/documents/2017/06/2027_ect_needs_assessment_study_initiation_pac_notice.pdf" TargetMode="External"/><Relationship Id="rId204" Type="http://schemas.openxmlformats.org/officeDocument/2006/relationships/hyperlink" Target="https://smd.iso-ne.com/operations-services/ceii/pac/2018/03/final_maine_resource_integration_study_report.pdf" TargetMode="External"/><Relationship Id="rId225" Type="http://schemas.openxmlformats.org/officeDocument/2006/relationships/hyperlink" Target="https://isorto.org/" TargetMode="External"/><Relationship Id="rId246" Type="http://schemas.openxmlformats.org/officeDocument/2006/relationships/hyperlink" Target="https://www.federalregister.gov/d/2017-04107" TargetMode="External"/><Relationship Id="rId267" Type="http://schemas.openxmlformats.org/officeDocument/2006/relationships/hyperlink" Target="https://www.mass.gov/guides/electricity-generator-emissions-limits-310-cmr-774" TargetMode="External"/><Relationship Id="rId288" Type="http://schemas.openxmlformats.org/officeDocument/2006/relationships/hyperlink" Target="https://ampd.epa.gov/ampd/" TargetMode="External"/><Relationship Id="rId106" Type="http://schemas.openxmlformats.org/officeDocument/2006/relationships/hyperlink" Target="http://www.iso-ne.com/rules_proceds/operating/isone/op19/op19_rto_final.pdf" TargetMode="External"/><Relationship Id="rId127" Type="http://schemas.openxmlformats.org/officeDocument/2006/relationships/hyperlink" Target="https://www.iso-ne.com/static-assets/documents/2018/01/a4_critical_load_level_and_need_by_date_determination_for_steady_state_peak_load_needs.zip" TargetMode="External"/><Relationship Id="rId313" Type="http://schemas.openxmlformats.org/officeDocument/2006/relationships/hyperlink" Target="https://www.iso-ne.com/static-assets/documents/2019/04/anbaric_2019_economic_study_request.pdf" TargetMode="External"/><Relationship Id="rId10" Type="http://schemas.openxmlformats.org/officeDocument/2006/relationships/hyperlink" Target="https://www.iso-ne.com/system-planning/system-plans-studies/rsp" TargetMode="External"/><Relationship Id="rId31" Type="http://schemas.openxmlformats.org/officeDocument/2006/relationships/hyperlink" Target="file:///C:\Users\cwendel\Documents\2017%20Reports\RSP17\Public%20Meeting%20Draft\;" TargetMode="External"/><Relationship Id="rId52" Type="http://schemas.openxmlformats.org/officeDocument/2006/relationships/hyperlink" Target="http://www.iso-ne.com/static-assets/documents/regulatory/tariff/attach_d/attachment_d.pdf" TargetMode="External"/><Relationship Id="rId73" Type="http://schemas.openxmlformats.org/officeDocument/2006/relationships/hyperlink" Target="https://www.iso-ne.com/static-assets/documents/2018/12/3_dgsurvey_results_aug18.121018.pdf" TargetMode="External"/><Relationship Id="rId94" Type="http://schemas.openxmlformats.org/officeDocument/2006/relationships/hyperlink" Target="https://www.iso-ne.com/static-assets/documents/2018/11/icr_for_aras_2019.pdf" TargetMode="External"/><Relationship Id="rId148" Type="http://schemas.openxmlformats.org/officeDocument/2006/relationships/hyperlink" Target="https://www.iso-ne.com/static-assets/documents/2016/07/summary_of_corrections_made_to_greater_boston_needs_assessment_report_final.pdf" TargetMode="External"/><Relationship Id="rId169" Type="http://schemas.openxmlformats.org/officeDocument/2006/relationships/hyperlink" Target="https://www.iso-ne.com/system-planning/key-study-areas/maine" TargetMode="External"/><Relationship Id="rId334" Type="http://schemas.openxmlformats.org/officeDocument/2006/relationships/hyperlink" Target="http://magazine.ieee-pes.org/" TargetMode="External"/><Relationship Id="rId355" Type="http://schemas.openxmlformats.org/officeDocument/2006/relationships/hyperlink" Target="https://www.coneg.org/wp-content/uploads/transferred/Data/Sites/1/media/documents/reports/2017-rccap-final.pdf" TargetMode="External"/><Relationship Id="rId376" Type="http://schemas.openxmlformats.org/officeDocument/2006/relationships/hyperlink" Target="https://fileservice.eea.comacloud.net/FileService.Api/file/FileRoom/9998895" TargetMode="External"/><Relationship Id="rId4" Type="http://schemas.openxmlformats.org/officeDocument/2006/relationships/hyperlink" Target="https://www.iso-ne.com/static-assets/documents/2017/02/updates_to_system_study_memo.pdf" TargetMode="External"/><Relationship Id="rId180" Type="http://schemas.openxmlformats.org/officeDocument/2006/relationships/hyperlink" Target="https://smd.iso-ne.com/committees/comm_wkgrps/prtcpnts_comm/pac/ceii/reports/2014/final_2023_nhvt_transmission_system_needs_assessment.pdf" TargetMode="External"/><Relationship Id="rId215" Type="http://schemas.openxmlformats.org/officeDocument/2006/relationships/hyperlink" Target="https://static1.squarespace.com/static/5b1032e545776e01e7058845/t/5ca541769b747a55f8444c03/1554334072121/EIPC_FRTF_2018_Final_Report_Public_Version_EC_Approved_2019-02-27.pdf" TargetMode="External"/><Relationship Id="rId236" Type="http://schemas.openxmlformats.org/officeDocument/2006/relationships/hyperlink" Target="https://www.iso-ne.com/static-assets/documents/2019/03/a03_rc_2019_03_29_iso_fca14_fuel_security_inputs_development.pptx" TargetMode="External"/><Relationship Id="rId257" Type="http://schemas.openxmlformats.org/officeDocument/2006/relationships/hyperlink" Target="https://www.federalregister.gov/d/2018-25424" TargetMode="External"/><Relationship Id="rId278" Type="http://schemas.openxmlformats.org/officeDocument/2006/relationships/hyperlink" Target="https://www.transportationandclimate.org/" TargetMode="External"/></Relationship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E1AB6AE-44C0-4C28-9451-14CDB213C64D}">
  <ds:schemaRefs>
    <ds:schemaRef ds:uri="http://schemas.openxmlformats.org/officeDocument/2006/bibliography"/>
  </ds:schemaRefs>
</ds:datastoreItem>
</file>

<file path=customXml/itemProps2.xml><?xml version="1.0" encoding="utf-8"?>
<ds:datastoreItem xmlns:ds="http://schemas.openxmlformats.org/officeDocument/2006/customXml" ds:itemID="{64E419B0-C8DE-4351-914C-594E8D5C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204</Pages>
  <Words>68108</Words>
  <Characters>425303</Characters>
  <Application>Microsoft Office Word</Application>
  <DocSecurity>8</DocSecurity>
  <Lines>3544</Lines>
  <Paragraphs>984</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492427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Wendel, Carol</dc:creator>
  <cp:keywords/>
  <dc:description/>
  <cp:lastModifiedBy>Carol Wendel</cp:lastModifiedBy>
  <cp:revision>2</cp:revision>
  <cp:lastPrinted>2019-08-29T14:09:00Z</cp:lastPrinted>
  <dcterms:created xsi:type="dcterms:W3CDTF">2019-10-31T18:27:00Z</dcterms:created>
  <dcterms:modified xsi:type="dcterms:W3CDTF">2019-10-31T18:27:00Z</dcterms:modified>
</cp:coreProperties>
</file>